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</w:r>
    </w:p>
    <w:p>
      <w:pPr>
        <w:pStyle w:val="Standard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i w:val="false"/>
          <w:color w:val="000000"/>
          <w:sz w:val="26"/>
          <w:szCs w:val="26"/>
          <w:shd w:fill="auto" w:val="clear"/>
          <w:lang w:eastAsia="en-US"/>
        </w:rPr>
        <w:t>«ОКПД 2: 43.99.30.100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  <w:lang w:eastAsia="en-US"/>
        </w:rPr>
        <w:t xml:space="preserve"> </w:t>
      </w:r>
      <w:r>
        <w:rPr>
          <w:rStyle w:val="Style8"/>
          <w:rFonts w:eastAsia="Calibri"/>
          <w:b/>
          <w:bCs/>
          <w:i w:val="false"/>
          <w:iCs w:val="false"/>
          <w:color w:val="000000"/>
          <w:sz w:val="26"/>
          <w:szCs w:val="26"/>
          <w:shd w:fill="auto" w:val="clear"/>
          <w:lang w:eastAsia="en-US"/>
        </w:rPr>
        <w:t>Первоочередные работы по нижнему бьефу здания станционного узла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eastAsia="en-US"/>
        </w:rPr>
        <w:t xml:space="preserve"> </w:t>
      </w:r>
      <w:r>
        <w:rPr>
          <w:rStyle w:val="Style8"/>
          <w:rFonts w:eastAsia="Calibri"/>
          <w:b/>
          <w:bCs/>
          <w:i w:val="false"/>
          <w:iCs w:val="false"/>
          <w:color w:val="000000"/>
          <w:sz w:val="26"/>
          <w:szCs w:val="26"/>
          <w:shd w:fill="auto" w:val="clear"/>
          <w:lang w:eastAsia="en-US"/>
        </w:rPr>
        <w:t>Загорской ГАЭС-2</w:t>
      </w:r>
      <w:r>
        <w:rPr>
          <w:rStyle w:val="Style8"/>
          <w:rFonts w:eastAsia="Calibri"/>
          <w:b/>
          <w:bCs/>
          <w:i w:val="false"/>
          <w:iCs w:val="false"/>
          <w:color w:val="000000"/>
          <w:sz w:val="26"/>
          <w:szCs w:val="26"/>
          <w:shd w:fill="auto" w:val="clear"/>
          <w:lang w:eastAsia="en-US"/>
        </w:rPr>
        <w:t>»</w:t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/>
          <w:b/>
          <w:sz w:val="26"/>
          <w:szCs w:val="26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i/>
          <w:i/>
          <w:sz w:val="26"/>
          <w:szCs w:val="26"/>
          <w:shd w:fill="FFFFFF" w:val="clear"/>
        </w:rPr>
      </w:pPr>
      <w:r>
        <w:rPr>
          <w:rFonts w:eastAsia="Calibri"/>
          <w:b/>
          <w:i/>
          <w:sz w:val="26"/>
          <w:szCs w:val="26"/>
          <w:shd w:fill="FFFFFF" w:val="clear"/>
        </w:rPr>
      </w:r>
    </w:p>
    <w:p>
      <w:pPr>
        <w:pStyle w:val="Standard"/>
        <w:keepNext w:val="true"/>
        <w:keepLines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Standard"/>
        <w:spacing w:before="0" w:after="0"/>
        <w:jc w:val="center"/>
        <w:rPr>
          <w:rFonts w:ascii="Times New Roman" w:hAnsi="Times New Roman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\u \h</w:instrText>
          </w:r>
          <w:r>
            <w:rPr>
              <w:rStyle w:val="Style14"/>
            </w:rPr>
            <w:fldChar w:fldCharType="separate"/>
          </w:r>
          <w:hyperlink w:anchor="__RefHeading___Toc3862_3910265972">
            <w:r>
              <w:rPr>
                <w:rStyle w:val="Style14"/>
              </w:rPr>
              <w:t xml:space="preserve">1. </w:t>
            </w:r>
            <w:r>
              <w:rPr>
                <w:rStyle w:val="Style14"/>
                <w:iCs/>
              </w:rPr>
              <w:t>Общие сведения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64_3910265972">
            <w:r>
              <w:rPr>
                <w:rStyle w:val="Style14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66_3910265972">
            <w:r>
              <w:rPr>
                <w:rStyle w:val="Style14"/>
              </w:rPr>
              <w:t>1.2. Цель выполнения Работ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68_3910265972_%D0%9A%D0%BE%D0%BF%D0%B8%D1%8F_">
            <w:r>
              <w:rPr>
                <w:rStyle w:val="Style14"/>
              </w:rPr>
              <w:t>1.3. Существующее положение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870_3910265972_%D0%9A%D0%BE%D0%BF%D0%B8%D1%8F_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68_3910265972">
            <w:r>
              <w:rPr>
                <w:rStyle w:val="Style14"/>
              </w:rPr>
              <w:t>1.4. Информация в отношении исполнения договора, которая должна быть учтена при подготовке заявки (в том числе перечень ресурсов и документов, предоставляемых заказчиком на этапе исполнения договора)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872_3910265972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76_3910265972">
            <w:r>
              <w:rPr>
                <w:rStyle w:val="Style14"/>
              </w:rPr>
              <w:t>2.1. Требования к объёмам и срокам выполнения Работ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878_3910265972">
            <w:r>
              <w:rPr>
                <w:rStyle w:val="Style14"/>
              </w:rPr>
              <w:t>2.1.1. Требования к видам и объёмам Работ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880_3910265972">
            <w:r>
              <w:rPr>
                <w:rStyle w:val="Style14"/>
              </w:rPr>
              <w:t>Таблица 2. Перечень и объем выполняемых Работ*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882_3910265972">
            <w:r>
              <w:rPr>
                <w:rStyle w:val="Style14"/>
              </w:rPr>
              <w:t>2.1.2. Требования к срокам выполнения Работ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884_3910265972">
            <w:r>
              <w:rPr>
                <w:rStyle w:val="Style14"/>
              </w:rPr>
              <w:t>Таблица 3. Требования по срокам выполнения Работ</w:t>
              <w:tab/>
              <w:t>9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3886_3910265972">
            <w:r>
              <w:rPr>
                <w:rStyle w:val="Style14"/>
              </w:rPr>
              <w:t>2.2. Требования к качеству Работ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888_3910265972">
            <w:r>
              <w:rPr>
                <w:rStyle w:val="Style14"/>
              </w:rPr>
              <w:t>Таблица 4. Требования к качеству Работ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43956_102619219">
            <w:r>
              <w:rPr>
                <w:rStyle w:val="Style14"/>
              </w:rPr>
              <w:t>3. Требования к ценообразованию:</w:t>
              <w:tab/>
              <w:t>11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1280_703139062">
            <w:r>
              <w:rPr>
                <w:rStyle w:val="Style14"/>
              </w:rPr>
              <w:t>3.1 Требования к документации по ценообразованию на этапе закупки.</w:t>
              <w:tab/>
              <w:t>11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2167_383724698">
            <w:r>
              <w:rPr>
                <w:rStyle w:val="Style14"/>
              </w:rPr>
              <w:t>4. Приложение.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Contents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/>
        </w:rPr>
      </w:pPr>
      <w:r>
        <w:rPr/>
      </w:r>
    </w:p>
    <w:p>
      <w:pPr>
        <w:pStyle w:val="Contents1"/>
        <w:tabs>
          <w:tab w:val="clear" w:pos="708"/>
          <w:tab w:val="right" w:pos="9911" w:leader="dot"/>
        </w:tabs>
        <w:rPr>
          <w:rFonts w:ascii="Times New Roman" w:hAnsi="Times New Roman"/>
          <w:b w:val="false"/>
          <w:i/>
          <w:i/>
        </w:rPr>
      </w:pPr>
      <w:r>
        <w:rPr>
          <w:b w:val="false"/>
          <w:i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5"/>
        </w:numPr>
        <w:spacing w:before="0" w:after="60"/>
        <w:ind w:left="0" w:hanging="0"/>
        <w:jc w:val="center"/>
        <w:rPr>
          <w:rFonts w:ascii="Times New Roman" w:hAnsi="Times New Roman"/>
        </w:rPr>
      </w:pPr>
      <w:bookmarkStart w:id="0" w:name="__RefHeading___Toc3862_3910265972"/>
      <w:bookmarkStart w:id="1" w:name="_Toc186207923"/>
      <w:bookmarkStart w:id="2" w:name="_Toc233977657"/>
      <w:bookmarkEnd w:id="0"/>
      <w:r>
        <w:rPr>
          <w:iCs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16"/>
        </w:numPr>
        <w:rPr>
          <w:sz w:val="22"/>
          <w:szCs w:val="22"/>
        </w:rPr>
      </w:pPr>
      <w:bookmarkStart w:id="3" w:name="__RefHeading___Toc3864_3910265972"/>
      <w:bookmarkStart w:id="4" w:name="_Toc186207924"/>
      <w:bookmarkStart w:id="5" w:name="_Toc46743506"/>
      <w:bookmarkStart w:id="6" w:name="_Toc233977658"/>
      <w:bookmarkEnd w:id="3"/>
      <w:r>
        <w:rPr>
          <w:sz w:val="22"/>
          <w:szCs w:val="22"/>
        </w:rPr>
        <w:t>Наименование закупаемой продукции</w:t>
      </w:r>
      <w:bookmarkEnd w:id="4"/>
      <w:bookmarkEnd w:id="5"/>
      <w:bookmarkEnd w:id="6"/>
    </w:p>
    <w:p>
      <w:pPr>
        <w:pStyle w:val="Standard"/>
        <w:tabs>
          <w:tab w:val="clear" w:pos="708"/>
          <w:tab w:val="left" w:pos="426" w:leader="none"/>
        </w:tabs>
        <w:spacing w:before="120" w:after="120"/>
        <w:jc w:val="both"/>
        <w:rPr>
          <w:highlight w:val="none"/>
          <w:shd w:fill="auto" w:val="clear"/>
        </w:rPr>
      </w:pPr>
      <w:r>
        <w:rPr>
          <w:rFonts w:eastAsia="Calibri"/>
          <w:i/>
          <w:iCs/>
          <w:sz w:val="22"/>
          <w:szCs w:val="22"/>
          <w:shd w:fill="auto" w:val="clear"/>
        </w:rPr>
        <w:t>ОКПД 2: 43.99.30.100 Первоочередные работы по нижнему бьефу здания станционного узла Загорской ГАЭС-2</w:t>
      </w:r>
    </w:p>
    <w:p>
      <w:pPr>
        <w:pStyle w:val="Heading4"/>
        <w:spacing w:before="240" w:after="60"/>
        <w:ind w:left="0" w:hanging="0"/>
        <w:rPr>
          <w:sz w:val="22"/>
          <w:szCs w:val="22"/>
        </w:rPr>
      </w:pPr>
      <w:bookmarkStart w:id="7" w:name="__RefHeading___Toc3866_3910265972"/>
      <w:bookmarkStart w:id="8" w:name="_Toc233977659"/>
      <w:bookmarkEnd w:id="7"/>
      <w:r>
        <w:rPr>
          <w:sz w:val="22"/>
          <w:szCs w:val="22"/>
        </w:rPr>
        <w:t xml:space="preserve">1.2. </w:t>
      </w:r>
      <w:bookmarkStart w:id="9" w:name="_Toc186207925"/>
      <w:bookmarkStart w:id="10" w:name="_Toc46743507"/>
      <w:r>
        <w:rPr>
          <w:sz w:val="22"/>
          <w:szCs w:val="22"/>
        </w:rPr>
        <w:t xml:space="preserve">Цель </w:t>
      </w:r>
      <w:bookmarkEnd w:id="10"/>
      <w:r>
        <w:rPr>
          <w:sz w:val="22"/>
          <w:szCs w:val="22"/>
        </w:rPr>
        <w:t>выполнения Работ</w:t>
      </w:r>
      <w:bookmarkEnd w:id="8"/>
      <w:bookmarkEnd w:id="9"/>
    </w:p>
    <w:p>
      <w:pPr>
        <w:pStyle w:val="Standard"/>
        <w:spacing w:before="0" w:after="0"/>
        <w:contextualSpacing/>
        <w:jc w:val="both"/>
        <w:rPr/>
      </w:pPr>
      <w:r>
        <w:rPr>
          <w:rStyle w:val="Style8"/>
          <w:b w:val="false"/>
          <w:bCs/>
          <w:sz w:val="22"/>
          <w:szCs w:val="22"/>
          <w:shd w:fill="auto" w:val="clear"/>
        </w:rPr>
        <w:t>Целью работ является обеспечение надежности здания станционного узла Загорской ГАЭС-2 и прилегающих сооружений.</w:t>
      </w:r>
    </w:p>
    <w:p>
      <w:pPr>
        <w:pStyle w:val="Heading4"/>
        <w:ind w:left="0" w:hanging="0"/>
        <w:rPr>
          <w:sz w:val="22"/>
          <w:szCs w:val="22"/>
        </w:rPr>
      </w:pPr>
      <w:bookmarkStart w:id="11" w:name="__RefHeading___Toc3868_3910265972_Копия_"/>
      <w:bookmarkStart w:id="12" w:name="_Toc233977660"/>
      <w:bookmarkEnd w:id="11"/>
      <w:r>
        <w:rPr>
          <w:sz w:val="22"/>
          <w:szCs w:val="22"/>
        </w:rPr>
        <w:t xml:space="preserve">1.3. </w:t>
      </w:r>
      <w:bookmarkStart w:id="13" w:name="_Toc46743508_Копия_1"/>
      <w:bookmarkStart w:id="14" w:name="_Toc186207926_Копия_1"/>
      <w:r>
        <w:rPr>
          <w:sz w:val="22"/>
          <w:szCs w:val="22"/>
        </w:rPr>
        <w:t>Существующее положение</w:t>
      </w:r>
      <w:bookmarkEnd w:id="12"/>
      <w:bookmarkEnd w:id="13"/>
      <w:bookmarkEnd w:id="14"/>
    </w:p>
    <w:p>
      <w:pPr>
        <w:pStyle w:val="Standard"/>
        <w:widowControl w:val="false"/>
        <w:shd w:val="clear" w:color="auto" w:fill="FFFFFF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sz w:val="22"/>
          <w:szCs w:val="22"/>
          <w:shd w:fill="FFFFFF" w:val="clear"/>
        </w:rPr>
        <w:t>1.3.1. Работы производятся на объекте имеющем высокую степень готовности. Часть существующих конструкций требует дополнительного воздействия и выполнения соответствующих мероприятий для обеспечения их надежности.</w:t>
      </w:r>
    </w:p>
    <w:p>
      <w:pPr>
        <w:pStyle w:val="Standard"/>
        <w:widowControl w:val="false"/>
        <w:shd w:val="clear" w:color="auto" w:fill="FFFFFF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sz w:val="22"/>
          <w:szCs w:val="22"/>
          <w:shd w:fill="FFFFFF" w:val="clear"/>
        </w:rPr>
        <w:t>1.3.2. Установленная мощность Загорской ГАЭС-2 составляет 840 МВт, в связи с чем согласно постановлению Правительства Российской Федерации от 05.10.2020 № 1607 здание станционного узла является гидротехническим сооружением II класса ответственности и согласно статье 48.1 Градостроительного кодекса Российской Федерации относится к особо опасным объектам.</w:t>
      </w:r>
    </w:p>
    <w:p>
      <w:pPr>
        <w:pStyle w:val="Heading1"/>
        <w:keepLines/>
        <w:tabs>
          <w:tab w:val="clear" w:pos="1224"/>
        </w:tabs>
        <w:spacing w:before="240" w:after="60"/>
        <w:ind w:left="0" w:hanging="0"/>
        <w:rPr>
          <w:sz w:val="22"/>
          <w:szCs w:val="22"/>
        </w:rPr>
      </w:pPr>
      <w:bookmarkStart w:id="15" w:name="__RefHeading___Toc3870_3910265972_Копия_"/>
      <w:bookmarkStart w:id="16" w:name="_Toc186207927_Копия_1"/>
      <w:bookmarkStart w:id="17" w:name="_Toc233977661"/>
      <w:bookmarkEnd w:id="15"/>
      <w:r>
        <w:rPr>
          <w:sz w:val="22"/>
          <w:szCs w:val="22"/>
        </w:rPr>
        <w:t>Таблица 1. Перечень объектов заказчика</w:t>
      </w:r>
      <w:bookmarkEnd w:id="16"/>
      <w:bookmarkEnd w:id="17"/>
    </w:p>
    <w:tbl>
      <w:tblPr>
        <w:tblW w:w="9806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6"/>
        <w:gridCol w:w="3011"/>
        <w:gridCol w:w="6189"/>
      </w:tblGrid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  <w:br/>
            </w:r>
            <w:r>
              <w:rPr>
                <w:i/>
                <w:iCs/>
                <w:sz w:val="22"/>
                <w:szCs w:val="22"/>
              </w:rPr>
              <w:t>(место производства работ)</w:t>
            </w:r>
          </w:p>
        </w:tc>
      </w:tr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right="11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Загорская ГАЭС-2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right="11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Московская область, г. Сергиев Посад, рабочий посёлок Богородское</w:t>
            </w:r>
          </w:p>
        </w:tc>
      </w:tr>
    </w:tbl>
    <w:p>
      <w:pPr>
        <w:pStyle w:val="Heading4"/>
        <w:ind w:left="0" w:hanging="0"/>
        <w:jc w:val="both"/>
        <w:rPr>
          <w:sz w:val="22"/>
          <w:szCs w:val="22"/>
        </w:rPr>
      </w:pPr>
      <w:bookmarkStart w:id="18" w:name="__RefHeading___Toc3868_3910265972"/>
      <w:bookmarkStart w:id="19" w:name="_Toc233977662"/>
      <w:bookmarkEnd w:id="18"/>
      <w:r>
        <w:rPr>
          <w:sz w:val="22"/>
          <w:szCs w:val="22"/>
        </w:rPr>
        <w:t xml:space="preserve">1.4. </w:t>
      </w:r>
      <w:bookmarkStart w:id="20" w:name="_Toc46743509"/>
      <w:bookmarkStart w:id="21" w:name="_Hlk49857604"/>
      <w:bookmarkStart w:id="22" w:name="_Toc54643700"/>
      <w:r>
        <w:rPr>
          <w:sz w:val="22"/>
          <w:szCs w:val="22"/>
        </w:rPr>
        <w:t xml:space="preserve">Информация в отношении исполнения договора, </w:t>
      </w:r>
      <w:bookmarkStart w:id="23" w:name="_Hlk46492347"/>
      <w:r>
        <w:rPr>
          <w:sz w:val="22"/>
          <w:szCs w:val="22"/>
        </w:rPr>
        <w:t xml:space="preserve">которая должна быть учтена при подготовке заявки </w:t>
      </w:r>
      <w:bookmarkEnd w:id="23"/>
      <w:r>
        <w:rPr>
          <w:sz w:val="22"/>
          <w:szCs w:val="22"/>
        </w:rPr>
        <w:t>(в том числе перечень ресурсов и документов, предоставляемых заказчиком на этапе исполнения договора)</w:t>
      </w:r>
      <w:bookmarkEnd w:id="19"/>
      <w:bookmarkEnd w:id="20"/>
      <w:bookmarkEnd w:id="21"/>
      <w:bookmarkEnd w:id="22"/>
    </w:p>
    <w:p>
      <w:pPr>
        <w:pStyle w:val="ListParagraph"/>
        <w:widowControl w:val="false"/>
        <w:tabs>
          <w:tab w:val="clear" w:pos="708"/>
          <w:tab w:val="left" w:pos="8640" w:leader="none"/>
        </w:tabs>
        <w:spacing w:before="0" w:after="120"/>
        <w:ind w:left="0" w:hanging="0"/>
        <w:contextualSpacing w:val="false"/>
        <w:jc w:val="both"/>
        <w:rPr/>
      </w:pPr>
      <w:r>
        <w:rPr>
          <w:rStyle w:val="Style8"/>
          <w:rFonts w:eastAsia="Times New Roman"/>
          <w:b w:val="false"/>
          <w:bCs/>
          <w:i w:val="false"/>
          <w:sz w:val="22"/>
          <w:szCs w:val="22"/>
          <w:shd w:fill="auto" w:val="clear"/>
        </w:rPr>
        <w:t>1.4.1. Заказчик предоставляет Подрядчику техническую и иную документацию, указанную в Приложении № 1 к настоящим Техническим требованиям, необходимую для выполнения работ в 3-х экземплярах.</w:t>
      </w:r>
    </w:p>
    <w:p>
      <w:pPr>
        <w:pStyle w:val="ListParagraph"/>
        <w:widowControl w:val="false"/>
        <w:tabs>
          <w:tab w:val="clear" w:pos="708"/>
          <w:tab w:val="left" w:pos="8640" w:leader="none"/>
        </w:tabs>
        <w:spacing w:before="0" w:after="120"/>
        <w:ind w:left="0" w:hanging="0"/>
        <w:contextualSpacing w:val="false"/>
        <w:jc w:val="both"/>
        <w:rPr/>
      </w:pPr>
      <w:r>
        <w:rPr>
          <w:rStyle w:val="Style8"/>
          <w:rFonts w:eastAsia="Times New Roman"/>
          <w:b w:val="false"/>
          <w:bCs/>
          <w:i w:val="false"/>
          <w:sz w:val="22"/>
          <w:szCs w:val="22"/>
          <w:shd w:fill="auto" w:val="clear"/>
        </w:rPr>
        <w:t>1.4.2. Для выполнения работ Заказчик, на основании обращения Подрядчика, выдаёт технические условия и предоставляет Подрядчику точку подключения энергопринимающих устройств. Все работы по обеспечению систем энергоснабжения и учёта энергоресурсов выполняется силами и средствами Подрядчика. Электроэнергия, потребляемая Подрядчиком, подлежит возмещению Заказчику в порядке и размерах, установленных договором.</w:t>
      </w:r>
    </w:p>
    <w:p>
      <w:pPr>
        <w:pStyle w:val="Heading1"/>
        <w:keepLines/>
        <w:numPr>
          <w:ilvl w:val="0"/>
          <w:numId w:val="18"/>
        </w:numPr>
        <w:ind w:left="0" w:hanging="0"/>
        <w:jc w:val="center"/>
        <w:rPr>
          <w:sz w:val="22"/>
          <w:szCs w:val="22"/>
        </w:rPr>
      </w:pPr>
      <w:bookmarkStart w:id="24" w:name="__RefHeading___Toc3872_3910265972"/>
      <w:bookmarkStart w:id="25" w:name="_Toc51339693"/>
      <w:bookmarkStart w:id="26" w:name="_Toc186207930"/>
      <w:bookmarkStart w:id="27" w:name="_Toc233977663"/>
      <w:bookmarkEnd w:id="24"/>
      <w:r>
        <w:rPr>
          <w:iCs/>
          <w:sz w:val="22"/>
          <w:szCs w:val="22"/>
        </w:rPr>
        <w:t>Требования к продукции</w:t>
      </w:r>
      <w:bookmarkEnd w:id="25"/>
      <w:bookmarkEnd w:id="26"/>
      <w:bookmarkEnd w:id="27"/>
    </w:p>
    <w:p>
      <w:pPr>
        <w:pStyle w:val="Heading4"/>
        <w:ind w:left="0" w:hanging="0"/>
        <w:rPr>
          <w:sz w:val="22"/>
          <w:szCs w:val="22"/>
        </w:rPr>
      </w:pPr>
      <w:bookmarkStart w:id="28" w:name="__RefHeading___Toc3876_3910265972"/>
      <w:bookmarkStart w:id="29" w:name="_Toc233977664"/>
      <w:bookmarkEnd w:id="28"/>
      <w:r>
        <w:rPr>
          <w:sz w:val="22"/>
          <w:szCs w:val="22"/>
        </w:rPr>
        <w:t xml:space="preserve">2.1. </w:t>
      </w:r>
      <w:bookmarkStart w:id="30" w:name="_Toc186207931"/>
      <w:r>
        <w:rPr>
          <w:sz w:val="22"/>
          <w:szCs w:val="22"/>
        </w:rPr>
        <w:t>Требования к объёмам и срокам выполнения Работ</w:t>
      </w:r>
      <w:bookmarkEnd w:id="29"/>
      <w:bookmarkEnd w:id="30"/>
    </w:p>
    <w:p>
      <w:pPr>
        <w:pStyle w:val="Heading3"/>
        <w:ind w:left="0" w:hanging="0"/>
        <w:rPr>
          <w:sz w:val="22"/>
          <w:szCs w:val="22"/>
        </w:rPr>
      </w:pPr>
      <w:bookmarkStart w:id="31" w:name="__RefHeading___Toc3878_3910265972"/>
      <w:bookmarkStart w:id="32" w:name="_Toc233977665"/>
      <w:bookmarkEnd w:id="31"/>
      <w:r>
        <w:rPr>
          <w:sz w:val="22"/>
          <w:szCs w:val="22"/>
        </w:rPr>
        <w:t xml:space="preserve">2.1.1. </w:t>
      </w:r>
      <w:bookmarkStart w:id="33" w:name="_Toc186207932"/>
      <w:r>
        <w:rPr>
          <w:sz w:val="22"/>
          <w:szCs w:val="22"/>
        </w:rPr>
        <w:t>Требования к видам и объёмам Работ</w:t>
      </w:r>
      <w:bookmarkEnd w:id="32"/>
      <w:bookmarkEnd w:id="33"/>
    </w:p>
    <w:p>
      <w:pPr>
        <w:pStyle w:val="Heading1"/>
        <w:keepLines/>
        <w:tabs>
          <w:tab w:val="clear" w:pos="1224"/>
        </w:tabs>
        <w:spacing w:before="240" w:after="60"/>
        <w:ind w:left="0" w:hanging="0"/>
        <w:rPr>
          <w:sz w:val="22"/>
          <w:szCs w:val="22"/>
        </w:rPr>
      </w:pPr>
      <w:bookmarkStart w:id="34" w:name="__RefHeading___Toc3880_3910265972"/>
      <w:bookmarkStart w:id="35" w:name="_Toc186207933"/>
      <w:bookmarkStart w:id="36" w:name="_Toc233977666"/>
      <w:bookmarkStart w:id="37" w:name="_Toc51339695"/>
      <w:bookmarkEnd w:id="34"/>
      <w:r>
        <w:rPr>
          <w:sz w:val="22"/>
          <w:szCs w:val="22"/>
        </w:rPr>
        <w:t xml:space="preserve">Таблица 2. Перечень </w:t>
      </w:r>
      <w:bookmarkEnd w:id="37"/>
      <w:r>
        <w:rPr>
          <w:sz w:val="22"/>
          <w:szCs w:val="22"/>
        </w:rPr>
        <w:t>и объем выполняемых Работ</w:t>
      </w:r>
      <w:bookmarkEnd w:id="35"/>
      <w:bookmarkEnd w:id="36"/>
      <w:r>
        <w:rPr>
          <w:sz w:val="22"/>
          <w:szCs w:val="22"/>
        </w:rPr>
        <w:t>*</w:t>
      </w:r>
    </w:p>
    <w:tbl>
      <w:tblPr>
        <w:tblW w:w="9925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835"/>
        <w:gridCol w:w="6783"/>
        <w:gridCol w:w="716"/>
        <w:gridCol w:w="1590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38" w:name="__RefHeading___Toc20613_383724698"/>
            <w:bookmarkEnd w:id="38"/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bookmarkStart w:id="39" w:name="__RefHeading___Toc20615_383724698"/>
            <w:bookmarkEnd w:id="39"/>
            <w:r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bookmarkStart w:id="40" w:name="__RefHeading___Toc20617_383724698"/>
            <w:bookmarkEnd w:id="40"/>
            <w:r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bookmarkStart w:id="41" w:name="__RefHeading___Toc20621_383724698"/>
            <w:bookmarkEnd w:id="41"/>
            <w:r>
              <w:rPr>
                <w:color w:val="000000"/>
                <w:sz w:val="22"/>
                <w:szCs w:val="22"/>
              </w:rPr>
              <w:t>Объёмы к Техническим требованиям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42" w:name="__RefHeading___Toc20623_383724698"/>
            <w:bookmarkEnd w:id="42"/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43" w:name="__RefHeading___Toc20625_383724698"/>
            <w:bookmarkEnd w:id="43"/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44" w:name="__RefHeading___Toc20627_383724698"/>
            <w:bookmarkEnd w:id="44"/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45" w:name="__RefHeading___Toc20631_383724698"/>
            <w:bookmarkEnd w:id="45"/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Загорская ГАЭС-2 нар. Кунье (достройка). Станционный узел. Устройство буронабивных свай в примыкании к ПС-3 Здания ГАЭС со стороны НБ (Чертеж 2438-14-009)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Устройство площадки из ж.б. плит размером 1,5х1,75 м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площадки под укладку сборных ж.б. плит бульдозерами мощностью 79 кВт (108 л.с.)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площадки под буросвайную технику из сборных ж.б. плит площадью до 3 м2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шт/м3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30/12,3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дорожные 1П18.15-30А-IV, бетон В30, объем 0,41 м3, расход арматуры 35,12 кг, постельная площадь 2,6 м2 (пятикратная оборачиваемость)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Разборка дорог из сборных железобетонных плит площадью до 3 м2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шт/м3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30/12,3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Устройство свай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буронабивных свай диаметром 1000 мм под защитой обсадной трубы буровыми установками с крутящим моментом 150-250 кНм: в грунтах 3 группы из бетна класса В25W8F150 (М350)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шт/п.м/м3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8,00/98,47/80,42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металлокаркасов КП-1, КП-2 и КП-3 в построечных условиях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8,6522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Арматура Ø10 А240 ГОСТ 34028-2016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0,7272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Арматура Ø25 А500С ГОСТ 34028-2016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6,965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820х10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Резка трубы 820х10 по 100 мм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6"/>
              <w:widowControl w:val="false"/>
              <w:ind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(У=2,0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)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160,84/80,42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Перевозка грузов автомобилями-самосвалами грузоподъемностью 10т, работающих вне карьера, на расстояние: до 4 км: I класс груза. Работа на отвале, группа грунтов 1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160,84/80,42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Закрепление грунтового массива методом Jet-grouting (6 шт.)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Роторное бурение скважин с прямой промывкой станками с дизельным двигателем глубиной бурения до 50 м в грунтах группы: 3 (скважины вертикальные диаметром 151 мм)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399,17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Долото шнековые, диаметр 148 мм (лопастное)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2,6744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Долото трехшарошечное III 151 К-ЦВ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2,8541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Вода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858,00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Цементация грунтов восходящим способом при поглощении цемента и песка: до 400 кг (цементного раствора)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399,17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Портландцемент общестроительного назначения бездобавочный М500 ДО (ЦЕМ I 42,5Н) (расход цемента на 1м цементируемой части скважины 450 кг)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179,63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Вода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179,63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(Y=2,0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7,5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Перевозка грузов автомобилями-самосвалами грузоподъемностью 10т, работающих вне карьера, на расстояние: до 4 км: I класс груза. Работа на отвале, группа грунтов 1, (Y=2,0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15/7,5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Устройство форшахты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железобетонной плиты форшахты из бетона класса В25W8F150 (М350)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арматура  8 мм А240 (A-I)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0,2218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арматура  12мм А500С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2,16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ind w:hanging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Демонтажные работы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Разборка форшахты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Вырубка бетона из арматурного каркаса железобетонных свай площадью сечения свыше 0,1 м2 (вырубка бетона на 6 сваях до отм. 132,00)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свай/м3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6/4,9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Разборка бетонных конструкций объемом более 1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при помощи отбойных молотков из бетона марки: 350 (срубка свай бетонных  до отм. 128,00 — 2 сваи)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8,17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56,368/23,07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Перевозка грузов автомобилями - самосвалами грузоподъемностью 10т, работающих вне карьера, на расстояние: до 4 км: I класс груза. Работа на отвале, группа грунтов 1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56,368/23,07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w w:val="100"/>
                <w:sz w:val="22"/>
                <w:szCs w:val="22"/>
              </w:rPr>
              <w:t>II. Устройство заезда и площадок для разборки пригруза подпорной стенки ПС-8</w:t>
            </w:r>
          </w:p>
          <w:p>
            <w:pPr>
              <w:pStyle w:val="Style38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w w:val="1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0"/>
                <w:w w:val="100"/>
                <w:sz w:val="22"/>
                <w:szCs w:val="22"/>
              </w:rPr>
              <w:t>(Чертеж 2348-27-ТЗ)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Подготовка территории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Расчистка площадей от кустарника при средней поросли на откосе вручную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6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Корчевка корней срезанного кустарника корчевальной бороной на тракторе мощностью 79 кВт (108 л.с.)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Сгребание срезанного кустарника средней густоты корчевателями-собирателями на тракторе мощностью 79 кВт (108 л.с.) с перемещением до на расстояние до 40 м на откосе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Дробление кустарниковой растительности в щепу самоходным мульчером на гусеничном ходу мощностью 184 кВт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Устройство заезда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Планировка территории бульдозером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стальной водопропускной трубы 426x8 мм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-выемка грунта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53,00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-песчаная подготовка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1,2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-монтаж трубы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1,26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-обратная засыпка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51,30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Каменная наброска под выходную часть трубы из щебня М800 фракции 40-70 мм толщиной 0,1 м с уплотнением пневмотрамбовками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насыпи от т.1 до т. 4' из ПГС с послойным уплотнением Ку=0,98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508,0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Устройство дорожного покрытия из сборных железобетонных плит 1П.18-15 (5-кратная оборачиваемость)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/шт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270,5/103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Укрепление обочин из ПГС толщиной 16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138,0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Устройство площадки для разборки пригруза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насыпи из ПГС с послойным уплотнением Ку=0,98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выемки экскаватором в грунтах 3 группы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142,0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выемки вручную, группа грунтов 3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6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дорожного покрытия из щебня М800 фракции 40-70 мм толщиной 15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157,5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Устройство разворотной площадки и примыкания к существующему съезду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Планировка территории бульдозером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Устройство дорожного покрытия из сборных железобетонных плит 1П.18-15 (5-кратная оборачиваемость)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/шт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622/</w:t>
            </w:r>
          </w:p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выравнивающего покрытия существующего съезда на отм. 135,000 из щебня М800 фракции 40-70 мм средней толщиной 15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III. Станционный узел. НБ. Заезды и площадки для устройства стены из бурокасательных свай вдоль ПС-8 (Чертеж 2348-27-ТЗ-2) 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>
                <w:i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Этап 1. Устройство заезда и площадки на отм. 132,800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насыпи из ПГС с послойным уплотнением Ку=0,98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328,0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дорожного покрытия из сборных железобетонных плит 1П.18-15 (5-кратная оборачиваемость)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/шт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288,4/</w:t>
            </w:r>
          </w:p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Укрепление обочин из ПГС толщиной 16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>
                <w:i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Этап 2. Устройство заезда и площадки на отм. 135,210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30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Подготовка территории: расчистка площадей от кустарника, корчевка корней, дробление корней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30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насыпи из ПГС с послойным уплотнением Ку=0,98 (в том числе засыпка промоин)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986,0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выемки экскаватором в грунтах 3 группы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дорожного покрытия из сборных железобетонных плит 1П.18-15 (5-кратная оборачиваемость)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/шт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454/ 173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Укрепление обочин из ПГС толщиной 16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>
                <w:i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Этап 3. Устройство заезда и площадки на отм. 137,610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насыпи из ПГС с послойным уплотнением Ку=0,98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1250,0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Устройство дорожного покрытия из сборных железобетонных плит 1П.18-15 (5-кратная оборачиваемость)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/шт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spacing w:lineRule="auto" w:line="290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315/ 120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Укрепление обочин из ПГС толщиной 16 см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IV. Станционный узел. Нижний бьеф. Стена из бурокасательных свай вдоль ПС-8</w:t>
            </w:r>
          </w:p>
          <w:p>
            <w:pPr>
              <w:pStyle w:val="Style38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(Чертеж 2348-14-015)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Устройство форшахты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Разработка грунта в траншее экскаватором с ковшом вместимостью 1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, группа грунтов 2 (Y=1,754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), в том числе: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18,00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в отвал для устройства обратной засыпки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с погрузкой на автомобили-самосвалы и транспортировкой на 4 км в отвал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железобетонной плиты форшахты из бетона класса В25 (М350)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8,87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арматура  8 мм А240 (A-I)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0,07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арматура  12мм А500С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0,12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Обратная засыпка вручную ранее разработанным грунтом из отвала, грунт 1 группы, с уплотнением пневмотрамбовками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10,00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Устройство буронабивных свай (ж.б. - 22 шт., бетонных - 2шт.)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Устройство буронабивных свай диаметром 1000 мм под защитой обсадной трубы буровыми установками с крутящим моментом 150-250 кНм: в грунтах 2 группы из бетона класса B25W8F150 (М350)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шт/ п.м. /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24/ 362,73 /296,35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Изготовление металлокаркасов КП в построечных условиях - 22 шт.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-арматура 10 мм А240 (A-I)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арматура  25 мм А500С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24,33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5.3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- труба 820x10 ГОСТ 10704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3,08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Резка трубы 820x10 по 100 мм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рез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(У=1,754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</w:rPr>
              <w:t>S=3,14x1,02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</w:rPr>
              <w:t>/4=0,817 м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, L=362,73 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296,35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Перевозка грузов автомобилями-самосвалами грузоподъемностью 10т, работающих вне карьера, на расстояние: до 4 км: I класс груза. Работа на отвале, группа грунтов 1 (Y=1,754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519,8/</w:t>
            </w:r>
          </w:p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296,35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Закрепление грунтового массива методом Jet-grouting (6 шт.)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Роторное бурение скважин с прямой промывкой станками с дизельным двигателем глубиной бурения до 50 м в грунтах группы: 3 (скважины вертикальные диаметром 151 мм)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86,89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Долото шнековые, диаметр 148 мм (лопастное)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Долото трехшарошечное III 151 К-ЦВ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шт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9.3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Вода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187,00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Цементация грунтов восходящим способом при поглощении цемента и песка: до 400 кг (цементного раствора)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86,89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10.1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Портландцемент общестроительного назначения бездобавочный М500 ДО (ЦЕМ I 42,5Н) (расход цемента на 1м цементируемой части скважины 450 кг)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39,10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10.2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Вода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39,10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(Y=1,754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 S=3,14x0,151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/4=0,018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, L=86,89 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1,6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Перевозка грузов автомобилями-самосвалами грузоподъемностью 10т, работающих вне карьера, на расстояние: до 4 км: I класс груза. Работа на отвале, группа грунтов 1, (Y=1,754 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2,81/</w:t>
            </w:r>
          </w:p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1,6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w w:val="100"/>
                <w:sz w:val="22"/>
                <w:szCs w:val="22"/>
              </w:rPr>
              <w:t>Демонтажные работы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Разборка железобетонных конструкций объемом более 1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при помощи отбойных молотков из бетона марки: 350 (разборка форшахты)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8,87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Разборка бетонных конструкций объемом более 1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при помощи отбойных молотков из бетона марки: 350 (срубка оголовков свай бетонных - 24 шт) S=3,14x1,02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/4=0,817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, L=76,83 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62,8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15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Разборка бетонных конструкций объемом более 1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 xml:space="preserve"> при помощи отбойных молотков из бетона марки: 100 (срубка свай выполненных методом Jet-grouting - 6 шт) 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</w:rPr>
              <w:t>S=3,14x0,7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</w:rPr>
              <w:t>/4=0,39 м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mallCaps/>
                <w:color w:val="000000"/>
                <w:spacing w:val="0"/>
                <w:w w:val="100"/>
                <w:position w:val="0"/>
                <w:sz w:val="22"/>
                <w:sz w:val="22"/>
                <w:szCs w:val="22"/>
                <w:vertAlign w:val="baseline"/>
              </w:rPr>
              <w:t>, L=26,1 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10,2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Погрузочные работы при автомобильных перевозках: мусора строительного с погрузкой экскаваторами емкостью ковша до 0,5 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81,9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Перевозка грузов автомобилями - самосвалами грузоподъемностью 10 т, работающих вне карьера, на расстояние: до 4 км: I класс груза. Работа на отвале, группа грунтов 1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т/м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196,56 /81,9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Демонтаж крепления досками толщиной 50 мм стенок котлованов с погрузкой на бортовые машины, перевозкой на 4 км и выгрузкой на склад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2"/>
                <w:szCs w:val="22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99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V. Разборка пригруза левобережной подпорной стенки ПС-8 (Чертеж №2348-14-012)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Расчистка площадей от кустарника при средней поросли на откосе вручную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Корчевка корней срезанного кустарника корчевальной бороной на тракторе мощностью 79 кВт (108 л.с.)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Сгребание срезанного кустарника средней густоты корчевателями-соберателями на тракторе мощностью 79 кВт (108 л.с.) с перемещением на расстояние до 20 м на откосе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Дробление кустарниковой растительности в щепу самоходным мульчером на гусеничном ходу мощностью 184 кВт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0,045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 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Разработка насыпи из песчанного грунта (1 группа, y=1,6 т/м3) экскаватором с ковшом, вместимостью 0,5 м3, на автомобили самосвалы и перевозка на расстояние до 4 км в отвал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на отвале, грунты 1 группы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Разработка насыпи из смеси камня булыжного (3 группа, y=1,9 т/м3) экскаватором с ковшом, вместимостью 0,5 м3, на автомобили самосвалы и перевозка на расстояние до 4 км в отвал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154,0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Разработка гидромолотом (многоцелевой мини-техникой Brokk) пригруза подпорной стенки из сборных железобетонных блоков на цементном растворе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265,0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Разборка отбойными молотками пригруза из подпорной стенки из сборных железобетонных блоков на цементном растворе М150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Погрузка железобетонных отходов экскаватором с ковшом вместимостью 0,5 м3 на автомобили самосвалы и перевозка на расстояние до 4 км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м3/т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324/810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Разборка монолитной бетонной подготовки В10 (М150) отбойными молотками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9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Погрузка разобранной бетонной подготовки экскаватором с ковшом вместимостью 0,5 м3 (y=2,4 м3) на автомобили самосвалы и перевозка на расстояние до 4 км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м3/т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56/134,4</w:t>
            </w:r>
          </w:p>
        </w:tc>
      </w:tr>
    </w:tbl>
    <w:p>
      <w:pPr>
        <w:pStyle w:val="Normal"/>
        <w:spacing w:before="240" w:after="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*</w:t>
      </w:r>
      <w:r>
        <w:rPr>
          <w:b w:val="false"/>
          <w:i/>
          <w:sz w:val="24"/>
          <w:szCs w:val="24"/>
          <w:lang w:val="en-US"/>
        </w:rPr>
        <w:t>В</w:t>
      </w:r>
      <w:r>
        <w:rPr>
          <w:b w:val="false"/>
          <w:i/>
          <w:sz w:val="24"/>
        </w:rPr>
        <w:t xml:space="preserve"> случае выявления </w:t>
      </w:r>
      <w:r>
        <w:rPr>
          <w:i/>
          <w:sz w:val="24"/>
        </w:rPr>
        <w:t>разночтений между объёмами, указанными в настоящих ТТ, и технической документами, объемы в ТТ являются превалирующими.</w:t>
      </w:r>
    </w:p>
    <w:p>
      <w:pPr>
        <w:pStyle w:val="Heading3"/>
        <w:ind w:left="0" w:hanging="0"/>
        <w:rPr>
          <w:sz w:val="22"/>
          <w:szCs w:val="22"/>
        </w:rPr>
      </w:pPr>
      <w:bookmarkStart w:id="46" w:name="__RefHeading___Toc3882_3910265972"/>
      <w:bookmarkStart w:id="47" w:name="_Toc233977667"/>
      <w:bookmarkEnd w:id="46"/>
      <w:r>
        <w:rPr>
          <w:sz w:val="22"/>
          <w:szCs w:val="22"/>
        </w:rPr>
        <w:t xml:space="preserve">2.1.2. </w:t>
      </w:r>
      <w:bookmarkStart w:id="48" w:name="_Toc186207934"/>
      <w:bookmarkStart w:id="49" w:name="_Toc51339696"/>
      <w:r>
        <w:rPr>
          <w:sz w:val="22"/>
          <w:szCs w:val="22"/>
        </w:rPr>
        <w:t xml:space="preserve">Требования </w:t>
      </w:r>
      <w:bookmarkEnd w:id="49"/>
      <w:r>
        <w:rPr>
          <w:sz w:val="22"/>
          <w:szCs w:val="22"/>
        </w:rPr>
        <w:t>к срокам выполнения Рабо</w:t>
      </w:r>
      <w:bookmarkEnd w:id="48"/>
      <w:r>
        <w:rPr>
          <w:sz w:val="22"/>
          <w:szCs w:val="22"/>
        </w:rPr>
        <w:t>т</w:t>
      </w:r>
      <w:bookmarkEnd w:id="47"/>
    </w:p>
    <w:p>
      <w:pPr>
        <w:pStyle w:val="Heading1"/>
        <w:keepLines/>
        <w:tabs>
          <w:tab w:val="clear" w:pos="1224"/>
        </w:tabs>
        <w:spacing w:before="240" w:after="60"/>
        <w:ind w:left="0" w:hanging="0"/>
        <w:rPr>
          <w:sz w:val="22"/>
          <w:szCs w:val="22"/>
        </w:rPr>
      </w:pPr>
      <w:bookmarkStart w:id="50" w:name="__RefHeading___Toc3884_3910265972"/>
      <w:bookmarkStart w:id="51" w:name="_Toc233977668"/>
      <w:bookmarkStart w:id="52" w:name="_Toc186207935"/>
      <w:bookmarkStart w:id="53" w:name="_Toc51339697"/>
      <w:bookmarkStart w:id="54" w:name="_Toc50125127"/>
      <w:bookmarkStart w:id="55" w:name="_Toc50125126_Копия_1"/>
      <w:bookmarkEnd w:id="50"/>
      <w:bookmarkEnd w:id="55"/>
      <w:r>
        <w:rPr>
          <w:sz w:val="22"/>
          <w:szCs w:val="22"/>
        </w:rPr>
        <w:t xml:space="preserve">Таблица 3. </w:t>
      </w:r>
      <w:bookmarkStart w:id="56" w:name="_Hlk50465284"/>
      <w:r>
        <w:rPr>
          <w:sz w:val="22"/>
          <w:szCs w:val="22"/>
        </w:rPr>
        <w:t xml:space="preserve">Требования по срокам </w:t>
      </w:r>
      <w:bookmarkEnd w:id="53"/>
      <w:bookmarkEnd w:id="54"/>
      <w:bookmarkEnd w:id="56"/>
      <w:r>
        <w:rPr>
          <w:sz w:val="22"/>
          <w:szCs w:val="22"/>
        </w:rPr>
        <w:t>выполнения Работ</w:t>
      </w:r>
      <w:bookmarkEnd w:id="51"/>
      <w:bookmarkEnd w:id="52"/>
    </w:p>
    <w:tbl>
      <w:tblPr>
        <w:tblW w:w="986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0"/>
        <w:gridCol w:w="4821"/>
        <w:gridCol w:w="2322"/>
        <w:gridCol w:w="2159"/>
      </w:tblGrid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Работ/этапа Работ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выполнения Работ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выполнения Работ</w:t>
            </w:r>
          </w:p>
        </w:tc>
      </w:tr>
      <w:tr>
        <w:trPr>
          <w:trHeight w:val="1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>
        <w:trPr>
          <w:trHeight w:val="103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Загорская ГАЭС-2 нар. Кунье (достройка). Станционный узел. Устройство буронабивных свай в примыкании к ПС-3 Здания ГАЭС со стороны НБ (Черт. 2438-14-009)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Не позднее 2 месяцев с даты заключения договора</w:t>
            </w:r>
          </w:p>
        </w:tc>
      </w:tr>
      <w:tr>
        <w:trPr>
          <w:trHeight w:val="402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w w:val="100"/>
                <w:sz w:val="22"/>
                <w:szCs w:val="22"/>
              </w:rPr>
              <w:t>Устройство заезда и площадок для разборки пригруза подпорной стенки ПС-8</w:t>
            </w:r>
          </w:p>
          <w:p>
            <w:pPr>
              <w:pStyle w:val="Style38"/>
              <w:widowControl w:val="false"/>
              <w:shd w:val="clear" w:color="auto" w:fill="auto"/>
              <w:bidi w:val="0"/>
              <w:spacing w:lineRule="auto" w:line="240"/>
              <w:ind w:left="0" w:right="0" w:hanging="0"/>
              <w:jc w:val="left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w w:val="1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pacing w:val="0"/>
                <w:w w:val="100"/>
                <w:sz w:val="22"/>
                <w:szCs w:val="22"/>
              </w:rPr>
              <w:t>(черт 2348-27-ТЗ)</w:t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2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bidi w:val="0"/>
              <w:spacing w:before="0" w:after="120"/>
              <w:jc w:val="left"/>
              <w:textAlignment w:val="baseline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3.</w:t>
            </w:r>
          </w:p>
        </w:tc>
        <w:tc>
          <w:tcPr>
            <w:tcW w:w="4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8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Станционный узел. НБ. Заезды и площадки для устройства стены из бурокасательных свай вдоль ПС-8 (черт 2348-27-ТЗ-2) </w:t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2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bidi w:val="0"/>
              <w:spacing w:before="0" w:after="120"/>
              <w:jc w:val="left"/>
              <w:textAlignment w:val="baseline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4.</w:t>
            </w:r>
          </w:p>
        </w:tc>
        <w:tc>
          <w:tcPr>
            <w:tcW w:w="4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Станционный узел. Нижний бьеф. Стена из бурокасательных свай вдоль ПС-8</w:t>
            </w:r>
          </w:p>
          <w:p>
            <w:pPr>
              <w:pStyle w:val="Style38"/>
              <w:widowControl w:val="false"/>
              <w:ind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(Черт: 2348-14-015)</w:t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2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bidi w:val="0"/>
              <w:spacing w:before="0" w:after="120"/>
              <w:jc w:val="left"/>
              <w:textAlignment w:val="baseline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n-US" w:eastAsia="ru-RU" w:bidi="ar-SA"/>
              </w:rPr>
              <w:t>5.</w:t>
            </w:r>
          </w:p>
        </w:tc>
        <w:tc>
          <w:tcPr>
            <w:tcW w:w="4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Разборка пригруза левобережной подпорной стенки ПС-8</w:t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Heading4"/>
        <w:ind w:left="0" w:hanging="0"/>
        <w:rPr>
          <w:sz w:val="22"/>
          <w:szCs w:val="22"/>
        </w:rPr>
      </w:pPr>
      <w:bookmarkStart w:id="57" w:name="__RefHeading___Toc3886_3910265972"/>
      <w:bookmarkStart w:id="58" w:name="_Toc233977669"/>
      <w:bookmarkStart w:id="59" w:name="_Toc46743510_Копия_1"/>
      <w:bookmarkEnd w:id="57"/>
      <w:bookmarkEnd w:id="59"/>
      <w:r>
        <w:rPr>
          <w:sz w:val="22"/>
          <w:szCs w:val="22"/>
        </w:rPr>
        <w:t xml:space="preserve">2.2. </w:t>
      </w:r>
      <w:bookmarkStart w:id="60" w:name="_Toc186207936"/>
      <w:r>
        <w:rPr>
          <w:sz w:val="22"/>
          <w:szCs w:val="22"/>
        </w:rPr>
        <w:t>Требования к качеству Работ</w:t>
      </w:r>
      <w:bookmarkEnd w:id="58"/>
      <w:bookmarkEnd w:id="60"/>
    </w:p>
    <w:p>
      <w:pPr>
        <w:pStyle w:val="Heading1"/>
        <w:keepLines/>
        <w:tabs>
          <w:tab w:val="clear" w:pos="1224"/>
        </w:tabs>
        <w:spacing w:before="0" w:after="0"/>
        <w:ind w:left="0" w:hanging="0"/>
        <w:rPr>
          <w:sz w:val="22"/>
          <w:szCs w:val="22"/>
        </w:rPr>
      </w:pPr>
      <w:bookmarkStart w:id="61" w:name="__RefHeading___Toc3888_3910265972"/>
      <w:bookmarkStart w:id="62" w:name="_Toc186207937"/>
      <w:bookmarkStart w:id="63" w:name="_Toc233977670"/>
      <w:bookmarkEnd w:id="61"/>
      <w:r>
        <w:rPr>
          <w:sz w:val="22"/>
          <w:szCs w:val="22"/>
        </w:rPr>
        <w:t>Таблица 4. Требования к качеству Работ</w:t>
      </w:r>
      <w:bookmarkEnd w:id="62"/>
      <w:bookmarkEnd w:id="63"/>
    </w:p>
    <w:p>
      <w:pPr>
        <w:pStyle w:val="Standard"/>
        <w:spacing w:before="0" w:after="0"/>
        <w:rPr>
          <w:sz w:val="22"/>
          <w:szCs w:val="22"/>
        </w:rPr>
      </w:pPr>
      <w:r>
        <w:rPr>
          <w:sz w:val="22"/>
          <w:szCs w:val="22"/>
        </w:rPr>
        <w:t>Наименование работ/этапа работ (позиции № I, II, III, IV Таблицы 2):</w:t>
      </w:r>
    </w:p>
    <w:p>
      <w:pPr>
        <w:pStyle w:val="Normal"/>
        <w:snapToGrid w:val="false"/>
        <w:spacing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 Загорская ГАЭС-2 нар. Кунье (достройка). Станционный узел. Устройство буронабивных свай в примыкании к ПС-3 Здания ГАЭС со стороны НБ (Черт. 2438-14-009);</w:t>
      </w:r>
    </w:p>
    <w:p>
      <w:pPr>
        <w:pStyle w:val="Style38"/>
        <w:keepNext w:val="false"/>
        <w:keepLines w:val="false"/>
        <w:widowControl w:val="false"/>
        <w:shd w:val="clear" w:color="auto" w:fill="auto"/>
        <w:bidi w:val="0"/>
        <w:spacing w:lineRule="auto" w:line="240"/>
        <w:ind w:left="0" w:right="0" w:hanging="0"/>
        <w:jc w:val="left"/>
        <w:rPr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0"/>
          <w:w w:val="100"/>
          <w:sz w:val="22"/>
          <w:szCs w:val="22"/>
        </w:rPr>
        <w:t>II. Устройство заезда и площадок для разборки пригруза подпорной стенки ПС-8 (черт 2348-27-ТЗ);</w:t>
      </w:r>
    </w:p>
    <w:p>
      <w:pPr>
        <w:pStyle w:val="Style38"/>
        <w:keepNext w:val="false"/>
        <w:keepLines w:val="false"/>
        <w:widowControl w:val="false"/>
        <w:shd w:val="clear" w:color="auto" w:fill="auto"/>
        <w:bidi w:val="0"/>
        <w:spacing w:lineRule="auto" w:line="271"/>
        <w:ind w:left="0" w:right="0" w:hanging="0"/>
        <w:jc w:val="left"/>
        <w:rPr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pacing w:val="0"/>
          <w:w w:val="100"/>
          <w:sz w:val="22"/>
          <w:szCs w:val="22"/>
        </w:rPr>
        <w:t xml:space="preserve">III. Станционный узел. НБ. Заезды и площадки для устройства стены из бурокасательных свай вдоль ПС-8 (черт 2348-27-ТЗ-2); </w:t>
      </w:r>
    </w:p>
    <w:p>
      <w:pPr>
        <w:pStyle w:val="Normal"/>
        <w:widowControl w:val="false"/>
        <w:ind w:hanging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Станционный узел. Нижний бьеф. Стена из бурокасательных свай вдоль ПС-8 </w:t>
      </w:r>
      <w:r>
        <w:rPr>
          <w:b/>
          <w:bCs/>
          <w:color w:val="000000"/>
          <w:spacing w:val="0"/>
          <w:w w:val="100"/>
          <w:sz w:val="22"/>
          <w:szCs w:val="22"/>
        </w:rPr>
        <w:t>(Черт: 2348-14-015);</w:t>
      </w:r>
    </w:p>
    <w:p>
      <w:pPr>
        <w:pStyle w:val="Normal"/>
        <w:widowControl w:val="false"/>
        <w:ind w:hanging="0"/>
        <w:jc w:val="left"/>
        <w:rPr>
          <w:b w:val="false"/>
          <w:bCs w:val="false"/>
          <w:sz w:val="22"/>
          <w:szCs w:val="22"/>
        </w:rPr>
      </w:pPr>
      <w:r>
        <w:rPr>
          <w:b/>
          <w:bCs/>
          <w:color w:val="000000"/>
          <w:spacing w:val="0"/>
          <w:w w:val="100"/>
          <w:sz w:val="22"/>
          <w:szCs w:val="22"/>
        </w:rPr>
        <w:t>V. Разборка пригруза левобережной подпорной стенки ПС-8.</w:t>
      </w:r>
    </w:p>
    <w:p>
      <w:pPr>
        <w:pStyle w:val="Normal"/>
        <w:snapToGrid w:val="false"/>
        <w:spacing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napToGrid w:val="false"/>
        <w:spacing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15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6"/>
        <w:gridCol w:w="2519"/>
        <w:gridCol w:w="6930"/>
      </w:tblGrid>
      <w:tr>
        <w:trPr>
          <w:trHeight w:val="26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>
        <w:trPr>
          <w:trHeight w:val="100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pacing w:before="0" w:after="0"/>
              <w:contextualSpacing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выполнению Работ</w:t>
            </w:r>
          </w:p>
        </w:tc>
      </w:tr>
      <w:tr>
        <w:trPr>
          <w:trHeight w:val="117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выполнению Работ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0"/>
              </w:numPr>
              <w:spacing w:before="0" w:after="0"/>
              <w:ind w:left="1247" w:hanging="1304"/>
              <w:contextualSpacing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При выполнении работ подрядчик должен руководствоваться следующими нормативными документами: СНиП 12-04-2002, СП 126.13330, СП 446.1325800-2019, СП 45.13330, СП 48.13330, СП 49.13330, СП 58.13330, СП 23.13330 и иным нормативным документам.</w:t>
            </w:r>
          </w:p>
          <w:p>
            <w:pPr>
              <w:pStyle w:val="Standard"/>
              <w:widowControl w:val="false"/>
              <w:spacing w:before="0" w:after="0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В случае если какой-либо из указанных нормативных документов был отменен в связи с выпуском новой редакции, то Подрядчику необходимо применять документ, принятый в его развитие.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1"/>
              </w:numPr>
              <w:spacing w:before="0" w:after="0"/>
              <w:ind w:left="1247" w:hanging="1304"/>
              <w:contextualSpacing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выполнения работ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1. Технология выполнения работ должна соответствовать технологии работ, предусмотренной рабочей документацией (документация приведена в Приложении №1 к Техническим требованиям) и указанной в таблице №2 Технических требований. Подрядчик может предложить свою технологию выполнения работ. Предложенная Подрядчиком технология выполнения работ должна обеспечивать выполнение работ в установленные в Договоре сроки и не оказывать негативное воздействие на иные конструктивы, элементы и оборудование. Технология выполнения работ отличная от технологии предусмотренной Техническими требованиями должна быть согласована с проектной организацией АО «Институт Гидропроект».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57" w:right="113" w:hanging="0"/>
              <w:contextualSpacing w:val="false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Требования к организации Работ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5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Допуск на объект производится в соответствии с регламентом  «Допуск персонала подрядных организаций на объекты  АО «Загорская ГАЭС-2»», утверждённым приказом АО «Загорская ГАЭС-2» от 06.03.2026 № ЗГАЭС2/83-0037 (Приложение №2 к настоящим Техническим требованиям).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5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согласование проекта производства работ (ППР)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До момента начала производства работ Подрядчик разрабатывает и согласовывает с Заказчиком проект производства работ (ППР).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1.3.1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используемым материалам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Все материалы, необходимые для выполнения Работ, указанные в таблице № 2 к настоящим Техническим требованиям, приобретаются и доставляются на место производства работ Подрядчиком самостоятельно. Возможно применение материалов эквивалентных проектным, которые по своим характеристикам /параметрам должны быть равными или лучше проектных. Применение эквивалентных материалов допустимо только при согласовании с Генпроектировщиком (АО «Институт Гидропроект») и без увеличения стоимости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Все поставляемые и применяемые материалы должны быть новыми и не использованными ранее.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1.4.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3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по контролю качества Работ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539" w:leader="none"/>
              </w:tabs>
              <w:spacing w:before="0" w:after="0"/>
              <w:ind w:left="0" w:hanging="0"/>
              <w:contextualSpacing w:val="false"/>
              <w:rPr/>
            </w:pPr>
            <w:r>
              <w:rPr>
                <w:rStyle w:val="Style8"/>
                <w:b w:val="false"/>
                <w:bCs w:val="false"/>
                <w:i w:val="false"/>
                <w:iCs w:val="false"/>
                <w:sz w:val="22"/>
                <w:szCs w:val="22"/>
                <w:shd w:fill="auto" w:val="clear"/>
              </w:rPr>
              <w:t>Осуществление строительного контроля подрядчиком в соответствии с Постановлением Правительства Российской Федерации № 468 от 21.06.2010 г.(с изменениями и дополнениями), с ведением журналов работ и оформлением актов согласно РД-11-02-2006 и РД-11-05-2007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‍</w:t>
            </w: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1.4.2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Требование к контролю качества используемых материалов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113" w:hanging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Подрядчик должен обеспечить входной контроль поступающих материалов, включающий в себя проверку наличия соответствующих сертификатов, паспортов, а также иных документов, свидетельствующих о качестве материалов.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1.5.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3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безопасности выполняемых Работ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Подрядчик должен: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соблюдать требования действующего законодательства Российской Федерации, нормативных правовых актов субъектов Российской Федерации, в т.ч. законодательство о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3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Требования к результатам Работ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  <w:shd w:fill="auto" w:val="clear"/>
              </w:rPr>
              <w:t>Общие требования к результатам Работ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Результат работ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Результатом работ являются полностью завершенные работы в соответствии с требованиями проектной документации и объемами, указанными в таблице № 2 к настоящим Техническим требованиям.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2.2.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оформлению документации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57" w:hanging="17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к исполнительной документации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Исполнительная документация оформляется и передаётся Заказчику на бумажном носителе в 2-х (двух) экз. и на электронном носителе в 1-ом (одном) экз.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приёмке результата выполнения Работ</w:t>
            </w:r>
          </w:p>
        </w:tc>
      </w:tr>
      <w:tr>
        <w:trPr>
          <w:trHeight w:val="1331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к приёмке</w:t>
            </w:r>
          </w:p>
        </w:tc>
        <w:tc>
          <w:tcPr>
            <w:tcW w:w="6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качества работ осуществляется в соответствии с СП 48.13330.2019, СТО «РусГидро» 01.02.132-2015 «Гидроэлектростанции. Контроль качества производства работ в процессе строительства. Норм</w:t>
            </w:r>
            <w:r>
              <w:rPr>
                <w:color w:val="000000"/>
                <w:sz w:val="22"/>
                <w:szCs w:val="22"/>
              </w:rPr>
              <w:t>ы и требования» (приложение №3 к настоящим Техническим требованиям) и Регламентом «Приёмка строительно-монтажных работ у подрядчика», утверждённого Распоряжением АО «Загорская ГАЭС-2» от 28.09.2022 № ЗГАЭС2/83-0008р (Приложение №4 к настоящим техническим требованиям).</w:t>
            </w:r>
          </w:p>
        </w:tc>
      </w:tr>
    </w:tbl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before="0" w:after="0"/>
        <w:ind w:left="0" w:hanging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widowControl/>
        <w:numPr>
          <w:ilvl w:val="0"/>
          <w:numId w:val="22"/>
        </w:numPr>
        <w:suppressAutoHyphens w:val="true"/>
        <w:bidi w:val="0"/>
        <w:spacing w:before="0" w:after="0"/>
        <w:ind w:left="0" w:hanging="0"/>
        <w:jc w:val="center"/>
        <w:textAlignment w:val="baseline"/>
        <w:rPr>
          <w:sz w:val="22"/>
          <w:szCs w:val="22"/>
        </w:rPr>
      </w:pPr>
      <w:bookmarkStart w:id="64" w:name="__RefHeading___Toc43956_102619219"/>
      <w:bookmarkEnd w:id="64"/>
      <w:r>
        <w:rPr>
          <w:sz w:val="22"/>
          <w:szCs w:val="22"/>
        </w:rPr>
        <w:t>Требования к ценообразованию:</w:t>
      </w:r>
    </w:p>
    <w:p>
      <w:pPr>
        <w:pStyle w:val="Heading3"/>
        <w:widowControl/>
        <w:suppressAutoHyphens w:val="true"/>
        <w:bidi w:val="0"/>
        <w:spacing w:before="0" w:after="0"/>
        <w:ind w:left="0" w:hanging="0"/>
        <w:jc w:val="left"/>
        <w:textAlignment w:val="baseline"/>
        <w:rPr>
          <w:sz w:val="22"/>
          <w:szCs w:val="22"/>
        </w:rPr>
      </w:pPr>
      <w:bookmarkStart w:id="65" w:name="__RefHeading___Toc21280_703139062"/>
      <w:bookmarkEnd w:id="65"/>
      <w:r>
        <w:rPr>
          <w:sz w:val="22"/>
          <w:szCs w:val="22"/>
        </w:rPr>
        <w:t xml:space="preserve">3.1 </w:t>
      </w:r>
      <w:r>
        <w:rPr>
          <w:sz w:val="22"/>
          <w:szCs w:val="22"/>
          <w:lang w:val="ru-RU"/>
        </w:rPr>
        <w:t>Требования к документации по ценообразованию на этапе закупки.</w:t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426" w:leader="none"/>
        </w:tabs>
        <w:spacing w:before="0" w:after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2"/>
          <w:szCs w:val="22"/>
          <w:shd w:fill="auto" w:val="clear"/>
          <w:lang w:eastAsia="x-none"/>
        </w:rPr>
        <w:t>3.1.1.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2"/>
          <w:szCs w:val="22"/>
          <w:shd w:fill="auto" w:val="clear"/>
          <w:lang w:eastAsia="x-none"/>
        </w:rPr>
        <w:t>3.1.2. В рамках исполнения договора Заказчиком будут выдаваться сметы в производство работ (разработанные проектным институтом АО «Институт Гидропроект») с учетом перехода в текущий уровень цен.</w:t>
      </w:r>
    </w:p>
    <w:p>
      <w:pPr>
        <w:pStyle w:val="Normal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2"/>
          <w:szCs w:val="22"/>
          <w:shd w:fill="auto" w:val="clear"/>
          <w:lang w:eastAsia="x-none"/>
        </w:rPr>
        <w:t>3.1.3. Если стоимость по смете, выданной в производство работ, будет превышать заявленную стоимость, в ходе исполнения договора Подрядчику необходимо применить соответствующий понижающий коэффициент и откорректировать стоимость в сторону ее уменьшения.</w:t>
      </w:r>
    </w:p>
    <w:p>
      <w:pPr>
        <w:pStyle w:val="Normal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2"/>
          <w:szCs w:val="22"/>
          <w:shd w:fill="auto" w:val="clear"/>
          <w:lang w:eastAsia="x-none"/>
        </w:rPr>
        <w:t xml:space="preserve">3.1.4. Если стоимость по смете, выданной в производство работ, будет ниже заявленной стоимости, стоимость должна быть откорректирована в сторону уменьшения.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Style w:val="Style8"/>
          <w:rFonts w:eastAsia="Calibri"/>
          <w:b w:val="false"/>
          <w:bCs/>
          <w:iCs/>
          <w:sz w:val="22"/>
          <w:szCs w:val="22"/>
          <w:shd w:fill="auto" w:val="clear"/>
          <w:lang w:eastAsia="x-none"/>
        </w:rPr>
      </w:pPr>
      <w:r>
        <w:rPr>
          <w:rFonts w:eastAsia="Calibri"/>
          <w:b w:val="false"/>
          <w:bCs/>
          <w:iCs/>
          <w:sz w:val="22"/>
          <w:szCs w:val="22"/>
          <w:shd w:fill="auto" w:val="clear"/>
          <w:lang w:eastAsia="x-none"/>
        </w:rPr>
      </w:r>
    </w:p>
    <w:p>
      <w:pPr>
        <w:pStyle w:val="Heading1"/>
        <w:numPr>
          <w:ilvl w:val="0"/>
          <w:numId w:val="23"/>
        </w:numPr>
        <w:spacing w:before="0" w:after="0"/>
        <w:ind w:left="0" w:hanging="0"/>
        <w:jc w:val="center"/>
        <w:rPr>
          <w:sz w:val="22"/>
          <w:szCs w:val="22"/>
        </w:rPr>
      </w:pPr>
      <w:bookmarkStart w:id="66" w:name="__RefHeading___Toc22167_383724698"/>
      <w:bookmarkStart w:id="67" w:name="_Toc233977672"/>
      <w:bookmarkEnd w:id="66"/>
      <w:r>
        <w:rPr>
          <w:sz w:val="22"/>
          <w:szCs w:val="22"/>
        </w:rPr>
        <w:t>Приложение.</w:t>
      </w:r>
      <w:bookmarkEnd w:id="67"/>
    </w:p>
    <w:p>
      <w:pPr>
        <w:pStyle w:val="Standard"/>
        <w:keepNext w:val="true"/>
        <w:keepLines/>
        <w:widowControl w:val="false"/>
        <w:tabs>
          <w:tab w:val="clear" w:pos="708"/>
          <w:tab w:val="left" w:pos="426" w:leader="none"/>
        </w:tabs>
        <w:spacing w:before="0" w:after="0"/>
        <w:jc w:val="both"/>
        <w:rPr/>
      </w:pPr>
      <w:r>
        <w:rPr>
          <w:rStyle w:val="Style8"/>
          <w:b w:val="false"/>
          <w:bCs/>
          <w:iCs/>
          <w:sz w:val="22"/>
          <w:szCs w:val="22"/>
          <w:shd w:fill="auto" w:val="clear"/>
        </w:rPr>
        <w:t>Приложение №1. Техническая документация.</w:t>
      </w:r>
    </w:p>
    <w:p>
      <w:pPr>
        <w:pStyle w:val="Standard"/>
        <w:tabs>
          <w:tab w:val="clear" w:pos="708"/>
          <w:tab w:val="left" w:pos="426" w:leader="none"/>
        </w:tabs>
        <w:spacing w:lineRule="auto" w:line="276" w:before="0" w:after="0"/>
        <w:jc w:val="both"/>
        <w:rPr/>
      </w:pPr>
      <w:r>
        <w:rPr>
          <w:rStyle w:val="Style8"/>
          <w:b w:val="false"/>
          <w:bCs/>
          <w:iCs/>
          <w:sz w:val="22"/>
          <w:szCs w:val="22"/>
          <w:shd w:fill="auto" w:val="clear"/>
        </w:rPr>
        <w:t>Приложение №2. «Допуск персонала подрядных организаций на объекты АО «Загорская ГАЭС-2»</w:t>
      </w:r>
      <w:r>
        <w:rPr>
          <w:rStyle w:val="Style8"/>
          <w:b w:val="false"/>
          <w:bCs/>
          <w:iCs/>
          <w:color w:val="000000"/>
          <w:sz w:val="22"/>
          <w:szCs w:val="22"/>
          <w:shd w:fill="auto" w:val="clear"/>
        </w:rPr>
        <w:t xml:space="preserve">», утверждённый приказом АО «Загорская ГАЭС-2» от 06.03.2026 № ЗГАЭС2/83-0037 </w:t>
      </w:r>
      <w:r>
        <w:rPr>
          <w:rStyle w:val="Style8"/>
          <w:b w:val="false"/>
          <w:bCs/>
          <w:iCs/>
          <w:sz w:val="22"/>
          <w:szCs w:val="22"/>
          <w:shd w:fill="auto" w:val="clear"/>
        </w:rPr>
        <w:t>.</w:t>
      </w:r>
    </w:p>
    <w:p>
      <w:pPr>
        <w:pStyle w:val="Standard"/>
        <w:tabs>
          <w:tab w:val="clear" w:pos="708"/>
          <w:tab w:val="left" w:pos="426" w:leader="none"/>
        </w:tabs>
        <w:spacing w:lineRule="auto" w:line="276" w:before="0" w:after="0"/>
        <w:jc w:val="both"/>
        <w:rPr/>
      </w:pPr>
      <w:r>
        <w:rPr>
          <w:rStyle w:val="Style8"/>
          <w:b w:val="false"/>
          <w:bCs/>
          <w:iCs/>
          <w:sz w:val="22"/>
          <w:szCs w:val="22"/>
          <w:shd w:fill="auto" w:val="clear"/>
        </w:rPr>
        <w:t>Приложение №3. СТО «РусГидро» 01.02.132-2015 «Гидроэлектростанции. Контроль качества производства работ в процессе строительства. Нормы и требования».</w:t>
      </w:r>
    </w:p>
    <w:p>
      <w:pPr>
        <w:pStyle w:val="Standard"/>
        <w:tabs>
          <w:tab w:val="clear" w:pos="708"/>
          <w:tab w:val="left" w:pos="426" w:leader="none"/>
        </w:tabs>
        <w:spacing w:lineRule="auto" w:line="276" w:before="0" w:after="0"/>
        <w:jc w:val="both"/>
        <w:rPr/>
      </w:pPr>
      <w:r>
        <w:rPr>
          <w:rStyle w:val="Style8"/>
          <w:b w:val="false"/>
          <w:bCs/>
          <w:iCs/>
          <w:sz w:val="22"/>
          <w:szCs w:val="22"/>
          <w:shd w:fill="auto" w:val="clear"/>
        </w:rPr>
        <w:t>Приложение №4. Регламент «Приёмка строительно-монтажных работ у подрядчика», утверждённый Распоряжением АО «Загорская ГАЭС-2» от 28.09.2022 № ЗГАЭС2/83-0008р.</w:t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Fonts w:ascii="Times New Roman" w:hAnsi="Times New Roman"/>
          <w:sz w:val="22"/>
          <w:szCs w:val="22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right"/>
      <w:rPr>
        <w:sz w:val="24"/>
      </w:rPr>
    </w:pPr>
    <w:r>
      <w:rPr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985" w:hanging="567"/>
      </w:pPr>
      <w:rPr/>
    </w:lvl>
    <w:lvl w:ilvl="4">
      <w:start w:val="0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5"/>
    <w:lvlOverride w:ilvl="0">
      <w:startOverride w:val="1"/>
    </w:lvlOverride>
  </w:num>
  <w:num w:numId="16">
    <w:abstractNumId w:val="5"/>
  </w:num>
  <w:num w:numId="17">
    <w:abstractNumId w:val="7"/>
    <w:lvlOverride w:ilvl="0">
      <w:startOverride w:val="1"/>
    </w:lvlOverride>
  </w:num>
  <w:num w:numId="18">
    <w:abstractNumId w:val="5"/>
  </w:num>
  <w:num w:numId="19">
    <w:abstractNumId w:val="9"/>
    <w:lvlOverride w:ilvl="0">
      <w:startOverride w:val="1"/>
    </w:lvlOverride>
  </w:num>
  <w:num w:numId="20">
    <w:abstractNumId w:val="9"/>
  </w:num>
  <w:num w:numId="21">
    <w:abstractNumId w:val="9"/>
  </w:num>
  <w:num w:numId="22">
    <w:abstractNumId w:val="5"/>
  </w:num>
  <w:num w:numId="23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uiPriority w:val="9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Standard"/>
    <w:uiPriority w:val="9"/>
    <w:unhideWhenUsed/>
    <w:qFormat/>
    <w:pPr>
      <w:outlineLvl w:val="1"/>
    </w:pPr>
    <w:rPr/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tabs>
        <w:tab w:val="clear" w:pos="708"/>
        <w:tab w:val="left" w:pos="1224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Standard"/>
    <w:uiPriority w:val="9"/>
    <w:unhideWhenUsed/>
    <w:qFormat/>
    <w:pPr>
      <w:outlineLvl w:val="3"/>
    </w:pPr>
    <w:rPr>
      <w:b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qFormat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qFormat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Symbol" w:customStyle="1">
    <w:name w:val="Footnote Symbol"/>
    <w:qFormat/>
    <w:rPr>
      <w:vertAlign w:val="superscript"/>
    </w:rPr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1" w:customStyle="1">
    <w:name w:val="Название Знак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3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EndnoteSymbol" w:customStyle="1">
    <w:name w:val="Endnote Symbol"/>
    <w:qFormat/>
    <w:rPr>
      <w:vertAlign w:val="superscript"/>
    </w:rPr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Linenumbering" w:customStyle="1">
    <w:name w:val="Line numbering"/>
    <w:qFormat/>
    <w:rPr/>
  </w:style>
  <w:style w:type="character" w:styleId="Hyperlink">
    <w:name w:val="Hyperlink"/>
    <w:basedOn w:val="DefaultParagraphFont"/>
    <w:uiPriority w:val="99"/>
    <w:unhideWhenUsed/>
    <w:rsid w:val="000057a2"/>
    <w:rPr>
      <w:color w:val="467886" w:themeColor="hyperlink"/>
      <w:u w:val="single"/>
    </w:rPr>
  </w:style>
  <w:style w:type="character" w:styleId="14" w:customStyle="1">
    <w:name w:val="Заголовок №1_"/>
    <w:basedOn w:val="DefaultParagraphFont"/>
    <w:qFormat/>
    <w:rPr>
      <w:rFonts w:ascii="Arial" w:hAnsi="Arial" w:eastAsia="Arial" w:cs="Arial"/>
      <w:sz w:val="38"/>
      <w:szCs w:val="38"/>
    </w:rPr>
  </w:style>
  <w:style w:type="character" w:styleId="Style15" w:customStyle="1">
    <w:name w:val="Другое_"/>
    <w:basedOn w:val="DefaultParagraphFont"/>
    <w:qFormat/>
    <w:rPr>
      <w:rFonts w:ascii="Arial" w:hAnsi="Arial" w:eastAsia="Arial" w:cs="Arial"/>
      <w:sz w:val="18"/>
      <w:szCs w:val="18"/>
      <w:shd w:fill="FFFFFF" w:val="clear"/>
    </w:rPr>
  </w:style>
  <w:style w:type="paragraph" w:styleId="Style16">
    <w:name w:val="Заголовок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Standard"/>
    <w:qFormat/>
    <w:pPr>
      <w:suppressLineNumbers/>
    </w:pPr>
    <w:rPr>
      <w:rFonts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3" w:customStyle="1">
    <w:name w:val="Раздел положения 2"/>
    <w:basedOn w:val="Standard"/>
    <w:qFormat/>
    <w:pPr>
      <w:pageBreakBefore/>
      <w:jc w:val="both"/>
      <w:outlineLvl w:val="0"/>
    </w:pPr>
    <w:rPr>
      <w:b/>
    </w:rPr>
  </w:style>
  <w:style w:type="paragraph" w:styleId="24" w:customStyle="1">
    <w:name w:val="Пункт2"/>
    <w:basedOn w:val="Standard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Style18" w:customStyle="1">
    <w:name w:val="УРОВЕНЬ_(а)"/>
    <w:basedOn w:val="ListParagraph"/>
    <w:qFormat/>
    <w:p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Title">
    <w:name w:val="Title"/>
    <w:basedOn w:val="Standard"/>
    <w:next w:val="Textbody"/>
    <w:uiPriority w:val="10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 w:customStyle="1">
    <w:name w:val="index heading1"/>
    <w:basedOn w:val="Title"/>
    <w:qFormat/>
    <w:pPr/>
    <w:rPr/>
  </w:style>
  <w:style w:type="paragraph" w:styleId="15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 w:customStyle="1">
    <w:name w:val="caption1111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6" w:customStyle="1">
    <w:name w:val="Указатель1"/>
    <w:basedOn w:val="Standard"/>
    <w:qFormat/>
    <w:pPr>
      <w:suppressLineNumbers/>
    </w:pPr>
    <w:rPr/>
  </w:style>
  <w:style w:type="paragraph" w:styleId="Caption11111" w:customStyle="1">
    <w:name w:val="caption11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5"/>
    <w:qFormat/>
    <w:pPr/>
    <w:rPr/>
  </w:style>
  <w:style w:type="paragraph" w:styleId="Caption111111" w:customStyle="1">
    <w:name w:val="caption111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111" w:customStyle="1">
    <w:name w:val="caption1111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Standard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Standard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Standard"/>
    <w:autoRedefine/>
    <w:qFormat/>
    <w:pPr>
      <w:numPr>
        <w:ilvl w:val="0"/>
        <w:numId w:val="1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17" w:customStyle="1">
    <w:name w:val="Шапка 1"/>
    <w:basedOn w:val="Standard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Standard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Standard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Standard"/>
    <w:qFormat/>
    <w:pPr>
      <w:jc w:val="center"/>
    </w:pPr>
    <w:rPr>
      <w:szCs w:val="20"/>
    </w:rPr>
  </w:style>
  <w:style w:type="paragraph" w:styleId="Style22">
    <w:name w:val="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  <w:szCs w:val="24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BlockText">
    <w:name w:val="Block Text"/>
    <w:basedOn w:val="Standard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Standard"/>
    <w:qFormat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Contents1" w:customStyle="1">
    <w:name w:val="Contents 1"/>
    <w:basedOn w:val="Standard"/>
    <w:next w:val="Standard"/>
    <w:autoRedefine/>
    <w:qFormat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Contents3" w:customStyle="1">
    <w:name w:val="Contents 3"/>
    <w:basedOn w:val="Standard"/>
    <w:next w:val="Standard"/>
    <w:autoRedefine/>
    <w:qFormat/>
    <w:pPr>
      <w:tabs>
        <w:tab w:val="clear" w:pos="708"/>
        <w:tab w:val="right" w:pos="10488" w:leader="dot"/>
      </w:tabs>
      <w:ind w:left="567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Standard"/>
    <w:qFormat/>
    <w:pPr/>
    <w:rPr/>
  </w:style>
  <w:style w:type="paragraph" w:styleId="Style26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9" w:customStyle="1">
    <w:name w:val="Обычный (веб)1"/>
    <w:basedOn w:val="Standard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9" w:customStyle="1">
    <w:name w:val="Contents 9"/>
    <w:basedOn w:val="Standard"/>
    <w:next w:val="Standard"/>
    <w:autoRedefine/>
    <w:qFormat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ind w:left="560" w:hanging="0"/>
    </w:pPr>
    <w:rPr>
      <w:rFonts w:cs="Calibri"/>
      <w:sz w:val="20"/>
      <w:szCs w:val="20"/>
    </w:rPr>
  </w:style>
  <w:style w:type="paragraph" w:styleId="Style27" w:customStyle="1">
    <w:name w:val="Знак Знак Знак Знак Знак Знак Знак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pPr>
      <w:spacing w:lineRule="auto" w:line="360"/>
    </w:pPr>
    <w:rPr>
      <w:rFonts w:eastAsia="Calibri"/>
      <w:sz w:val="24"/>
      <w:szCs w:val="24"/>
    </w:rPr>
  </w:style>
  <w:style w:type="paragraph" w:styleId="Caption11111111" w:customStyle="1">
    <w:name w:val="caption11111111"/>
    <w:basedOn w:val="Standard"/>
    <w:next w:val="Standard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Standard"/>
    <w:next w:val="Standard"/>
    <w:uiPriority w:val="11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Standard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Standard"/>
    <w:next w:val="Standard"/>
    <w:qFormat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2" w:customStyle="1">
    <w:name w:val="index heading2"/>
    <w:basedOn w:val="15"/>
    <w:qFormat/>
    <w:pPr/>
    <w:rPr/>
  </w:style>
  <w:style w:type="paragraph" w:styleId="Indexheading">
    <w:name w:val="index heading"/>
    <w:basedOn w:val="Style16"/>
    <w:qFormat/>
    <w:pPr/>
    <w:rPr/>
  </w:style>
  <w:style w:type="paragraph" w:styleId="ContentsHeading" w:customStyle="1">
    <w:name w:val="Contents Heading"/>
    <w:basedOn w:val="Heading1"/>
    <w:next w:val="Standard"/>
    <w:qFormat/>
    <w:pPr>
      <w:keepLines/>
      <w:spacing w:before="480" w:after="6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Standard"/>
    <w:qFormat/>
    <w:pPr>
      <w:jc w:val="both"/>
    </w:pPr>
    <w:rPr>
      <w:rFonts w:ascii="Garamond" w:hAnsi="Garamond" w:eastAsia="Garamond" w:cs="Garamond"/>
      <w:sz w:val="24"/>
      <w:szCs w:val="20"/>
    </w:rPr>
  </w:style>
  <w:style w:type="paragraph" w:styleId="41" w:customStyle="1">
    <w:name w:val="Маркированный список 41"/>
    <w:basedOn w:val="Standard"/>
    <w:qFormat/>
    <w:p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6" w:customStyle="1">
    <w:name w:val="Нумерованный список ур2"/>
    <w:basedOn w:val="Standard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9" w:customStyle="1">
    <w:name w:val="Пункт"/>
    <w:basedOn w:val="Standard"/>
    <w:qFormat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10" w:customStyle="1">
    <w:name w:val="Абзац списка1"/>
    <w:basedOn w:val="Standard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Style30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p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0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pPr>
      <w:keepLines/>
      <w:tabs>
        <w:tab w:val="clear" w:pos="1224"/>
        <w:tab w:val="left" w:pos="1134" w:leader="none"/>
      </w:tabs>
      <w:spacing w:before="480" w:after="240"/>
      <w:ind w:left="567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28" w:customStyle="1">
    <w:name w:val="Заголовок 2 КВВ"/>
    <w:basedOn w:val="Standard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4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Standard"/>
    <w:qFormat/>
    <w:pPr>
      <w:spacing w:before="280" w:after="280"/>
    </w:pPr>
    <w:rPr>
      <w:sz w:val="24"/>
      <w:szCs w:val="24"/>
    </w:rPr>
  </w:style>
  <w:style w:type="paragraph" w:styleId="112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Style35" w:customStyle="1">
    <w:name w:val="Содержимое врезки"/>
    <w:basedOn w:val="Standard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Xmsonormal" w:customStyle="1">
    <w:name w:val="x_msonormal"/>
    <w:basedOn w:val="Standard"/>
    <w:qFormat/>
    <w:pPr>
      <w:spacing w:before="280" w:after="280"/>
    </w:pPr>
    <w:rPr>
      <w:sz w:val="24"/>
      <w:szCs w:val="24"/>
    </w:rPr>
  </w:style>
  <w:style w:type="paragraph" w:styleId="Style38" w:customStyle="1">
    <w:name w:val="Другое"/>
    <w:basedOn w:val="Standard"/>
    <w:qFormat/>
    <w:pPr>
      <w:shd w:val="clear" w:color="auto" w:fill="FFFFFF"/>
    </w:pPr>
    <w:rPr>
      <w:rFonts w:ascii="Arial" w:hAnsi="Arial" w:eastAsia="Arial" w:cs="Arial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0057a2"/>
    <w:pPr>
      <w:spacing w:before="0" w:after="100"/>
    </w:pPr>
    <w:rPr/>
  </w:style>
  <w:style w:type="paragraph" w:styleId="TOC4">
    <w:name w:val="TOC 4"/>
    <w:basedOn w:val="Normal"/>
    <w:next w:val="Normal"/>
    <w:autoRedefine/>
    <w:uiPriority w:val="39"/>
    <w:unhideWhenUsed/>
    <w:rsid w:val="000057a2"/>
    <w:pPr>
      <w:spacing w:before="0" w:after="100"/>
      <w:ind w:left="600" w:hanging="0"/>
    </w:pPr>
    <w:rPr/>
  </w:style>
  <w:style w:type="paragraph" w:styleId="TOC3">
    <w:name w:val="TOC 3"/>
    <w:basedOn w:val="Normal"/>
    <w:next w:val="Normal"/>
    <w:autoRedefine/>
    <w:uiPriority w:val="39"/>
    <w:unhideWhenUsed/>
    <w:rsid w:val="000057a2"/>
    <w:pPr>
      <w:spacing w:before="0" w:after="100"/>
      <w:ind w:left="400" w:hanging="0"/>
    </w:pPr>
    <w:rPr/>
  </w:style>
  <w:style w:type="paragraph" w:styleId="113" w:customStyle="1">
    <w:name w:val="Заголовок №1"/>
    <w:basedOn w:val="Normal"/>
    <w:qFormat/>
    <w:pPr>
      <w:suppressAutoHyphens w:val="false"/>
      <w:ind w:firstLine="1000"/>
      <w:textAlignment w:val="auto"/>
      <w:outlineLvl w:val="0"/>
    </w:pPr>
    <w:rPr>
      <w:rFonts w:ascii="Arial" w:hAnsi="Arial" w:eastAsia="Arial" w:cs="Arial"/>
      <w:sz w:val="38"/>
      <w:szCs w:val="38"/>
    </w:rPr>
  </w:style>
  <w:style w:type="numbering" w:styleId="Style39" w:customStyle="1">
    <w:name w:val="Без списка"/>
    <w:qFormat/>
  </w:style>
  <w:style w:type="numbering" w:styleId="114" w:customStyle="1">
    <w:name w:val="Стиль1"/>
    <w:qFormat/>
  </w:style>
  <w:style w:type="numbering" w:styleId="29" w:customStyle="1">
    <w:name w:val="Стиль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Application>AlterOffice/3.4.0.9$Linux_X86_64 LibreOffice_project/b8daf9e823b1a5463a2f48435ddc2e8696e7d4fc</Application>
  <AppVersion>15.0000</AppVersion>
  <Pages>11</Pages>
  <Words>3114</Words>
  <Characters>19266</Characters>
  <CharactersWithSpaces>21805</CharactersWithSpaces>
  <Paragraphs>594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2026-07-03T10:28:00Z</dcterms:created>
  <dc:creator>Быстров Олег Геннадьевич</dc:creator>
  <dc:description/>
  <dc:language>ru-RU</dc:language>
  <cp:lastModifiedBy/>
  <dcterms:modified xsi:type="dcterms:W3CDTF">2026-08-18T08:00:07Z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