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0" w:after="0"/>
        <w:contextualSpacing/>
        <w:jc w:val="left"/>
        <w:rPr>
          <w:rFonts w:ascii="Arial" w:hAnsi="Arial" w:eastAsia="Times New Roman" w:cs="Arial"/>
          <w:color w:val="000000"/>
          <w:sz w:val="10"/>
          <w:szCs w:val="10"/>
        </w:rPr>
      </w:pPr>
      <w:r>
        <w:rPr>
          <w:rFonts w:eastAsia="Times New Roman" w:cs="Arial" w:ascii="Arial" w:hAnsi="Arial"/>
          <w:color w:val="000000"/>
          <w:sz w:val="10"/>
          <w:szCs w:val="10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30"/>
          <w:szCs w:val="30"/>
        </w:rPr>
      </w:pPr>
      <w:r>
        <w:rPr>
          <w:rFonts w:eastAsia="Times New Roman" w:cs="Arial" w:ascii="Arial" w:hAnsi="Arial"/>
          <w:bCs/>
          <w:sz w:val="30"/>
          <w:szCs w:val="30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2181860</wp:posOffset>
            </wp:positionH>
            <wp:positionV relativeFrom="paragraph">
              <wp:posOffset>29845</wp:posOffset>
            </wp:positionV>
            <wp:extent cx="1732915" cy="563245"/>
            <wp:effectExtent l="0" t="0" r="0" b="0"/>
            <wp:wrapThrough wrapText="bothSides">
              <wp:wrapPolygon edited="0">
                <wp:start x="1613" y="0"/>
                <wp:lineTo x="-51" y="3501"/>
                <wp:lineTo x="-51" y="19578"/>
                <wp:lineTo x="2322" y="21040"/>
                <wp:lineTo x="12296" y="21040"/>
                <wp:lineTo x="21319" y="21040"/>
                <wp:lineTo x="21319" y="13732"/>
                <wp:lineTo x="15621" y="11540"/>
                <wp:lineTo x="18707" y="8616"/>
                <wp:lineTo x="18473" y="0"/>
                <wp:lineTo x="1613" y="0"/>
              </wp:wrapPolygon>
            </wp:wrapThrough>
            <wp:docPr id="1" name="Рисунок 1" descr="C:\Users\portyanaya_vg\Desktop\1_Филиал ХЭ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portyanaya_vg\Desktop\1_Филиал ХЭС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center"/>
        <w:outlineLvl w:val="0"/>
        <w:rPr>
          <w:rFonts w:ascii="Arial" w:hAnsi="Arial" w:eastAsia="Times New Roman" w:cs="Arial"/>
          <w:b/>
          <w:bCs/>
          <w:sz w:val="10"/>
          <w:szCs w:val="10"/>
        </w:rPr>
      </w:pPr>
      <w:r>
        <w:rPr>
          <w:rFonts w:eastAsia="Times New Roman" w:cs="Arial" w:ascii="Arial" w:hAnsi="Arial"/>
          <w:b/>
          <w:bCs/>
          <w:sz w:val="10"/>
          <w:szCs w:val="10"/>
        </w:rPr>
      </w:r>
    </w:p>
    <w:tbl>
      <w:tblPr>
        <w:tblStyle w:val="a5"/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421"/>
      </w:tblGrid>
      <w:tr>
        <w:trPr>
          <w:trHeight w:val="709" w:hRule="atLeast"/>
        </w:trPr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120" w:after="0"/>
              <w:ind w:left="0" w:hanging="0"/>
              <w:jc w:val="center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kern w:val="0"/>
                <w:sz w:val="18"/>
                <w:szCs w:val="18"/>
                <w:lang w:val="ru-RU" w:bidi="ar-SA"/>
              </w:rPr>
              <w:t>Акционерное общество «Дальневосточная распределительная сетевая компания»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0"/>
              <w:rPr>
                <w:rFonts w:ascii="Arial" w:hAnsi="Arial" w:cs="Arial"/>
                <w:bCs/>
                <w:sz w:val="6"/>
                <w:szCs w:val="6"/>
              </w:rPr>
            </w:pPr>
            <w:r>
              <w:rPr>
                <w:rFonts w:cs="Arial" w:ascii="Arial" w:hAnsi="Arial"/>
                <w:bCs/>
                <w:sz w:val="6"/>
                <w:szCs w:val="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kern w:val="0"/>
                <w:sz w:val="18"/>
                <w:szCs w:val="18"/>
                <w:lang w:val="ru-RU" w:bidi="ar-SA"/>
              </w:rPr>
              <w:t>ФИЛИАЛ «ХАБАРОВСКИЕ ЭЛЕКТРИЧЕСКИЕ СЕТИ»</w:t>
            </w:r>
          </w:p>
        </w:tc>
      </w:tr>
      <w:tr>
        <w:trPr>
          <w:trHeight w:val="227" w:hRule="atLeast"/>
        </w:trPr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5"/>
              <w:tblW w:w="1017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10174"/>
            </w:tblGrid>
            <w:tr>
              <w:trPr>
                <w:trHeight w:val="227" w:hRule="atLeast"/>
              </w:trPr>
              <w:tc>
                <w:tcPr>
                  <w:tcW w:w="101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12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kern w:val="0"/>
                      <w:sz w:val="18"/>
                      <w:szCs w:val="18"/>
                      <w:lang w:val="ru-RU" w:bidi="ar-SA"/>
                    </w:rPr>
                    <w:t>ул. Промышленная,13, г. Хабаровск, 680009, Российская Федерация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101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center"/>
                    <w:rPr>
                      <w:rStyle w:val="Hyperlink"/>
                      <w:rFonts w:ascii="Arial" w:hAnsi="Arial" w:eastAsia="Times New Roman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Style w:val="Hyperlink"/>
                      <w:rFonts w:eastAsia="Times New Roman" w:cs="Arial" w:ascii="Arial" w:hAnsi="Arial"/>
                      <w:kern w:val="0"/>
                      <w:sz w:val="18"/>
                      <w:szCs w:val="18"/>
                      <w:lang w:val="en-US" w:bidi="ar-SA"/>
                    </w:rPr>
                    <w:t>doc@ khab.drsk.ru;  http://www.drsk.ru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cs="Arial" w:ascii="Arial" w:hAnsi="Arial"/>
                <w:sz w:val="18"/>
                <w:szCs w:val="18"/>
                <w:lang w:val="en-US"/>
              </w:rPr>
            </w:r>
          </w:p>
        </w:tc>
      </w:tr>
    </w:tbl>
    <w:p>
      <w:pPr>
        <w:pStyle w:val="Normal"/>
        <w:spacing w:before="120" w:after="0"/>
        <w:rPr>
          <w:lang w:val="en-US"/>
        </w:rPr>
      </w:pPr>
      <w:r>
        <w:rPr>
          <w:lang w:val="en-US"/>
        </w:rPr>
      </w:r>
    </w:p>
    <w:p>
      <w:pPr>
        <w:pStyle w:val="Normal"/>
        <w:spacing w:before="120" w:after="0"/>
        <w:rPr>
          <w:lang w:val="en-US"/>
        </w:rPr>
      </w:pPr>
      <w:r>
        <w:rPr>
          <w:lang w:val="en-US"/>
        </w:rPr>
      </w:r>
    </w:p>
    <w:p>
      <w:pPr>
        <w:pStyle w:val="Normal"/>
        <w:spacing w:before="120" w:after="0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bCs/>
          <w:i/>
          <w:iCs/>
          <w:sz w:val="26"/>
          <w:szCs w:val="26"/>
        </w:rPr>
        <w:t>Уважаемые участники!</w:t>
      </w:r>
    </w:p>
    <w:p>
      <w:pPr>
        <w:pStyle w:val="Normal"/>
        <w:spacing w:before="120" w:after="0"/>
        <w:jc w:val="left"/>
        <w:rPr>
          <w:rFonts w:ascii="Liberation Serif" w:hAnsi="Liberation Serif"/>
          <w:b/>
          <w:bCs/>
          <w:i/>
          <w:i/>
          <w:iCs/>
          <w:sz w:val="26"/>
          <w:szCs w:val="26"/>
        </w:rPr>
      </w:pPr>
      <w:r>
        <w:rPr>
          <w:rFonts w:ascii="Liberation Serif" w:hAnsi="Liberation Serif"/>
          <w:b/>
          <w:bCs/>
          <w:i/>
          <w:iCs/>
          <w:sz w:val="26"/>
          <w:szCs w:val="26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i w:val="false"/>
          <w:i w:val="false"/>
          <w:iCs w:val="false"/>
          <w:sz w:val="26"/>
          <w:szCs w:val="26"/>
        </w:rPr>
      </w:pPr>
      <w:r>
        <w:rPr>
          <w:rFonts w:ascii="Liberation Serif" w:hAnsi="Liberation Serif"/>
          <w:i w:val="false"/>
          <w:iCs w:val="false"/>
          <w:sz w:val="26"/>
          <w:szCs w:val="26"/>
        </w:rPr>
        <w:t xml:space="preserve">Филиал АО «Дальневосточная распределительная сетевая компания» «Хабаровские электрические сети» (далее – Заказчик) сообщает о проведении анализа технико-коммерческих предложений потенциальных поставщиков в рамках </w:t>
      </w:r>
      <w:r>
        <w:rPr>
          <w:rFonts w:ascii="Liberation Serif" w:hAnsi="Liberation Serif"/>
          <w:b/>
          <w:i w:val="false"/>
          <w:iCs w:val="false"/>
          <w:sz w:val="26"/>
          <w:szCs w:val="26"/>
        </w:rPr>
        <w:t xml:space="preserve">упрощенной закупки в электронном виде </w:t>
      </w:r>
      <w:r>
        <w:rPr>
          <w:rFonts w:ascii="Liberation Serif" w:hAnsi="Liberation Serif"/>
          <w:i w:val="false"/>
          <w:iCs w:val="false"/>
          <w:sz w:val="26"/>
          <w:szCs w:val="26"/>
        </w:rPr>
        <w:t xml:space="preserve">на право заключения договора </w:t>
      </w:r>
      <w:r>
        <w:rPr>
          <w:rFonts w:ascii="Liberation Serif" w:hAnsi="Liberation Serif"/>
          <w:b/>
          <w:bCs/>
          <w:i w:val="false"/>
          <w:iCs w:val="false"/>
          <w:sz w:val="26"/>
          <w:szCs w:val="26"/>
        </w:rPr>
        <w:t xml:space="preserve">по лоту № </w:t>
      </w:r>
      <w:r>
        <w:rPr>
          <w:b/>
          <w:bCs/>
          <w:i w:val="false"/>
          <w:iCs w:val="false"/>
          <w:strike w:val="false"/>
          <w:dstrike w:val="false"/>
          <w:outline w:val="false"/>
          <w:shadow w:val="false"/>
          <w:sz w:val="28"/>
          <w:szCs w:val="26"/>
          <w:u w:val="none"/>
          <w:em w:val="none"/>
        </w:rPr>
        <w:t>125601-</w:t>
      </w:r>
      <w:r>
        <w:rPr>
          <w:b/>
          <w:bCs/>
          <w:i w:val="false"/>
          <w:strike w:val="false"/>
          <w:dstrike w:val="false"/>
          <w:outline w:val="false"/>
          <w:shadow w:val="false"/>
          <w:sz w:val="28"/>
          <w:u w:val="none"/>
          <w:em w:val="none"/>
        </w:rPr>
        <w:t xml:space="preserve">ТПИР ОНМ-2026-ДРСК-ХЭС </w:t>
      </w:r>
      <w:r>
        <w:rPr>
          <w:rFonts w:ascii="Liberation Serif" w:hAnsi="Liberation Serif"/>
          <w:b/>
          <w:bCs/>
          <w:i w:val="false"/>
          <w:iCs w:val="false"/>
          <w:sz w:val="26"/>
          <w:szCs w:val="26"/>
        </w:rPr>
        <w:t>«</w:t>
      </w:r>
      <w:r>
        <w:rPr>
          <w:rFonts w:eastAsia="Calibri" w:cs="Times New Roman" w:ascii="Liberation Serif" w:hAnsi="Liberation Serif"/>
          <w:b/>
          <w:bCs/>
          <w:i/>
          <w:iCs/>
          <w:kern w:val="0"/>
          <w:sz w:val="26"/>
          <w:szCs w:val="26"/>
          <w:lang w:eastAsia="ru-RU" w:bidi="ar-SA"/>
        </w:rPr>
        <w:t xml:space="preserve">ОКПД2: </w:t>
      </w:r>
      <w:r>
        <w:rPr>
          <w:rFonts w:eastAsia="Calibri" w:cs="Times New Roman" w:ascii="Liberation Serif" w:hAnsi="Liberation Serif"/>
          <w:b/>
          <w:bCs/>
          <w:i/>
          <w:iCs/>
          <w:color w:val="000000"/>
          <w:kern w:val="0"/>
          <w:sz w:val="26"/>
          <w:szCs w:val="26"/>
          <w:lang w:eastAsia="ru-RU" w:bidi="ar-SA"/>
        </w:rPr>
        <w:t>26.20.40.143</w:t>
      </w:r>
      <w:r>
        <w:rPr>
          <w:rFonts w:eastAsia="Calibri" w:cs="Times New Roman" w:ascii="Liberation Serif" w:hAnsi="Liberation Serif"/>
          <w:b/>
          <w:bCs/>
          <w:i/>
          <w:iCs/>
          <w:kern w:val="0"/>
          <w:sz w:val="26"/>
          <w:szCs w:val="26"/>
          <w:lang w:eastAsia="ru-RU" w:bidi="ar-SA"/>
        </w:rPr>
        <w:t xml:space="preserve"> </w:t>
      </w:r>
      <w:r>
        <w:rPr>
          <w:rFonts w:eastAsia="Calibri" w:cs="Times New Roman" w:ascii="Liberation Serif" w:hAnsi="Liberation Serif"/>
          <w:b w:val="false"/>
          <w:bCs w:val="false"/>
          <w:i/>
          <w:iCs/>
          <w:strike w:val="false"/>
          <w:dstrike w:val="false"/>
          <w:outline w:val="false"/>
          <w:shadow w:val="false"/>
          <w:kern w:val="0"/>
          <w:sz w:val="26"/>
          <w:szCs w:val="26"/>
          <w:u w:val="none"/>
          <w:em w:val="none"/>
          <w:lang w:eastAsia="ru-RU" w:bidi="ar-SA"/>
        </w:rPr>
        <w:t>Приобретение оборудования и ПО, обеспечивающего защиту каналов связи в корпоративной сети филиала АО "ДРСК" "ХЭС"</w:t>
      </w:r>
      <w:r>
        <w:rPr>
          <w:rFonts w:eastAsia="Calibri" w:cs="Times New Roman" w:ascii="Liberation Serif" w:hAnsi="Liberation Serif"/>
          <w:b/>
          <w:bCs/>
          <w:i/>
          <w:iCs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 w:ascii="Liberation Serif" w:hAnsi="Liberation Serif"/>
          <w:b/>
          <w:bCs/>
          <w:i/>
          <w:iCs/>
          <w:kern w:val="0"/>
          <w:sz w:val="26"/>
          <w:szCs w:val="26"/>
          <w:lang w:eastAsia="ru-RU" w:bidi="ar-SA"/>
        </w:rPr>
        <w:t>(Р_27-ХЭС-5824)</w:t>
      </w:r>
      <w:r>
        <w:rPr>
          <w:rFonts w:ascii="Liberation Serif" w:hAnsi="Liberation Serif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>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№1,2,3 к настоящему запросу; существенные условия будущего договора (в том числе, условия оплаты и гарантийных обязательств) – см. приложение №4 к настоящему запросу.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Единственным критерием выбора контрагента, с которым впоследствии будет заключён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учёта НДС).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Начальная (максимальная) цена договора:</w:t>
      </w:r>
    </w:p>
    <w:p>
      <w:pPr>
        <w:pStyle w:val="Normal"/>
        <w:widowControl/>
        <w:numPr>
          <w:ilvl w:val="0"/>
          <w:numId w:val="5"/>
        </w:numPr>
        <w:suppressAutoHyphens w:val="true"/>
        <w:bidi w:val="0"/>
        <w:spacing w:lineRule="auto" w:line="240"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i/>
          <w:sz w:val="26"/>
          <w:szCs w:val="26"/>
        </w:rPr>
        <w:t>2 453 795,67 руб., без учета НДС,</w:t>
      </w:r>
    </w:p>
    <w:p>
      <w:pPr>
        <w:pStyle w:val="Normal"/>
        <w:widowControl/>
        <w:numPr>
          <w:ilvl w:val="0"/>
          <w:numId w:val="5"/>
        </w:numPr>
        <w:suppressAutoHyphens w:val="true"/>
        <w:bidi w:val="0"/>
        <w:spacing w:lineRule="auto" w:line="240"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i/>
          <w:sz w:val="26"/>
          <w:szCs w:val="26"/>
        </w:rPr>
        <w:t>2 9</w:t>
      </w:r>
      <w:r>
        <w:rPr>
          <w:rFonts w:ascii="Liberation Serif" w:hAnsi="Liberation Serif"/>
          <w:b/>
          <w:i/>
          <w:sz w:val="26"/>
          <w:szCs w:val="26"/>
        </w:rPr>
        <w:t>93</w:t>
      </w:r>
      <w:r>
        <w:rPr>
          <w:rFonts w:ascii="Liberation Serif" w:hAnsi="Liberation Serif"/>
          <w:b/>
          <w:i/>
          <w:sz w:val="26"/>
          <w:szCs w:val="26"/>
        </w:rPr>
        <w:t xml:space="preserve"> </w:t>
      </w:r>
      <w:r>
        <w:rPr>
          <w:rFonts w:ascii="Liberation Serif" w:hAnsi="Liberation Serif"/>
          <w:b/>
          <w:i/>
          <w:sz w:val="26"/>
          <w:szCs w:val="26"/>
        </w:rPr>
        <w:t>630</w:t>
      </w:r>
      <w:r>
        <w:rPr>
          <w:rFonts w:ascii="Liberation Serif" w:hAnsi="Liberation Serif"/>
          <w:b/>
          <w:i/>
          <w:sz w:val="26"/>
          <w:szCs w:val="26"/>
        </w:rPr>
        <w:t>,</w:t>
      </w:r>
      <w:r>
        <w:rPr>
          <w:rFonts w:ascii="Liberation Serif" w:hAnsi="Liberation Serif"/>
          <w:b/>
          <w:i/>
          <w:sz w:val="26"/>
          <w:szCs w:val="26"/>
        </w:rPr>
        <w:t>72</w:t>
      </w:r>
      <w:r>
        <w:rPr>
          <w:rFonts w:ascii="Liberation Serif" w:hAnsi="Liberation Serif"/>
          <w:b/>
          <w:i/>
          <w:sz w:val="26"/>
          <w:szCs w:val="26"/>
        </w:rPr>
        <w:t xml:space="preserve"> руб. с учетом НДС.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Настоящий запрос не является публичной офертой и не влечёт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произведённого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дату направления предложения;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гарантии наличия у Поставщика гражданской правоспособности в полном объёме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3 к настоящему запросу (анкета участника, выписка из ЕГРЮЛ/ЕГРИП, выписку из реестра МСП, сроком действия не более 1 мес. с момента подачи заявки участником);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3 к настоящему запросу);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подтверждение возможности поставки требуемого объёма продукции (см. приложение 3 к настоящему запросу);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сроки оказания услуг </w:t>
      </w:r>
      <w:r>
        <w:rPr>
          <w:rFonts w:ascii="Liberation Serif" w:hAnsi="Liberation Serif"/>
          <w:b/>
          <w:sz w:val="26"/>
          <w:szCs w:val="26"/>
        </w:rPr>
        <w:t>с 01.11.2026 по 29.12.2026 года</w:t>
      </w:r>
      <w:r>
        <w:rPr>
          <w:rFonts w:ascii="Liberation Serif" w:hAnsi="Liberation Serif"/>
          <w:sz w:val="26"/>
          <w:szCs w:val="26"/>
        </w:rPr>
        <w:t>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согласие Поставщика на существенные условия будущего договора, в том числе условия оплаты и поставки (см. приложение 4 к настоящему запросу): в размере 100 (Ста) процентов от стоимости оказанных услуг, </w:t>
      </w:r>
      <w:r>
        <w:rPr>
          <w:rFonts w:ascii="Liberation Serif" w:hAnsi="Liberation Serif"/>
          <w:b/>
          <w:bCs/>
          <w:sz w:val="26"/>
          <w:szCs w:val="26"/>
        </w:rPr>
        <w:t>в течение 20 (двадцати) календарных дней</w:t>
      </w:r>
      <w:r>
        <w:rPr>
          <w:rStyle w:val="FootnoteReference"/>
          <w:rFonts w:ascii="Liberation Serif" w:hAnsi="Liberation Serif"/>
          <w:b/>
          <w:bCs/>
          <w:sz w:val="26"/>
          <w:szCs w:val="26"/>
        </w:rPr>
        <w:footnoteReference w:id="2"/>
      </w:r>
      <w:r>
        <w:rPr>
          <w:rFonts w:ascii="Liberation Serif" w:hAnsi="Liberation Serif"/>
          <w:b/>
          <w:bCs/>
          <w:sz w:val="26"/>
          <w:szCs w:val="26"/>
        </w:rPr>
        <w:t xml:space="preserve"> /  45 (сорока пяти) календарных дней</w:t>
      </w:r>
      <w:r>
        <w:rPr>
          <w:rStyle w:val="FootnoteReference"/>
          <w:rFonts w:ascii="Liberation Serif" w:hAnsi="Liberation Serif"/>
          <w:b/>
          <w:bCs/>
          <w:sz w:val="26"/>
          <w:szCs w:val="26"/>
        </w:rPr>
        <w:footnoteReference w:id="3"/>
      </w:r>
      <w:r>
        <w:rPr>
          <w:rFonts w:ascii="Liberation Serif" w:hAnsi="Liberation Serif"/>
          <w:b/>
          <w:bCs/>
          <w:sz w:val="26"/>
          <w:szCs w:val="26"/>
        </w:rPr>
        <w:t xml:space="preserve"> / 7 (семи) рабочих дней</w:t>
      </w:r>
      <w:r>
        <w:rPr>
          <w:rStyle w:val="FootnoteReference"/>
          <w:rFonts w:ascii="Liberation Serif" w:hAnsi="Liberation Serif"/>
          <w:b/>
          <w:bCs/>
          <w:sz w:val="26"/>
          <w:szCs w:val="26"/>
        </w:rPr>
        <w:footnoteReference w:id="4"/>
      </w:r>
      <w:r>
        <w:rPr>
          <w:rFonts w:ascii="Liberation Serif" w:hAnsi="Liberation Serif"/>
          <w:b/>
          <w:bCs/>
          <w:sz w:val="26"/>
          <w:szCs w:val="26"/>
        </w:rPr>
        <w:t xml:space="preserve"> с даты подписания Сторонами Накладной ТОРГ-12, Акта об исполнении обязательств Лицензиатом по предоставлению прав использования ПО на основании счета, выставленного Поставщиком;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цену предложения в рублях (без НДС и с учётом НДС).</w:t>
      </w:r>
    </w:p>
    <w:p>
      <w:pPr>
        <w:pStyle w:val="Normal"/>
        <w:widowControl/>
        <w:bidi w:val="0"/>
        <w:ind w:left="0" w:right="0" w:firstLine="850"/>
        <w:jc w:val="both"/>
        <w:rPr>
          <w:rFonts w:ascii="Liberation Serif" w:hAnsi="Liberation Serif" w:eastAsia="Times New Roman"/>
        </w:rPr>
      </w:pPr>
      <w:r>
        <w:rPr>
          <w:rFonts w:eastAsia="Times New Roman" w:ascii="Liberation Serif" w:hAnsi="Liberation Serif"/>
          <w:shd w:fill="auto" w:val="clear"/>
        </w:rPr>
        <w:t>7. Срок подачи предложения: до</w:t>
      </w:r>
      <w:r>
        <w:rPr>
          <w:rFonts w:eastAsia="Times New Roman" w:ascii="Liberation Serif" w:hAnsi="Liberation Serif"/>
          <w:b/>
          <w:bCs/>
          <w:i/>
          <w:iCs/>
          <w:shd w:fill="auto" w:val="clear"/>
        </w:rPr>
        <w:t xml:space="preserve"> </w:t>
      </w:r>
      <w:r>
        <w:rPr>
          <w:rFonts w:eastAsia="Times New Roman" w:ascii="Liberation Serif" w:hAnsi="Liberation Serif"/>
          <w:b/>
          <w:bCs/>
          <w:i/>
          <w:iCs/>
          <w:shd w:fill="auto" w:val="clear"/>
        </w:rPr>
        <w:t>24</w:t>
      </w:r>
      <w:r>
        <w:rPr>
          <w:rFonts w:eastAsia="Times New Roman" w:ascii="Liberation Serif" w:hAnsi="Liberation Serif"/>
          <w:b/>
          <w:bCs/>
          <w:i/>
          <w:iCs/>
          <w:shd w:fill="auto" w:val="clear"/>
        </w:rPr>
        <w:t>.</w:t>
      </w:r>
      <w:r>
        <w:rPr>
          <w:rFonts w:eastAsia="Times New Roman" w:ascii="Liberation Serif" w:hAnsi="Liberation Serif"/>
          <w:b/>
          <w:bCs/>
          <w:i/>
          <w:iCs/>
          <w:shd w:fill="auto" w:val="clear"/>
        </w:rPr>
        <w:t>08.</w:t>
      </w:r>
      <w:r>
        <w:rPr>
          <w:rFonts w:eastAsia="Times New Roman" w:ascii="Liberation Serif" w:hAnsi="Liberation Serif"/>
          <w:b/>
          <w:bCs/>
          <w:i/>
          <w:iCs/>
          <w:shd w:fill="auto" w:val="clear"/>
        </w:rPr>
        <w:t>2026</w:t>
      </w:r>
      <w:r>
        <w:rPr>
          <w:rFonts w:eastAsia="Times New Roman" w:ascii="Liberation Serif" w:hAnsi="Liberation Serif"/>
          <w:shd w:fill="auto" w:val="clear"/>
        </w:rPr>
        <w:t xml:space="preserve"> года:</w:t>
      </w:r>
    </w:p>
    <w:p>
      <w:pPr>
        <w:pStyle w:val="Normal"/>
        <w:widowControl/>
        <w:bidi w:val="0"/>
        <w:ind w:left="0" w:right="0" w:firstLine="850"/>
        <w:jc w:val="both"/>
        <w:rPr>
          <w:rFonts w:ascii="Liberation Serif" w:hAnsi="Liberation Serif" w:eastAsia="Times New Roman"/>
          <w:shd w:fill="auto" w:val="clear"/>
        </w:rPr>
      </w:pPr>
      <w:r>
        <w:rPr>
          <w:rFonts w:eastAsia="Times New Roman" w:ascii="Liberation Serif" w:hAnsi="Liberation Serif"/>
          <w:shd w:fill="auto" w:val="clear"/>
        </w:rPr>
        <w:t>8. место подачи предложения: ЭТП РАД.</w:t>
      </w:r>
    </w:p>
    <w:p>
      <w:pPr>
        <w:pStyle w:val="Normal"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Приложения:</w:t>
      </w:r>
    </w:p>
    <w:p>
      <w:pPr>
        <w:pStyle w:val="Normal"/>
        <w:numPr>
          <w:ilvl w:val="0"/>
          <w:numId w:val="2"/>
        </w:numPr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Спецификация №1;</w:t>
      </w:r>
    </w:p>
    <w:p>
      <w:pPr>
        <w:pStyle w:val="Normal"/>
        <w:numPr>
          <w:ilvl w:val="0"/>
          <w:numId w:val="2"/>
        </w:numPr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Спецификация №2;</w:t>
      </w:r>
    </w:p>
    <w:p>
      <w:pPr>
        <w:pStyle w:val="Normal"/>
        <w:numPr>
          <w:ilvl w:val="0"/>
          <w:numId w:val="2"/>
        </w:numPr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Технические требования;</w:t>
      </w:r>
    </w:p>
    <w:p>
      <w:pPr>
        <w:pStyle w:val="Normal"/>
        <w:numPr>
          <w:ilvl w:val="0"/>
          <w:numId w:val="2"/>
        </w:numPr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Проект Договора;</w:t>
      </w:r>
    </w:p>
    <w:p>
      <w:pPr>
        <w:pStyle w:val="Normal"/>
        <w:numPr>
          <w:ilvl w:val="0"/>
          <w:numId w:val="2"/>
        </w:numPr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Анкета участника(Форма);</w:t>
      </w:r>
    </w:p>
    <w:p>
      <w:pPr>
        <w:pStyle w:val="Normal"/>
        <w:numPr>
          <w:ilvl w:val="0"/>
          <w:numId w:val="2"/>
        </w:numPr>
        <w:spacing w:before="120"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i/>
          <w:sz w:val="26"/>
          <w:szCs w:val="26"/>
        </w:rPr>
        <w:t>Оферта ответа на запрос ТКП(Форма).</w:t>
      </w:r>
    </w:p>
    <w:p>
      <w:pPr>
        <w:pStyle w:val="Normal"/>
        <w:spacing w:before="12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120" w:after="0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134" w:right="567" w:gutter="0" w:header="0" w:top="1134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14"/>
        </w:rPr>
        <w:footnoteRef/>
      </w:r>
      <w:r>
        <w:rPr/>
        <w:tab/>
        <w:t xml:space="preserve"> </w:t>
      </w:r>
      <w:r>
        <w:rPr/>
        <w:t>Для договоров, заключенных в рамках операционной (текущей) деятельности Общества</w:t>
      </w:r>
    </w:p>
  </w:footnote>
  <w:footnote w:id="3">
    <w:p>
      <w:pPr>
        <w:pStyle w:val="FootnoteText"/>
        <w:rPr/>
      </w:pPr>
      <w:r>
        <w:rPr>
          <w:rStyle w:val="Style14"/>
        </w:rPr>
        <w:footnoteRef/>
      </w:r>
      <w:r>
        <w:rPr/>
        <w:tab/>
        <w:t xml:space="preserve"> </w:t>
      </w:r>
      <w:r>
        <w:rPr/>
        <w:t>Для договоров, заключенных в рамках реализации инвестиционной программы Общества</w:t>
      </w:r>
    </w:p>
  </w:footnote>
  <w:footnote w:id="4">
    <w:p>
      <w:pPr>
        <w:pStyle w:val="FootnoteText"/>
        <w:rPr/>
      </w:pPr>
      <w:r>
        <w:rPr>
          <w:rStyle w:val="Style14"/>
        </w:rPr>
        <w:footnoteRef/>
      </w:r>
      <w:r>
        <w:rPr/>
        <w:tab/>
        <w:t xml:space="preserve"> </w:t>
      </w:r>
      <w:r>
        <w:rPr/>
        <w:t>Применяется в случае, если Контрагент является МСП, для закупок, участниками которых могут быть только МСП, а также в случае, если по результатам закупки среди любых участников победителем закупки признан МСП, при этом Общество попадает под действие постановления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570"/>
        </w:tabs>
        <w:ind w:left="15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930"/>
        </w:tabs>
        <w:ind w:left="19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650"/>
        </w:tabs>
        <w:ind w:left="26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010"/>
        </w:tabs>
        <w:ind w:left="30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70"/>
        </w:tabs>
        <w:ind w:left="33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090"/>
        </w:tabs>
        <w:ind w:left="40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450"/>
        </w:tabs>
        <w:ind w:left="445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4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c57a1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c57a1"/>
    <w:rPr>
      <w:rFonts w:ascii="Tahoma" w:hAnsi="Tahoma" w:eastAsia="Calibri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33445a"/>
    <w:rPr>
      <w:color w:val="0000FF" w:themeColor="hyperlink"/>
      <w:u w:val="single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c22786"/>
    <w:rPr>
      <w:rFonts w:ascii="Times New Roman" w:hAnsi="Times New Roman" w:eastAsia="Calibri" w:cs="Times New Roman"/>
      <w:sz w:val="26"/>
      <w:szCs w:val="26"/>
      <w:lang w:eastAsia="ru-RU"/>
    </w:rPr>
  </w:style>
  <w:style w:type="character" w:styleId="Style11" w:customStyle="1">
    <w:name w:val="Нижний колонтитул Знак"/>
    <w:basedOn w:val="DefaultParagraphFont"/>
    <w:uiPriority w:val="99"/>
    <w:qFormat/>
    <w:rsid w:val="00c22786"/>
    <w:rPr>
      <w:rFonts w:ascii="Times New Roman" w:hAnsi="Times New Roman" w:eastAsia="Calibri" w:cs="Times New Roman"/>
      <w:sz w:val="26"/>
      <w:szCs w:val="26"/>
      <w:lang w:eastAsia="ru-RU"/>
    </w:rPr>
  </w:style>
  <w:style w:type="character" w:styleId="Style12">
    <w:name w:val="Символ нумерации"/>
    <w:qFormat/>
    <w:rPr/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c57a1"/>
    <w:pPr/>
    <w:rPr>
      <w:rFonts w:ascii="Tahoma" w:hAnsi="Tahoma" w:cs="Tahoma"/>
      <w:sz w:val="16"/>
      <w:szCs w:val="16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c2278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1"/>
    <w:uiPriority w:val="99"/>
    <w:unhideWhenUsed/>
    <w:rsid w:val="00c2278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8816886161">
    <w:name w:val="8816886161"/>
    <w:qFormat/>
  </w:style>
  <w:style w:type="numbering" w:styleId="10610255151">
    <w:name w:val="10610255151"/>
    <w:qFormat/>
  </w:style>
  <w:style w:type="numbering" w:styleId="26906001401">
    <w:name w:val="26906001401"/>
    <w:qFormat/>
  </w:style>
  <w:style w:type="numbering" w:styleId="12165413141">
    <w:name w:val="12165413141"/>
    <w:qFormat/>
  </w:style>
  <w:style w:type="numbering" w:styleId="1647765831">
    <w:name w:val="1647765831"/>
    <w:qFormat/>
  </w:style>
  <w:style w:type="numbering" w:styleId="18496483821">
    <w:name w:val="18496483821"/>
    <w:qFormat/>
  </w:style>
  <w:style w:type="numbering" w:styleId="33556503251">
    <w:name w:val="33556503251"/>
    <w:qFormat/>
  </w:style>
  <w:style w:type="numbering" w:styleId="34845925611">
    <w:name w:val="34845925611"/>
    <w:qFormat/>
  </w:style>
  <w:style w:type="numbering" w:styleId="19891917711">
    <w:name w:val="19891917711"/>
    <w:qFormat/>
  </w:style>
  <w:style w:type="numbering" w:styleId="6979376941">
    <w:name w:val="6979376941"/>
    <w:qFormat/>
  </w:style>
  <w:style w:type="numbering" w:styleId="123">
    <w:name w:val="Нумерованный 12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c57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Application>AlterOffice/2025.3.1.0$Linux_X86_64 LibreOffice_project/431cd1b79110582f53535c95ed0a2449aadc8bf9</Application>
  <AppVersion>15.0000</AppVersion>
  <Pages>2</Pages>
  <Words>624</Words>
  <Characters>4301</Characters>
  <CharactersWithSpaces>4868</CharactersWithSpaces>
  <Paragraphs>38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2019-12-18T04:06:00Z</dcterms:created>
  <dc:creator>Фоменко Светлана Анатольевна</dc:creator>
  <dc:description/>
  <dc:language>ru-RU</dc:language>
  <cp:lastModifiedBy/>
  <cp:lastPrinted>2019-10-16T05:58:00Z</cp:lastPrinted>
  <dcterms:modified xsi:type="dcterms:W3CDTF">2026-08-18T15:11:13Z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