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3.xml" ContentType="application/vnd.openxmlformats-officedocument.wordprocessingml.header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 xml:space="preserve">   «УТВЕРЖДАЮ»</w:t>
      </w:r>
    </w:p>
    <w:p>
      <w:pPr>
        <w:pStyle w:val="Normal"/>
        <w:spacing w:lineRule="auto" w:line="276" w:before="0" w:after="200"/>
        <w:contextualSpacing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</w:t>
      </w:r>
      <w:r>
        <w:rPr>
          <w:rFonts w:eastAsia="Calibri"/>
          <w:sz w:val="24"/>
          <w:szCs w:val="24"/>
        </w:rPr>
        <w:t>иректор Центрального филиала АО «ТК РусГидро»</w:t>
      </w:r>
    </w:p>
    <w:p>
      <w:pPr>
        <w:pStyle w:val="Normal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ab/>
        <w:tab/>
        <w:tab/>
        <w:tab/>
        <w:tab/>
        <w:tab/>
        <w:tab/>
        <w:tab/>
        <w:tab/>
        <w:t xml:space="preserve">         ____________ </w:t>
      </w:r>
      <w:r>
        <w:rPr>
          <w:rFonts w:eastAsia="Calibri"/>
          <w:sz w:val="24"/>
          <w:szCs w:val="24"/>
        </w:rPr>
        <w:t>М.В. Нешев</w:t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ОКПД2 29.32.30.390</w:t>
      </w:r>
      <w:r>
        <w:rPr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По</w:t>
      </w:r>
      <w:r>
        <w:rPr>
          <w:b/>
          <w:bCs/>
          <w:sz w:val="24"/>
          <w:szCs w:val="24"/>
        </w:rPr>
        <w:t xml:space="preserve">ставка запасных частей для ремонта ходовой части бульдозера </w:t>
      </w:r>
      <w:r>
        <w:rPr>
          <w:rFonts w:eastAsia="Geneva" w:cs="Times New Roman"/>
          <w:b/>
          <w:bCs/>
          <w:sz w:val="28"/>
          <w:szCs w:val="28"/>
          <w:lang w:eastAsia="ru-RU"/>
        </w:rPr>
        <w:t>SHANTUI SD23</w:t>
      </w:r>
      <w:r>
        <w:rPr>
          <w:b/>
          <w:bCs/>
          <w:sz w:val="24"/>
          <w:szCs w:val="24"/>
        </w:rPr>
        <w:t xml:space="preserve"> Загорского строительного участка Центрального филиала АО «ТК РусГидро».</w:t>
      </w:r>
      <w:bookmarkStart w:id="0" w:name="_GoBack"/>
      <w:bookmarkEnd w:id="0"/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i/>
          <w:i/>
          <w:sz w:val="24"/>
          <w:szCs w:val="24"/>
        </w:rPr>
      </w:pPr>
      <w:r>
        <w:rPr>
          <w:rFonts w:eastAsia="Calibri"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"1-3"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139_1913739647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1_1913739647">
            <w:r>
              <w:rPr>
                <w:webHidden/>
                <w:rStyle w:val="Style14"/>
                <w:vanish w:val="false"/>
              </w:rPr>
              <w:t>2. Требования к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3_1913739647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5_1913739647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921" w:leader="dot"/>
            </w:tabs>
            <w:rPr/>
          </w:pPr>
          <w:hyperlink w:anchor="__RefHeading___Toc1147_1913739647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49_1913739647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1_1913739647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4</w:t>
            </w:r>
          </w:hyperlink>
        </w:p>
        <w:p>
          <w:pPr>
            <w:pStyle w:val="TOC1"/>
            <w:tabs>
              <w:tab w:val="clear" w:pos="560"/>
              <w:tab w:val="clear" w:pos="9911"/>
              <w:tab w:val="right" w:pos="9921" w:leader="dot"/>
            </w:tabs>
            <w:rPr/>
          </w:pPr>
          <w:hyperlink w:anchor="__RefHeading___Toc1153_1913739647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7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TOC1"/>
        <w:rPr>
          <w:rFonts w:ascii="Calibri" w:hAnsi="Calibri" w:eastAsia="新細明體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新細明體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both"/>
        <w:rPr>
          <w:caps/>
        </w:rPr>
      </w:pPr>
      <w:bookmarkStart w:id="1" w:name="__RefHeading___Toc1139_1913739647"/>
      <w:bookmarkStart w:id="2" w:name="_Toc51339692"/>
      <w:bookmarkStart w:id="3" w:name="_Toc190176008"/>
      <w:bookmarkEnd w:id="1"/>
      <w:r>
        <w:rPr/>
        <w:t>Общие сведения</w:t>
      </w:r>
      <w:bookmarkEnd w:id="2"/>
      <w:bookmarkEnd w:id="3"/>
    </w:p>
    <w:p>
      <w:pPr>
        <w:pStyle w:val="Heading4"/>
        <w:numPr>
          <w:ilvl w:val="1"/>
          <w:numId w:val="3"/>
        </w:numPr>
        <w:ind w:left="432" w:hanging="432"/>
        <w:rPr/>
      </w:pPr>
      <w:r>
        <w:rPr/>
        <w:t>Наименование закупаемой продукции</w:t>
      </w:r>
    </w:p>
    <w:p>
      <w:pPr>
        <w:pStyle w:val="Normal"/>
        <w:keepNext w:val="true"/>
        <w:keepLines/>
        <w:jc w:val="left"/>
        <w:rPr/>
      </w:pPr>
      <w:r>
        <w:rPr>
          <w:rFonts w:eastAsia="Calibri"/>
          <w:sz w:val="24"/>
          <w:szCs w:val="24"/>
          <w:lang w:eastAsia="x-none"/>
        </w:rPr>
        <w:t>ОКПД2 29.32.30.390 Поставка запасных частей для ремонта ходовой части бульдозера SHANTUI SD23 Загорского строительного участка Центрального филиала АО «ТК РусГидро».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4" w:name="_Toc46743507"/>
      <w:r>
        <w:rPr/>
        <w:t xml:space="preserve">Цель </w:t>
      </w:r>
      <w:bookmarkEnd w:id="4"/>
      <w:r>
        <w:rPr/>
        <w:t xml:space="preserve">использования закупаемой продукции </w:t>
      </w:r>
    </w:p>
    <w:p>
      <w:pPr>
        <w:pStyle w:val="Normal"/>
        <w:jc w:val="left"/>
        <w:rPr/>
      </w:pPr>
      <w:r>
        <w:rPr>
          <w:rStyle w:val="Style8"/>
          <w:b w:val="false"/>
          <w:i w:val="false"/>
          <w:sz w:val="24"/>
          <w:szCs w:val="24"/>
          <w:shd w:fill="auto" w:val="clear"/>
        </w:rPr>
        <w:t xml:space="preserve">Для проведения восстановительного ремонта бульдозера SHANTUI SD23 VIN SD23AA101631 г.н. 19 ХА 1650, Загорского строительного участка. </w:t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5" w:name="_Toc46743509"/>
      <w:bookmarkStart w:id="6" w:name="_Hlk49857604"/>
      <w:r>
        <w:rPr/>
        <w:t xml:space="preserve">Информация в отношении исполнения договора, </w:t>
      </w:r>
      <w:bookmarkStart w:id="7" w:name="_Hlk46492347"/>
      <w:r>
        <w:rPr/>
        <w:t xml:space="preserve">которая должна быть учтена при подготовке заявки </w:t>
      </w:r>
      <w:bookmarkEnd w:id="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5"/>
      <w:bookmarkEnd w:id="6"/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1.3.1 Товар должен соответствовать требованиям, установленным настоящими Техническими требованиями (далее ТТ).</w:t>
      </w:r>
    </w:p>
    <w:p>
      <w:pPr>
        <w:pStyle w:val="Heading4"/>
        <w:numPr>
          <w:ilvl w:val="1"/>
          <w:numId w:val="3"/>
        </w:numPr>
        <w:ind w:left="432" w:hanging="432"/>
        <w:rPr/>
      </w:pPr>
      <w:bookmarkStart w:id="8" w:name="_Hlk48209761"/>
      <w:bookmarkEnd w:id="8"/>
      <w:r>
        <w:rPr/>
        <w:t>Иные требования и сведения общего характера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1.4.1 Продукция должна быть не бывшая в употреблении, не прошедшей ремонт, в том числе восстановление и замену составных частей, восстановление потребительских свойств. 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Год изготовления товара – не ранее 2025 г.</w:t>
      </w:r>
    </w:p>
    <w:p>
      <w:pPr>
        <w:pStyle w:val="Normal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numPr>
          <w:ilvl w:val="0"/>
          <w:numId w:val="3"/>
        </w:numPr>
        <w:ind w:left="0" w:hanging="0"/>
        <w:rPr>
          <w:caps/>
          <w:lang w:val="ru-RU"/>
        </w:rPr>
      </w:pPr>
      <w:bookmarkStart w:id="9" w:name="__RefHeading___Toc1141_1913739647"/>
      <w:bookmarkStart w:id="10" w:name="_Toc190176009"/>
      <w:bookmarkStart w:id="11" w:name="_Toc124170681"/>
      <w:bookmarkStart w:id="12" w:name="_Toc51339693"/>
      <w:bookmarkEnd w:id="9"/>
      <w:r>
        <w:rPr/>
        <w:t>Требования к продукции</w:t>
      </w:r>
      <w:bookmarkEnd w:id="10"/>
      <w:bookmarkEnd w:id="11"/>
      <w:bookmarkEnd w:id="12"/>
    </w:p>
    <w:p>
      <w:pPr>
        <w:pStyle w:val="Heading4"/>
        <w:numPr>
          <w:ilvl w:val="1"/>
          <w:numId w:val="3"/>
        </w:numPr>
        <w:ind w:left="432" w:hanging="0"/>
        <w:rPr/>
      </w:pPr>
      <w:r>
        <w:rPr/>
        <w:t xml:space="preserve">Требования к объемам и срокам </w:t>
      </w:r>
      <w:r>
        <w:rPr>
          <w:lang w:val="ru-RU"/>
        </w:rPr>
        <w:t>поставки</w:t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3" w:name="__RefHeading___Toc1143_1913739647"/>
      <w:bookmarkStart w:id="14" w:name="_Toc190176010"/>
      <w:bookmarkEnd w:id="13"/>
      <w:r>
        <w:rPr/>
        <w:t>Перечень и объем закупаемой продукции</w:t>
      </w:r>
      <w:bookmarkEnd w:id="14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15" w:name="__RefHeading___Toc1145_1913739647"/>
      <w:bookmarkStart w:id="16" w:name="_Toc190176011"/>
      <w:bookmarkStart w:id="17" w:name="_Toc51339695"/>
      <w:bookmarkEnd w:id="15"/>
      <w:r>
        <w:rPr>
          <w:sz w:val="24"/>
          <w:szCs w:val="24"/>
        </w:rPr>
        <w:t>Таблица 1.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Перечень </w:t>
      </w:r>
      <w:bookmarkEnd w:id="17"/>
      <w:r>
        <w:rPr>
          <w:sz w:val="24"/>
          <w:szCs w:val="24"/>
        </w:rPr>
        <w:t>и объем закупаемой продукции</w:t>
      </w:r>
      <w:bookmarkEnd w:id="16"/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18"/>
        <w:gridCol w:w="4513"/>
        <w:gridCol w:w="1273"/>
        <w:gridCol w:w="3685"/>
      </w:tblGrid>
      <w:tr>
        <w:trPr>
          <w:tblHeader w:val="true"/>
          <w:trHeight w:val="423" w:hRule="atLeast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товара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Ведущее колесо 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ru-RU" w:bidi="ar-SA"/>
              </w:rPr>
              <w:t>Натяжитель гусеницы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ботный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Каток поддерживающий 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Колесо направляющее 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Цепь гусеничная в сборе 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jc w:val="center"/>
              <w:rPr/>
            </w:pPr>
            <w:r>
              <w:rPr/>
            </w:r>
          </w:p>
        </w:tc>
        <w:tc>
          <w:tcPr>
            <w:tcW w:w="45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Сегмент звездочки</w:t>
            </w:r>
          </w:p>
        </w:tc>
        <w:tc>
          <w:tcPr>
            <w:tcW w:w="12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36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2"/>
          <w:numId w:val="3"/>
        </w:numPr>
        <w:ind w:left="0" w:hanging="0"/>
        <w:rPr/>
      </w:pPr>
      <w:bookmarkStart w:id="18" w:name="__RefHeading___Toc1147_1913739647"/>
      <w:bookmarkStart w:id="19" w:name="_Toc190176012"/>
      <w:bookmarkStart w:id="20" w:name="_Toc51339696"/>
      <w:bookmarkEnd w:id="18"/>
      <w:r>
        <w:rPr/>
        <w:t xml:space="preserve">Требования </w:t>
      </w:r>
      <w:bookmarkEnd w:id="20"/>
      <w:r>
        <w:rPr/>
        <w:t>к срокам поставки продукции и оказания сопутствующих услуг</w:t>
      </w:r>
      <w:bookmarkEnd w:id="19"/>
    </w:p>
    <w:p>
      <w:pPr>
        <w:pStyle w:val="Heading1"/>
        <w:tabs>
          <w:tab w:val="clear" w:pos="0"/>
        </w:tabs>
        <w:ind w:left="0" w:hanging="0"/>
        <w:rPr>
          <w:sz w:val="24"/>
          <w:szCs w:val="24"/>
          <w:lang w:val="ru-RU"/>
        </w:rPr>
      </w:pPr>
      <w:bookmarkStart w:id="21" w:name="__RefHeading___Toc1149_1913739647"/>
      <w:bookmarkStart w:id="22" w:name="_Toc190176013"/>
      <w:bookmarkStart w:id="23" w:name="_Toc51339697"/>
      <w:bookmarkStart w:id="24" w:name="_Toc50125127"/>
      <w:bookmarkStart w:id="25" w:name="_Toc50125126"/>
      <w:bookmarkEnd w:id="21"/>
      <w:bookmarkEnd w:id="2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6" w:name="_Hlk50465284"/>
      <w:r>
        <w:rPr>
          <w:sz w:val="24"/>
          <w:szCs w:val="24"/>
        </w:rPr>
        <w:t xml:space="preserve">Требования по срокам </w:t>
      </w:r>
      <w:bookmarkEnd w:id="23"/>
      <w:bookmarkEnd w:id="24"/>
      <w:bookmarkEnd w:id="26"/>
      <w:r>
        <w:rPr>
          <w:sz w:val="24"/>
          <w:szCs w:val="24"/>
          <w:lang w:val="ru-RU"/>
        </w:rPr>
        <w:t>поставки продукции</w:t>
      </w:r>
      <w:bookmarkEnd w:id="22"/>
      <w:r>
        <w:rPr>
          <w:sz w:val="24"/>
          <w:szCs w:val="24"/>
          <w:lang w:val="ru-RU"/>
        </w:rPr>
        <w:t xml:space="preserve"> </w:t>
      </w:r>
    </w:p>
    <w:tbl>
      <w:tblPr>
        <w:tblW w:w="1049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2976"/>
        <w:gridCol w:w="2833"/>
        <w:gridCol w:w="3685"/>
      </w:tblGrid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/ партии продукции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 продукции:</w:t>
            </w:r>
          </w:p>
          <w:p>
            <w:pPr>
              <w:pStyle w:val="Normal"/>
              <w:keepNext w:val="true"/>
              <w:keepLines/>
              <w:widowControl w:val="false"/>
              <w:jc w:val="left"/>
              <w:rPr/>
            </w:pPr>
            <w:r>
              <w:rPr>
                <w:rFonts w:eastAsia="Calibri"/>
                <w:sz w:val="24"/>
                <w:szCs w:val="24"/>
                <w:lang w:eastAsia="x-none"/>
              </w:rPr>
              <w:t>ОКПД2 29.32.30.390 Поставка запасных частей для ремонта ходовой части бульдозера SHANTUI SD23 Загорского строительного участка Центрального филиала АО «ТК РусГидро».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внесения авансового платежа в размере 100 %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7 (семи) календарных дней</w:t>
            </w:r>
          </w:p>
        </w:tc>
      </w:tr>
    </w:tbl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bookmarkStart w:id="27" w:name="_Toc46743510"/>
      <w:bookmarkStart w:id="28" w:name="_Toc46743510"/>
      <w:bookmarkEnd w:id="28"/>
    </w:p>
    <w:p>
      <w:pPr>
        <w:pStyle w:val="Heading4"/>
        <w:numPr>
          <w:ilvl w:val="1"/>
          <w:numId w:val="3"/>
        </w:numPr>
        <w:ind w:left="432" w:hanging="0"/>
        <w:rPr/>
      </w:pPr>
      <w:bookmarkStart w:id="29" w:name="_Toc51339698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</w:p>
    <w:p>
      <w:pPr>
        <w:pStyle w:val="Heading1"/>
        <w:tabs>
          <w:tab w:val="clear" w:pos="0"/>
        </w:tabs>
        <w:ind w:left="0" w:hanging="0"/>
        <w:rPr>
          <w:sz w:val="24"/>
          <w:szCs w:val="24"/>
        </w:rPr>
      </w:pPr>
      <w:bookmarkStart w:id="31" w:name="__RefHeading___Toc1151_1913739647"/>
      <w:bookmarkEnd w:id="31"/>
      <w:r>
        <w:rPr/>
        <w:t xml:space="preserve"> </w:t>
      </w:r>
      <w:bookmarkStart w:id="32" w:name="_Toc19017601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2"/>
      <w:r>
        <w:rPr>
          <w:sz w:val="24"/>
          <w:szCs w:val="24"/>
        </w:rPr>
        <w:t xml:space="preserve"> </w:t>
      </w:r>
      <w:bookmarkEnd w:id="29"/>
    </w:p>
    <w:p>
      <w:pPr>
        <w:pStyle w:val="Normal"/>
        <w:rPr>
          <w:sz w:val="24"/>
          <w:szCs w:val="24"/>
          <w:lang w:eastAsia="x-none"/>
        </w:rPr>
      </w:pPr>
      <w:r>
        <w:rPr>
          <w:b/>
          <w:bCs/>
          <w:sz w:val="24"/>
          <w:szCs w:val="24"/>
          <w:shd w:fill="auto" w:val="clear"/>
          <w:lang w:val="ru-RU" w:eastAsia="x-none"/>
        </w:rPr>
        <w:t>Наименование услуг/этапа услуг (позиция № 1-8 Таблицы 1.1):</w:t>
      </w:r>
      <w:r>
        <w:rPr>
          <w:sz w:val="24"/>
          <w:szCs w:val="24"/>
          <w:lang w:eastAsia="x-none"/>
        </w:rPr>
        <w:t xml:space="preserve"> ОКПД2 29.32.30.390 Поставка запасных частей для восстановительного ремонта бульдозеров SHANTUI SD23 Загорского строительного участка Центрального филиала АО «ТК РусГидро».</w:t>
      </w:r>
    </w:p>
    <w:tbl>
      <w:tblPr>
        <w:tblStyle w:val="affff7"/>
        <w:tblW w:w="10632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95"/>
        <w:gridCol w:w="2510"/>
        <w:gridCol w:w="2879"/>
        <w:gridCol w:w="1553"/>
        <w:gridCol w:w="1422"/>
        <w:gridCol w:w="1272"/>
      </w:tblGrid>
      <w:tr>
        <w:trPr/>
        <w:tc>
          <w:tcPr>
            <w:tcW w:w="9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51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87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297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51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7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638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>Наименование детали/оборудования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lang w:val="ru-RU" w:eastAsia="ru-RU" w:bidi="ar-SA"/>
              </w:rPr>
              <w:t xml:space="preserve">Код/артикул/модель детали/оборудования 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Ведущее колесо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VIN SD23AA101631 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color w:val="000000"/>
                <w:kern w:val="0"/>
                <w:sz w:val="24"/>
                <w:szCs w:val="24"/>
                <w:lang w:val="ru-RU" w:eastAsia="ru-RU" w:bidi="ar-SA"/>
              </w:rPr>
              <w:t>Натяжитель гусеницы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2-х ботный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Каток опорный 1 бортный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Каток поддерживающий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Колесо направляющее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 xml:space="preserve">Цепь гусеничная в сборе 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  <w:numId w:val="7"/>
              </w:numPr>
              <w:suppressAutoHyphens w:val="true"/>
              <w:bidi w:val="0"/>
              <w:spacing w:before="60" w:after="60"/>
              <w:ind w:left="1474" w:right="0" w:hanging="1361"/>
              <w:jc w:val="center"/>
              <w:rPr/>
            </w:pPr>
            <w:r>
              <w:rPr/>
            </w:r>
          </w:p>
        </w:tc>
        <w:tc>
          <w:tcPr>
            <w:tcW w:w="2510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ru-RU" w:bidi="ar-SA"/>
              </w:rPr>
              <w:t>Сегмент звездочки</w:t>
            </w:r>
          </w:p>
        </w:tc>
        <w:tc>
          <w:tcPr>
            <w:tcW w:w="287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160"/>
              <w:contextualSpacing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Подбор по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VIN SD23AA101631</w:t>
            </w:r>
          </w:p>
        </w:tc>
        <w:tc>
          <w:tcPr>
            <w:tcW w:w="155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272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Качество и безопасность товара должны соответствовать </w:t>
            </w: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Постановление Правительства РФ от 2 ноября 2022 г. N 1967 "Об утверждении требований к техническому состоянию и эксплуатации самоходных машин и других видов техники, изготовленных и допущенных к эксплуатации до вступления в силу технических регламентов Таможенного союза, регулирующих вопросы безопасности самоходных машин 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1A1A1A"/>
                <w:kern w:val="0"/>
                <w:sz w:val="24"/>
                <w:szCs w:val="24"/>
                <w:lang w:val="ru-RU" w:eastAsia="ru-RU" w:bidi="ar-SA"/>
              </w:rPr>
              <w:t>других видов техники"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.1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Место поставки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</w:t>
            </w:r>
          </w:p>
        </w:tc>
        <w:tc>
          <w:tcPr>
            <w:tcW w:w="155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упаковке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эксплуатации, обеспечению и утилизации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>
          <w:trHeight w:val="1639" w:hRule="atLeast"/>
        </w:trPr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обеспечивать взаимодействие с транспортными средствами Покупателя. Продукция должна обеспечивать устойчивую, надёжную и безопасную работу агрегатов и узлов транспортного средства.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– в соответствии с гарантией завода изготовителя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6.</w:t>
            </w:r>
          </w:p>
        </w:tc>
        <w:tc>
          <w:tcPr>
            <w:tcW w:w="5389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2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251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Состав пакета документов, передаваемых вместе с товаром</w:t>
            </w:r>
          </w:p>
        </w:tc>
        <w:tc>
          <w:tcPr>
            <w:tcW w:w="287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товарно-транспортная накладная</w:t>
            </w:r>
          </w:p>
        </w:tc>
        <w:tc>
          <w:tcPr>
            <w:tcW w:w="155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42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strike/>
          <w:color w:val="FF0000"/>
          <w:lang w:val="x-none" w:eastAsia="x-none"/>
        </w:rPr>
      </w:pPr>
      <w:r>
        <w:rPr>
          <w:strike/>
          <w:color w:val="FF0000"/>
          <w:lang w:val="x-none" w:eastAsia="x-none"/>
        </w:rPr>
      </w:r>
    </w:p>
    <w:p>
      <w:pPr>
        <w:pStyle w:val="Heading1"/>
        <w:numPr>
          <w:ilvl w:val="0"/>
          <w:numId w:val="3"/>
        </w:numPr>
        <w:ind w:left="0" w:hanging="0"/>
        <w:rPr/>
      </w:pPr>
      <w:bookmarkStart w:id="33" w:name="__RefHeading___Toc1153_1913739647"/>
      <w:bookmarkStart w:id="34" w:name="_Toc190176015"/>
      <w:bookmarkEnd w:id="33"/>
      <w:r>
        <w:rPr/>
        <w:t>Требования к документации по ценообразованию на этапе закупки</w:t>
      </w:r>
      <w:bookmarkEnd w:id="3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обоснование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стоимости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своей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заявки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Участник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предоставляет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Коммерческое</w:t>
      </w:r>
      <w:r>
        <w:rPr>
          <w:i w:val="false"/>
          <w:iCs w:val="false"/>
          <w:spacing w:val="-57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предложение по форме (с учетом прилагаемой к ней инструкции по заполнению),</w:t>
      </w:r>
      <w:r>
        <w:rPr>
          <w:i w:val="false"/>
          <w:iCs w:val="false"/>
          <w:spacing w:val="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приведенной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в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Документации</w:t>
      </w:r>
      <w:r>
        <w:rPr>
          <w:i w:val="false"/>
          <w:iCs w:val="false"/>
          <w:spacing w:val="-1"/>
          <w:sz w:val="24"/>
          <w:szCs w:val="24"/>
          <w:shd w:fill="auto" w:val="clear"/>
        </w:rPr>
        <w:t xml:space="preserve"> </w:t>
      </w:r>
      <w:r>
        <w:rPr>
          <w:i w:val="false"/>
          <w:iCs w:val="false"/>
          <w:sz w:val="24"/>
          <w:szCs w:val="24"/>
          <w:shd w:fill="auto" w:val="clear"/>
        </w:rPr>
        <w:t>о закупке.</w:t>
      </w:r>
    </w:p>
    <w:p>
      <w:pPr>
        <w:pStyle w:val="ListParagraph"/>
        <w:widowControl/>
        <w:numPr>
          <w:ilvl w:val="1"/>
          <w:numId w:val="6"/>
        </w:numPr>
        <w:tabs>
          <w:tab w:val="clear" w:pos="708"/>
          <w:tab w:val="left" w:pos="0" w:leader="none"/>
        </w:tabs>
        <w:suppressAutoHyphens w:val="true"/>
        <w:bidi w:val="0"/>
        <w:spacing w:lineRule="auto" w:line="240" w:before="120" w:after="0"/>
        <w:ind w:left="0" w:right="0" w:hanging="0"/>
        <w:contextualSpacing w:val="false"/>
        <w:jc w:val="both"/>
        <w:rPr>
          <w:i w:val="false"/>
          <w:i w:val="false"/>
          <w:iCs w:val="false"/>
          <w:highlight w:val="none"/>
          <w:shd w:fill="auto" w:val="clear"/>
        </w:rPr>
      </w:pPr>
      <w:r>
        <w:rPr>
          <w:i w:val="false"/>
          <w:iCs w:val="false"/>
          <w:shd w:fill="auto" w:val="clear"/>
        </w:rPr>
        <w:t>3.2. Дополнительные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документы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по</w:t>
      </w:r>
      <w:r>
        <w:rPr>
          <w:i w:val="false"/>
          <w:iCs w:val="false"/>
          <w:spacing w:val="-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ценообразованию</w:t>
      </w:r>
      <w:r>
        <w:rPr>
          <w:i w:val="false"/>
          <w:iCs w:val="false"/>
          <w:spacing w:val="2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состав</w:t>
      </w:r>
      <w:r>
        <w:rPr>
          <w:i w:val="false"/>
          <w:iCs w:val="false"/>
          <w:spacing w:val="-4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заявки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не</w:t>
      </w:r>
      <w:r>
        <w:rPr>
          <w:i w:val="false"/>
          <w:iCs w:val="false"/>
          <w:spacing w:val="-3"/>
          <w:shd w:fill="auto" w:val="clear"/>
        </w:rPr>
        <w:t xml:space="preserve"> </w:t>
      </w:r>
      <w:r>
        <w:rPr>
          <w:i w:val="false"/>
          <w:iCs w:val="false"/>
          <w:shd w:fill="auto" w:val="clear"/>
        </w:rPr>
        <w:t>включаются.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Разработал: Механик  ТГ Загорского СУ ________________________Митрофанов М.А.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5E04458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5E044581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63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74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d91cfb"/>
    <w:pPr>
      <w:keepNext w:val="true"/>
      <w:tabs>
        <w:tab w:val="clear" w:pos="708"/>
        <w:tab w:val="left" w:pos="0" w:leader="none"/>
      </w:tabs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ind w:left="432" w:hanging="0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d91cfb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Linenumber">
    <w:name w:val="line number"/>
    <w:qFormat/>
    <w:rPr/>
  </w:style>
  <w:style w:type="character" w:styleId="Style15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262d5f"/>
    <w:pPr>
      <w:tabs>
        <w:tab w:val="clear" w:pos="708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[РГ] Текст"/>
    <w:basedOn w:val="Normal"/>
    <w:qFormat/>
    <w:rsid w:val="00ff346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30573369281">
    <w:name w:val="30573369281"/>
    <w:qFormat/>
  </w:style>
  <w:style w:type="numbering" w:styleId="3602055961">
    <w:name w:val="360205596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880A1-CC60-407C-994A-6AD55891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2111</TotalTime>
  <Application>AlterOffice/3.4.0.9$Linux_X86_64 LibreOffice_project/b8daf9e823b1a5463a2f48435ddc2e8696e7d4fc</Application>
  <AppVersion>15.0000</AppVersion>
  <Pages>6</Pages>
  <Words>834</Words>
  <Characters>5459</Characters>
  <CharactersWithSpaces>6127</CharactersWithSpaces>
  <Paragraphs>208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2023-06-22T14:59:00Z</dcterms:created>
  <dc:creator>Быстров Олег Геннадьевич</dc:creator>
  <dc:description/>
  <dc:language>ru-RU</dc:language>
  <cp:lastModifiedBy>petrovai@corp.gidroogk.com</cp:lastModifiedBy>
  <cp:lastPrinted>2025-01-16T07:05:00Z</cp:lastPrinted>
  <dcterms:modified xsi:type="dcterms:W3CDTF">2026-08-17T16:16:04Z</dcterms:modified>
  <cp:revision>398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