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numbering.xml" ContentType="application/vnd.openxmlformats-officedocument.wordprocessingml.numbering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6.xml" ContentType="application/vnd.openxmlformats-officedocument.wordprocessingml.header+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3.xml" ContentType="application/vnd.openxmlformats-officedocument.wordprocessingml.head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</w:t>
      </w:r>
    </w:p>
    <w:p>
      <w:pPr>
        <w:pStyle w:val="Normal"/>
        <w:keepNext w:val="true"/>
        <w:keepLines/>
        <w:jc w:val="right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        </w:t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"/>
        <w:keepNext w:val="true"/>
        <w:numPr>
          <w:ilvl w:val="0"/>
          <w:numId w:val="0"/>
        </w:numPr>
        <w:ind w:left="0" w:hanging="0"/>
        <w:jc w:val="center"/>
        <w:outlineLvl w:val="0"/>
        <w:rPr>
          <w:color w:val="000000"/>
        </w:rPr>
      </w:pPr>
      <w:r>
        <w:rPr>
          <w:b/>
          <w:color w:val="000000"/>
          <w:sz w:val="24"/>
          <w:szCs w:val="24"/>
        </w:rPr>
        <w:t>ТЕХНИЧЕСКИЕ ТРЕБОВАНИЯ</w:t>
      </w:r>
    </w:p>
    <w:p>
      <w:pPr>
        <w:pStyle w:val="Heading1"/>
        <w:jc w:val="center"/>
        <w:rPr>
          <w:color w:val="000000"/>
        </w:rPr>
      </w:pPr>
      <w:r>
        <w:rPr>
          <w:b/>
          <w:bCs/>
          <w:color w:val="000000"/>
          <w:sz w:val="28"/>
          <w:szCs w:val="28"/>
        </w:rPr>
        <w:t xml:space="preserve">ОКПД2 25.11.23.119 Поставка комплекта защиты окон машзала для нужд филиала ПАО "РусГидро" –"Саратовская ГЭС" </w:t>
      </w:r>
    </w:p>
    <w:p>
      <w:pPr>
        <w:pStyle w:val="Normal"/>
        <w:keepNext w:val="true"/>
        <w:keepLines/>
        <w:jc w:val="center"/>
        <w:rPr>
          <w:color w:val="000000"/>
        </w:rPr>
      </w:pPr>
      <w:r>
        <w:rPr>
          <w:b/>
          <w:color w:val="000000"/>
          <w:sz w:val="24"/>
          <w:szCs w:val="24"/>
        </w:rPr>
        <w:t xml:space="preserve"> </w:t>
      </w:r>
    </w:p>
    <w:p>
      <w:pPr>
        <w:pStyle w:val="Normal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</w:r>
    </w:p>
    <w:p>
      <w:pPr>
        <w:sectPr>
          <w:headerReference w:type="default" r:id="rId2"/>
          <w:type w:val="nextPage"/>
          <w:pgSz w:w="11906" w:h="16838"/>
          <w:pgMar w:left="1134" w:right="851" w:gutter="0" w:header="680" w:top="1134" w:footer="0" w:bottom="1276"/>
          <w:pgNumType w:fmt="decimal"/>
          <w:formProt w:val="false"/>
          <w:textDirection w:val="lrTb"/>
          <w:docGrid w:type="default" w:linePitch="360" w:charSpace="0"/>
        </w:sectPr>
        <w:pStyle w:val="Normal"/>
        <w:jc w:val="center"/>
        <w:rPr>
          <w:color w:val="000000"/>
        </w:rPr>
      </w:pPr>
      <w:r>
        <w:rPr>
          <w:b/>
          <w:color w:val="000000"/>
          <w:sz w:val="24"/>
          <w:szCs w:val="24"/>
        </w:rPr>
        <w:t xml:space="preserve">Лот №  </w:t>
      </w:r>
    </w:p>
    <w:p>
      <w:pPr>
        <w:pStyle w:val="Heading1"/>
        <w:numPr>
          <w:ilvl w:val="0"/>
          <w:numId w:val="3"/>
        </w:numPr>
        <w:ind w:left="284" w:hanging="284"/>
        <w:rPr>
          <w:b/>
          <w:sz w:val="24"/>
          <w:szCs w:val="24"/>
        </w:rPr>
      </w:pPr>
      <w:bookmarkStart w:id="0" w:name="_Toc46743506"/>
      <w:bookmarkStart w:id="1" w:name="_Toc75446568"/>
      <w:r>
        <w:rPr>
          <w:b/>
          <w:sz w:val="24"/>
          <w:szCs w:val="24"/>
        </w:rPr>
        <w:t>Общие сведения</w:t>
      </w:r>
      <w:bookmarkEnd w:id="0"/>
      <w:bookmarkEnd w:id="1"/>
    </w:p>
    <w:p>
      <w:pPr>
        <w:pStyle w:val="Heading4"/>
        <w:numPr>
          <w:ilvl w:val="1"/>
          <w:numId w:val="3"/>
        </w:numPr>
        <w:rPr>
          <w:b/>
        </w:rPr>
      </w:pPr>
      <w:r>
        <w:rPr>
          <w:b/>
        </w:rPr>
        <w:t>Наименование закупаемой продукции</w:t>
      </w:r>
    </w:p>
    <w:p>
      <w:pPr>
        <w:pStyle w:val="ListParagraph"/>
        <w:spacing w:lineRule="auto" w:line="264"/>
        <w:ind w:left="0" w:hanging="0"/>
        <w:rPr>
          <w:color w:val="000000"/>
        </w:rPr>
      </w:pPr>
      <w:r>
        <w:rPr>
          <w:color w:val="000000"/>
        </w:rPr>
        <w:t xml:space="preserve"> </w:t>
      </w:r>
      <w:r>
        <w:rPr>
          <w:b w:val="false"/>
          <w:bCs w:val="false"/>
          <w:color w:val="000000"/>
          <w:sz w:val="24"/>
          <w:szCs w:val="24"/>
        </w:rPr>
        <w:t xml:space="preserve">ОКПД2 25.11.23.119 </w:t>
      </w:r>
      <w:r>
        <w:rPr>
          <w:b w:val="false"/>
          <w:bCs/>
          <w:color w:val="000000"/>
          <w:sz w:val="24"/>
          <w:szCs w:val="24"/>
        </w:rPr>
        <w:t xml:space="preserve">Поставка комплекта защиты окон машзала для нужд филиала ПАО "РусГидро" –"Саратовская ГЭС" </w:t>
      </w:r>
    </w:p>
    <w:p>
      <w:pPr>
        <w:pStyle w:val="Heading4"/>
        <w:numPr>
          <w:ilvl w:val="1"/>
          <w:numId w:val="3"/>
        </w:numPr>
        <w:rPr>
          <w:color w:val="000000"/>
        </w:rPr>
      </w:pPr>
      <w:bookmarkStart w:id="2" w:name="_Toc75446569"/>
      <w:bookmarkStart w:id="3" w:name="_Toc46743507"/>
      <w:r>
        <w:rPr>
          <w:b/>
          <w:color w:val="000000"/>
        </w:rPr>
        <w:t xml:space="preserve">Цель </w:t>
      </w:r>
      <w:bookmarkEnd w:id="3"/>
      <w:r>
        <w:rPr>
          <w:b/>
          <w:color w:val="000000"/>
        </w:rPr>
        <w:t xml:space="preserve">использования закупаемой продукции </w:t>
      </w:r>
      <w:bookmarkEnd w:id="2"/>
      <w:r>
        <w:rPr>
          <w:b/>
          <w:color w:val="000000"/>
        </w:rPr>
        <w:t xml:space="preserve"> </w:t>
      </w:r>
    </w:p>
    <w:p>
      <w:pPr>
        <w:pStyle w:val="ListParagraph"/>
        <w:spacing w:lineRule="auto" w:line="264"/>
        <w:ind w:left="0" w:hanging="0"/>
        <w:rPr>
          <w:color w:val="000000"/>
        </w:rPr>
      </w:pPr>
      <w:r>
        <w:rPr>
          <w:color w:val="000000"/>
        </w:rPr>
        <w:t xml:space="preserve">1.2.1.  </w:t>
      </w:r>
      <w:r>
        <w:rPr>
          <w:bCs/>
          <w:color w:val="000000"/>
          <w:sz w:val="24"/>
          <w:szCs w:val="24"/>
        </w:rPr>
        <w:t>Поставка комплекта защиты окон машзала для нужд филиала ПАО "РусГидро"–"Саратовская ГЭС"</w:t>
      </w:r>
      <w:r>
        <w:rPr>
          <w:color w:val="000000"/>
          <w:sz w:val="24"/>
          <w:szCs w:val="24"/>
          <w:lang w:eastAsia="x-none"/>
        </w:rPr>
        <w:t xml:space="preserve"> необходима для </w:t>
      </w:r>
      <w:r>
        <w:rPr>
          <w:color w:val="000000"/>
          <w:sz w:val="24"/>
          <w:szCs w:val="24"/>
          <w:shd w:fill="FFFFFF" w:val="clear"/>
          <w:lang w:eastAsia="x-none"/>
        </w:rPr>
        <w:t>выполнения защиты остекления здания ГЭС со стороны верхнего и нижнего бьефов.</w:t>
      </w:r>
    </w:p>
    <w:p>
      <w:pPr>
        <w:pStyle w:val="Heading1"/>
        <w:numPr>
          <w:ilvl w:val="0"/>
          <w:numId w:val="3"/>
        </w:numPr>
        <w:ind w:left="426" w:hanging="426"/>
        <w:rPr>
          <w:color w:val="000000"/>
        </w:rPr>
      </w:pPr>
      <w:bookmarkStart w:id="4" w:name="_Toc75446573"/>
      <w:bookmarkStart w:id="5" w:name="_Toc51339693"/>
      <w:bookmarkStart w:id="6" w:name="_Toc50125126"/>
      <w:bookmarkEnd w:id="6"/>
      <w:r>
        <w:rPr>
          <w:b/>
          <w:color w:val="000000"/>
          <w:sz w:val="24"/>
          <w:szCs w:val="24"/>
        </w:rPr>
        <w:t>Требования к продукции</w:t>
      </w:r>
      <w:bookmarkEnd w:id="4"/>
      <w:bookmarkEnd w:id="5"/>
    </w:p>
    <w:p>
      <w:pPr>
        <w:pStyle w:val="Heading4"/>
        <w:numPr>
          <w:ilvl w:val="1"/>
          <w:numId w:val="3"/>
        </w:numPr>
        <w:rPr>
          <w:b/>
        </w:rPr>
      </w:pPr>
      <w:bookmarkStart w:id="7" w:name="_Toc75446574"/>
      <w:r>
        <w:rPr>
          <w:b/>
        </w:rPr>
        <w:t>Требования к объемам и срокам поставки</w:t>
      </w:r>
      <w:bookmarkEnd w:id="7"/>
    </w:p>
    <w:p>
      <w:pPr>
        <w:pStyle w:val="Heading3"/>
        <w:numPr>
          <w:ilvl w:val="2"/>
          <w:numId w:val="3"/>
        </w:numPr>
        <w:ind w:left="1224" w:hanging="1224"/>
        <w:rPr/>
      </w:pPr>
      <w:bookmarkStart w:id="8" w:name="_Toc75446575"/>
      <w:r>
        <w:rPr/>
        <w:t>Перечень и объем закупаемой продукции</w:t>
      </w:r>
      <w:bookmarkEnd w:id="8"/>
    </w:p>
    <w:p>
      <w:pPr>
        <w:pStyle w:val="Heading1"/>
        <w:ind w:left="1224" w:hanging="1224"/>
        <w:rPr>
          <w:sz w:val="24"/>
          <w:szCs w:val="24"/>
        </w:rPr>
      </w:pPr>
      <w:bookmarkStart w:id="9" w:name="_Toc75446576"/>
      <w:bookmarkStart w:id="10" w:name="_Toc51339695"/>
      <w:r>
        <w:rPr>
          <w:sz w:val="24"/>
          <w:szCs w:val="24"/>
        </w:rPr>
        <w:t xml:space="preserve">Таблица 1. Перечень </w:t>
      </w:r>
      <w:bookmarkEnd w:id="10"/>
      <w:r>
        <w:rPr>
          <w:sz w:val="24"/>
          <w:szCs w:val="24"/>
        </w:rPr>
        <w:t>и объем закупаемой продукции</w:t>
      </w:r>
      <w:bookmarkEnd w:id="9"/>
    </w:p>
    <w:tbl>
      <w:tblPr>
        <w:tblW w:w="10717" w:type="dxa"/>
        <w:jc w:val="left"/>
        <w:tblInd w:w="-2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560"/>
        <w:gridCol w:w="5079"/>
        <w:gridCol w:w="988"/>
        <w:gridCol w:w="1491"/>
        <w:gridCol w:w="2599"/>
      </w:tblGrid>
      <w:tr>
        <w:trPr>
          <w:tblHeader w:val="true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примечание</w:t>
            </w:r>
          </w:p>
        </w:tc>
      </w:tr>
      <w:tr>
        <w:trPr/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>5</w:t>
            </w:r>
          </w:p>
        </w:tc>
      </w:tr>
      <w:tr>
        <w:trPr/>
        <w:tc>
          <w:tcPr>
            <w:tcW w:w="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rPr/>
            </w:pPr>
            <w:r>
              <w:rPr/>
            </w:r>
          </w:p>
        </w:tc>
        <w:tc>
          <w:tcPr>
            <w:tcW w:w="507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Канат ф 8мм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м.п.</w:t>
            </w:r>
          </w:p>
        </w:tc>
        <w:tc>
          <w:tcPr>
            <w:tcW w:w="1491" w:type="dxa"/>
            <w:tcBorders>
              <w:left w:val="single" w:sz="4" w:space="0" w:color="000000"/>
              <w:bottom w:val="single" w:sz="4" w:space="0" w:color="000000"/>
            </w:tcBorders>
            <w:shd w:color="000000" w:fill="FFFFFF" w:val="clea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20566</w:t>
            </w:r>
          </w:p>
        </w:tc>
        <w:tc>
          <w:tcPr>
            <w:tcW w:w="25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jc w:val="left"/>
              <w:rPr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  <w:lang w:val="en-US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  <w:lang w:val="en-US"/>
              </w:rPr>
            </w:r>
          </w:p>
        </w:tc>
      </w:tr>
      <w:tr>
        <w:trPr/>
        <w:tc>
          <w:tcPr>
            <w:tcW w:w="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rPr/>
            </w:pPr>
            <w:r>
              <w:rPr/>
            </w:r>
          </w:p>
        </w:tc>
        <w:tc>
          <w:tcPr>
            <w:tcW w:w="507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Талреп под 8мм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91" w:type="dxa"/>
            <w:tcBorders>
              <w:left w:val="single" w:sz="4" w:space="0" w:color="000000"/>
              <w:bottom w:val="single" w:sz="4" w:space="0" w:color="000000"/>
            </w:tcBorders>
            <w:shd w:color="000000" w:fill="FFFFFF" w:val="clea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452</w:t>
            </w:r>
          </w:p>
        </w:tc>
        <w:tc>
          <w:tcPr>
            <w:tcW w:w="25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jc w:val="left"/>
              <w:rPr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  <w:lang w:val="en-US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  <w:lang w:val="en-US"/>
              </w:rPr>
            </w:r>
          </w:p>
        </w:tc>
      </w:tr>
      <w:tr>
        <w:trPr/>
        <w:tc>
          <w:tcPr>
            <w:tcW w:w="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rPr/>
            </w:pPr>
            <w:r>
              <w:rPr/>
            </w:r>
          </w:p>
        </w:tc>
        <w:tc>
          <w:tcPr>
            <w:tcW w:w="507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Коуш ф 8мм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91" w:type="dxa"/>
            <w:tcBorders>
              <w:left w:val="single" w:sz="4" w:space="0" w:color="000000"/>
              <w:bottom w:val="single" w:sz="4" w:space="0" w:color="000000"/>
            </w:tcBorders>
            <w:shd w:color="000000" w:fill="FFFFFF" w:val="clea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452</w:t>
            </w:r>
          </w:p>
        </w:tc>
        <w:tc>
          <w:tcPr>
            <w:tcW w:w="25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jc w:val="left"/>
              <w:rPr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  <w:lang w:val="en-US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  <w:lang w:val="en-US"/>
              </w:rPr>
            </w:r>
          </w:p>
        </w:tc>
      </w:tr>
      <w:tr>
        <w:trPr/>
        <w:tc>
          <w:tcPr>
            <w:tcW w:w="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rPr/>
            </w:pPr>
            <w:r>
              <w:rPr/>
            </w:r>
          </w:p>
        </w:tc>
        <w:tc>
          <w:tcPr>
            <w:tcW w:w="507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Зажим для троса ф 8мм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91" w:type="dxa"/>
            <w:tcBorders>
              <w:left w:val="single" w:sz="4" w:space="0" w:color="000000"/>
              <w:bottom w:val="single" w:sz="4" w:space="0" w:color="000000"/>
            </w:tcBorders>
            <w:shd w:color="000000" w:fill="FFFFFF" w:val="clea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14916</w:t>
            </w:r>
          </w:p>
        </w:tc>
        <w:tc>
          <w:tcPr>
            <w:tcW w:w="25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jc w:val="left"/>
              <w:rPr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  <w:lang w:val="en-US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  <w:lang w:val="en-US"/>
              </w:rPr>
            </w:r>
          </w:p>
        </w:tc>
      </w:tr>
      <w:tr>
        <w:trPr/>
        <w:tc>
          <w:tcPr>
            <w:tcW w:w="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rPr/>
            </w:pPr>
            <w:r>
              <w:rPr/>
            </w:r>
          </w:p>
        </w:tc>
        <w:tc>
          <w:tcPr>
            <w:tcW w:w="507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Шпилька М30 L-500мм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91" w:type="dxa"/>
            <w:tcBorders>
              <w:left w:val="single" w:sz="4" w:space="0" w:color="000000"/>
              <w:bottom w:val="single" w:sz="4" w:space="0" w:color="000000"/>
            </w:tcBorders>
            <w:shd w:color="000000" w:fill="FFFFFF" w:val="clea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1356</w:t>
            </w:r>
          </w:p>
        </w:tc>
        <w:tc>
          <w:tcPr>
            <w:tcW w:w="25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jc w:val="left"/>
              <w:rPr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  <w:lang w:val="en-US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  <w:lang w:val="en-US"/>
              </w:rPr>
            </w:r>
          </w:p>
        </w:tc>
      </w:tr>
      <w:tr>
        <w:trPr/>
        <w:tc>
          <w:tcPr>
            <w:tcW w:w="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rPr/>
            </w:pPr>
            <w:r>
              <w:rPr/>
            </w:r>
          </w:p>
        </w:tc>
        <w:tc>
          <w:tcPr>
            <w:tcW w:w="507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Рым гайка М30 8.8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91" w:type="dxa"/>
            <w:tcBorders>
              <w:left w:val="single" w:sz="4" w:space="0" w:color="000000"/>
              <w:bottom w:val="single" w:sz="4" w:space="0" w:color="000000"/>
            </w:tcBorders>
            <w:shd w:color="000000" w:fill="FFFFFF" w:val="clea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1356</w:t>
            </w:r>
          </w:p>
        </w:tc>
        <w:tc>
          <w:tcPr>
            <w:tcW w:w="25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jc w:val="left"/>
              <w:rPr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  <w:lang w:val="en-US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  <w:lang w:val="en-US"/>
              </w:rPr>
            </w:r>
          </w:p>
        </w:tc>
      </w:tr>
      <w:tr>
        <w:trPr/>
        <w:tc>
          <w:tcPr>
            <w:tcW w:w="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rPr/>
            </w:pPr>
            <w:r>
              <w:rPr/>
            </w:r>
          </w:p>
        </w:tc>
        <w:tc>
          <w:tcPr>
            <w:tcW w:w="507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Гайка М30 8.8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91" w:type="dxa"/>
            <w:tcBorders>
              <w:left w:val="single" w:sz="4" w:space="0" w:color="000000"/>
              <w:bottom w:val="single" w:sz="4" w:space="0" w:color="000000"/>
            </w:tcBorders>
            <w:shd w:color="000000" w:fill="FFFFFF" w:val="clea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1356</w:t>
            </w:r>
          </w:p>
        </w:tc>
        <w:tc>
          <w:tcPr>
            <w:tcW w:w="25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jc w:val="left"/>
              <w:rPr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  <w:lang w:val="en-US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  <w:lang w:val="en-US"/>
              </w:rPr>
            </w:r>
          </w:p>
        </w:tc>
      </w:tr>
      <w:tr>
        <w:trPr/>
        <w:tc>
          <w:tcPr>
            <w:tcW w:w="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rPr/>
            </w:pPr>
            <w:r>
              <w:rPr/>
            </w:r>
          </w:p>
        </w:tc>
        <w:tc>
          <w:tcPr>
            <w:tcW w:w="5079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Хим.анкер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литр</w:t>
            </w:r>
          </w:p>
        </w:tc>
        <w:tc>
          <w:tcPr>
            <w:tcW w:w="1491" w:type="dxa"/>
            <w:tcBorders>
              <w:left w:val="single" w:sz="4" w:space="0" w:color="000000"/>
              <w:bottom w:val="single" w:sz="4" w:space="0" w:color="000000"/>
            </w:tcBorders>
            <w:shd w:color="000000" w:fill="FFFFFF" w:val="clear"/>
          </w:tcPr>
          <w:p>
            <w:pPr>
              <w:pStyle w:val="Style35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174</w:t>
            </w:r>
          </w:p>
        </w:tc>
        <w:tc>
          <w:tcPr>
            <w:tcW w:w="25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jc w:val="left"/>
              <w:rPr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  <w:lang w:val="en-US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  <w:lang w:val="en-US"/>
              </w:rPr>
            </w:r>
          </w:p>
        </w:tc>
      </w:tr>
    </w:tbl>
    <w:p>
      <w:pPr>
        <w:pStyle w:val="Heading3"/>
        <w:numPr>
          <w:ilvl w:val="2"/>
          <w:numId w:val="3"/>
        </w:numPr>
        <w:ind w:left="1224" w:hanging="1082"/>
        <w:rPr/>
      </w:pPr>
      <w:r>
        <w:rPr/>
        <w:t xml:space="preserve">Требования к срокам поставки продукции </w:t>
      </w:r>
    </w:p>
    <w:p>
      <w:pPr>
        <w:pStyle w:val="Heading1"/>
        <w:ind w:left="1224" w:hanging="1082"/>
        <w:rPr>
          <w:sz w:val="24"/>
          <w:szCs w:val="24"/>
        </w:rPr>
      </w:pPr>
      <w:bookmarkStart w:id="11" w:name="_Toc75446579"/>
      <w:bookmarkStart w:id="12" w:name="_Toc51339697"/>
      <w:bookmarkStart w:id="13" w:name="_Toc50125127"/>
      <w:bookmarkStart w:id="14" w:name="_Toc501251261"/>
      <w:bookmarkEnd w:id="14"/>
      <w:r>
        <w:rPr>
          <w:sz w:val="24"/>
          <w:szCs w:val="24"/>
        </w:rPr>
        <w:t xml:space="preserve">Таблица 2. </w:t>
      </w:r>
      <w:bookmarkStart w:id="15" w:name="_Hlk50465284"/>
      <w:r>
        <w:rPr>
          <w:sz w:val="24"/>
          <w:szCs w:val="24"/>
        </w:rPr>
        <w:t xml:space="preserve">Требования к срокам </w:t>
      </w:r>
      <w:bookmarkEnd w:id="12"/>
      <w:bookmarkEnd w:id="13"/>
      <w:bookmarkEnd w:id="15"/>
      <w:r>
        <w:rPr>
          <w:sz w:val="24"/>
          <w:szCs w:val="24"/>
        </w:rPr>
        <w:t>поставки продукции</w:t>
      </w:r>
      <w:bookmarkEnd w:id="11"/>
      <w:r>
        <w:rPr>
          <w:sz w:val="24"/>
          <w:szCs w:val="24"/>
        </w:rPr>
        <w:t xml:space="preserve"> </w:t>
      </w:r>
    </w:p>
    <w:tbl>
      <w:tblPr>
        <w:tblW w:w="9781" w:type="dxa"/>
        <w:jc w:val="left"/>
        <w:tblInd w:w="36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708"/>
        <w:gridCol w:w="3544"/>
        <w:gridCol w:w="2664"/>
        <w:gridCol w:w="2864"/>
      </w:tblGrid>
      <w:tr>
        <w:trPr/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color w:val="000000"/>
              </w:rPr>
            </w:pPr>
            <w:bookmarkStart w:id="16" w:name="_Toc46743510"/>
            <w:r>
              <w:rPr>
                <w:b/>
                <w:color w:val="000000"/>
                <w:sz w:val="24"/>
                <w:szCs w:val="24"/>
              </w:rPr>
              <w:t>4</w:t>
            </w:r>
            <w:bookmarkEnd w:id="16"/>
          </w:p>
        </w:tc>
      </w:tr>
      <w:tr>
        <w:trPr/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pacing w:lineRule="auto" w:line="264"/>
              <w:ind w:left="0" w:hanging="0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Комплект продукции в объемах указанных в таблице № 1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rPr>
                <w:rFonts w:ascii="Times New Roman" w:hAnsi="Times New Roman" w:eastAsia="Calibri"/>
                <w:bCs/>
                <w:i/>
                <w:i/>
                <w:color w:val="000000"/>
                <w:sz w:val="24"/>
                <w:szCs w:val="24"/>
                <w:shd w:fill="FFFF99" w:val="clear"/>
              </w:rPr>
            </w:pPr>
            <w:r>
              <w:rPr>
                <w:rFonts w:eastAsia="Calibri"/>
                <w:bCs/>
                <w:i/>
                <w:color w:val="000000"/>
                <w:sz w:val="24"/>
                <w:szCs w:val="24"/>
                <w:shd w:fill="FFFF99" w:val="clear"/>
              </w:rPr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С даты подписания договора сторонами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64"/>
              <w:ind w:left="0" w:hanging="0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В течение 30 (тридцати) календарных дней с даты подписания договора сторонами</w:t>
            </w:r>
          </w:p>
        </w:tc>
      </w:tr>
      <w:tr>
        <w:trPr/>
        <w:tc>
          <w:tcPr>
            <w:tcW w:w="9780" w:type="dxa"/>
            <w:gridSpan w:val="4"/>
            <w:tcBorders/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ind w:left="360" w:hanging="0"/>
              <w:jc w:val="both"/>
              <w:rPr>
                <w:rFonts w:ascii="Times New Roman" w:hAnsi="Times New Roman"/>
                <w:sz w:val="24"/>
                <w:szCs w:val="24"/>
                <w:shd w:fill="FFFFFF" w:val="clear"/>
              </w:rPr>
            </w:pPr>
            <w:r>
              <w:rPr>
                <w:sz w:val="24"/>
                <w:szCs w:val="24"/>
                <w:shd w:fill="FFFFFF" w:val="clear"/>
              </w:rPr>
            </w:r>
            <w:bookmarkStart w:id="17" w:name="_GoBack"/>
            <w:bookmarkStart w:id="18" w:name="_GoBack"/>
            <w:bookmarkEnd w:id="18"/>
          </w:p>
        </w:tc>
      </w:tr>
    </w:tbl>
    <w:p>
      <w:pPr>
        <w:sectPr>
          <w:headerReference w:type="even" r:id="rId3"/>
          <w:headerReference w:type="default" r:id="rId4"/>
          <w:headerReference w:type="first" r:id="rId5"/>
          <w:type w:val="nextPage"/>
          <w:pgSz w:w="11906" w:h="16838"/>
          <w:pgMar w:left="1134" w:right="851" w:gutter="0" w:header="680" w:top="912" w:footer="0" w:bottom="1276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rPr/>
      </w:pPr>
      <w:bookmarkStart w:id="19" w:name="_Toc51339698"/>
      <w:bookmarkStart w:id="20" w:name="_Toc75446581"/>
      <w:bookmarkStart w:id="21" w:name="_Toc46743511"/>
      <w:bookmarkStart w:id="22" w:name="_Toc547856221"/>
      <w:bookmarkEnd w:id="22"/>
      <w:r>
        <w:rPr/>
        <w:t xml:space="preserve">Требования к </w:t>
      </w:r>
      <w:bookmarkEnd w:id="21"/>
      <w:r>
        <w:rPr/>
        <w:t>качеству продукции</w:t>
      </w:r>
      <w:bookmarkEnd w:id="20"/>
    </w:p>
    <w:p>
      <w:pPr>
        <w:pStyle w:val="Heading1"/>
        <w:ind w:left="0" w:hanging="0"/>
        <w:rPr>
          <w:sz w:val="24"/>
          <w:szCs w:val="24"/>
        </w:rPr>
      </w:pPr>
      <w:bookmarkStart w:id="23" w:name="_Toc75446582"/>
      <w:r>
        <w:rPr>
          <w:sz w:val="24"/>
          <w:szCs w:val="24"/>
        </w:rPr>
        <w:t>Таблица 3. Требования к продукции</w:t>
      </w:r>
      <w:bookmarkEnd w:id="23"/>
      <w:r>
        <w:rPr>
          <w:sz w:val="24"/>
          <w:szCs w:val="24"/>
        </w:rPr>
        <w:t xml:space="preserve"> </w:t>
      </w:r>
      <w:bookmarkEnd w:id="19"/>
    </w:p>
    <w:p>
      <w:pPr>
        <w:pStyle w:val="Normal"/>
        <w:jc w:val="both"/>
        <w:rPr>
          <w:color w:val="000000"/>
        </w:rPr>
      </w:pPr>
      <w:r>
        <w:rPr>
          <w:b/>
          <w:bCs/>
          <w:iCs/>
          <w:color w:val="000000"/>
          <w:sz w:val="24"/>
          <w:szCs w:val="24"/>
        </w:rPr>
        <w:t xml:space="preserve">Наименование продукции (позиция № 1- 5 Таблицы 1. «Перечень и объем закупаемой продукции»): </w:t>
      </w:r>
    </w:p>
    <w:p>
      <w:pPr>
        <w:pStyle w:val="ListParagraph"/>
        <w:spacing w:lineRule="auto" w:line="264"/>
        <w:ind w:left="0" w:hanging="0"/>
        <w:rPr>
          <w:color w:val="000000"/>
        </w:rPr>
      </w:pPr>
      <w:r>
        <w:rPr>
          <w:b w:val="false"/>
          <w:bCs w:val="false"/>
          <w:color w:val="000000"/>
          <w:sz w:val="24"/>
          <w:szCs w:val="24"/>
        </w:rPr>
        <w:t>Поставка комплекта защиты</w:t>
      </w:r>
      <w:r>
        <w:rPr>
          <w:b w:val="false"/>
          <w:bCs/>
          <w:color w:val="000000"/>
          <w:sz w:val="24"/>
          <w:szCs w:val="24"/>
        </w:rPr>
        <w:t xml:space="preserve"> окон машзала </w:t>
      </w:r>
      <w:r>
        <w:rPr>
          <w:b w:val="false"/>
          <w:bCs w:val="false"/>
          <w:color w:val="000000"/>
          <w:sz w:val="24"/>
          <w:szCs w:val="24"/>
        </w:rPr>
        <w:t>для нужд Саратовского филиала.</w:t>
      </w:r>
      <w:r>
        <w:rPr>
          <w:b/>
          <w:bCs w:val="false"/>
          <w:color w:val="000000"/>
          <w:sz w:val="24"/>
          <w:szCs w:val="24"/>
          <w:lang w:eastAsia="x-none"/>
        </w:rPr>
        <w:t xml:space="preserve"> </w:t>
      </w:r>
    </w:p>
    <w:tbl>
      <w:tblPr>
        <w:tblStyle w:val="affff7"/>
        <w:tblW w:w="14688" w:type="dxa"/>
        <w:jc w:val="left"/>
        <w:tblInd w:w="1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625"/>
        <w:gridCol w:w="4584"/>
        <w:gridCol w:w="2550"/>
        <w:gridCol w:w="1814"/>
        <w:gridCol w:w="1254"/>
        <w:gridCol w:w="1869"/>
        <w:gridCol w:w="1991"/>
      </w:tblGrid>
      <w:tr>
        <w:trPr>
          <w:tblHeader w:val="true"/>
        </w:trPr>
        <w:tc>
          <w:tcPr>
            <w:tcW w:w="62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458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Наименование продукции</w:t>
            </w:r>
          </w:p>
        </w:tc>
        <w:tc>
          <w:tcPr>
            <w:tcW w:w="255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181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1254" w:type="dxa"/>
            <w:vMerge w:val="restart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ГОСТ</w:t>
            </w:r>
          </w:p>
        </w:tc>
        <w:tc>
          <w:tcPr>
            <w:tcW w:w="386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</w:tr>
      <w:tr>
        <w:trPr>
          <w:tblHeader w:val="true"/>
        </w:trPr>
        <w:tc>
          <w:tcPr>
            <w:tcW w:w="62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458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255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181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1254" w:type="dxa"/>
            <w:vMerge w:val="continue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1869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199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>
          <w:trHeight w:val="217" w:hRule="atLeast"/>
        </w:trPr>
        <w:tc>
          <w:tcPr>
            <w:tcW w:w="625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>1</w:t>
            </w:r>
          </w:p>
        </w:tc>
        <w:tc>
          <w:tcPr>
            <w:tcW w:w="4584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>2</w:t>
            </w:r>
          </w:p>
        </w:tc>
        <w:tc>
          <w:tcPr>
            <w:tcW w:w="2550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>3</w:t>
            </w:r>
          </w:p>
        </w:tc>
        <w:tc>
          <w:tcPr>
            <w:tcW w:w="1814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>4</w:t>
            </w:r>
          </w:p>
        </w:tc>
        <w:tc>
          <w:tcPr>
            <w:tcW w:w="1254" w:type="dxa"/>
            <w:tcBorders>
              <w:right w:val="nil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>5</w:t>
            </w:r>
          </w:p>
        </w:tc>
        <w:tc>
          <w:tcPr>
            <w:tcW w:w="1869" w:type="dxa"/>
            <w:tcBorders>
              <w:right w:val="nil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FFFFFF" w:val="clear"/>
                <w:lang w:val="en-US" w:eastAsia="ru-RU" w:bidi="ar-SA"/>
              </w:rPr>
              <w:t>6</w:t>
            </w:r>
          </w:p>
        </w:tc>
        <w:tc>
          <w:tcPr>
            <w:tcW w:w="1991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FFFFFF" w:val="clear"/>
                <w:lang w:val="en-US" w:eastAsia="ru-RU" w:bidi="ar-SA"/>
              </w:rPr>
              <w:t>7</w:t>
            </w:r>
          </w:p>
        </w:tc>
      </w:tr>
      <w:tr>
        <w:trPr>
          <w:trHeight w:val="252" w:hRule="atLeast"/>
        </w:trPr>
        <w:tc>
          <w:tcPr>
            <w:tcW w:w="625" w:type="dxa"/>
            <w:vMerge w:val="restart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hanging="0"/>
              <w:contextualSpacing/>
              <w:jc w:val="center"/>
              <w:rPr>
                <w:color w:val="000000"/>
              </w:rPr>
            </w:pPr>
            <w:r>
              <w:rPr>
                <w:rFonts w:cs="Times New Roman"/>
                <w:color w:val="000000"/>
                <w:kern w:val="0"/>
                <w:lang w:val="ru-RU" w:eastAsia="x-none" w:bidi="ar-SA"/>
              </w:rPr>
              <w:t>1.1.</w:t>
            </w:r>
          </w:p>
          <w:p>
            <w:pPr>
              <w:pStyle w:val="ListParagraph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>
                <w:color w:val="000000"/>
              </w:rPr>
            </w:pPr>
            <w:r>
              <w:rPr/>
            </w:r>
          </w:p>
        </w:tc>
        <w:tc>
          <w:tcPr>
            <w:tcW w:w="4584" w:type="dxa"/>
            <w:vMerge w:val="restart"/>
            <w:tcBorders>
              <w:top w:val="nil"/>
            </w:tcBorders>
            <w:vAlign w:val="center"/>
          </w:tcPr>
          <w:p>
            <w:pPr>
              <w:pStyle w:val="Style35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Канат стальной</w:t>
            </w:r>
          </w:p>
        </w:tc>
        <w:tc>
          <w:tcPr>
            <w:tcW w:w="2550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Диаметр</w:t>
            </w:r>
          </w:p>
        </w:tc>
        <w:tc>
          <w:tcPr>
            <w:tcW w:w="181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8 мм.</w:t>
            </w:r>
          </w:p>
        </w:tc>
        <w:tc>
          <w:tcPr>
            <w:tcW w:w="1254" w:type="dxa"/>
            <w:vMerge w:val="restart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ГОСТ 3241-91</w:t>
            </w:r>
          </w:p>
        </w:tc>
        <w:tc>
          <w:tcPr>
            <w:tcW w:w="1869" w:type="dxa"/>
            <w:vMerge w:val="restart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/>
                <w:bCs/>
                <w:iCs/>
                <w:color w:val="000000"/>
                <w:kern w:val="0"/>
                <w:sz w:val="24"/>
                <w:szCs w:val="24"/>
                <w:lang w:val="ru-RU" w:eastAsia="ru-RU" w:bidi="ar-SA"/>
              </w:rPr>
              <w:t>Участник должен 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установленного в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/>
                <w:bCs/>
                <w:iCs/>
                <w:color w:val="000000"/>
                <w:kern w:val="0"/>
                <w:sz w:val="24"/>
                <w:szCs w:val="24"/>
                <w:lang w:val="ru-RU" w:eastAsia="ru-RU" w:bidi="ar-SA"/>
              </w:rPr>
              <w:t>документации о закупке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991" w:type="dxa"/>
            <w:vMerge w:val="restart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trHeight w:val="252" w:hRule="atLeast"/>
        </w:trPr>
        <w:tc>
          <w:tcPr>
            <w:tcW w:w="625" w:type="dxa"/>
            <w:vMerge w:val="continue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</w:r>
          </w:p>
        </w:tc>
        <w:tc>
          <w:tcPr>
            <w:tcW w:w="4584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left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  <w:highlight w:val="yellow"/>
              </w:rPr>
            </w:r>
          </w:p>
        </w:tc>
        <w:tc>
          <w:tcPr>
            <w:tcW w:w="2550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Марка</w:t>
            </w:r>
          </w:p>
        </w:tc>
        <w:tc>
          <w:tcPr>
            <w:tcW w:w="181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В</w:t>
            </w:r>
          </w:p>
        </w:tc>
        <w:tc>
          <w:tcPr>
            <w:tcW w:w="1254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1869" w:type="dxa"/>
            <w:vMerge w:val="continue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19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</w:tr>
      <w:tr>
        <w:trPr>
          <w:trHeight w:val="252" w:hRule="atLeast"/>
        </w:trPr>
        <w:tc>
          <w:tcPr>
            <w:tcW w:w="625" w:type="dxa"/>
            <w:vMerge w:val="continue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>
                <w:color w:val="000000"/>
                <w:lang w:eastAsia="x-none"/>
              </w:rPr>
            </w:pPr>
            <w:r>
              <w:rPr>
                <w:color w:val="000000"/>
                <w:lang w:eastAsia="x-none"/>
              </w:rPr>
            </w:r>
          </w:p>
        </w:tc>
        <w:tc>
          <w:tcPr>
            <w:tcW w:w="4584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left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  <w:highlight w:val="yellow"/>
              </w:rPr>
            </w:r>
          </w:p>
        </w:tc>
        <w:tc>
          <w:tcPr>
            <w:tcW w:w="2550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Сердечник</w:t>
            </w:r>
          </w:p>
        </w:tc>
        <w:tc>
          <w:tcPr>
            <w:tcW w:w="181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металлический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54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1869" w:type="dxa"/>
            <w:vMerge w:val="continue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19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</w:tr>
      <w:tr>
        <w:trPr>
          <w:trHeight w:val="252" w:hRule="atLeast"/>
        </w:trPr>
        <w:tc>
          <w:tcPr>
            <w:tcW w:w="625" w:type="dxa"/>
            <w:vMerge w:val="restart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>
                <w:color w:val="000000"/>
              </w:rPr>
            </w:pPr>
            <w:r>
              <w:rPr>
                <w:rFonts w:cs="Times New Roman"/>
                <w:color w:val="000000"/>
                <w:kern w:val="0"/>
                <w:lang w:val="ru-RU" w:eastAsia="x-none" w:bidi="ar-SA"/>
              </w:rPr>
              <w:t>1.2.</w:t>
            </w:r>
          </w:p>
        </w:tc>
        <w:tc>
          <w:tcPr>
            <w:tcW w:w="4584" w:type="dxa"/>
            <w:vMerge w:val="restart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Талреп</w:t>
            </w:r>
          </w:p>
        </w:tc>
        <w:tc>
          <w:tcPr>
            <w:tcW w:w="255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Исполнение</w:t>
            </w:r>
          </w:p>
        </w:tc>
        <w:tc>
          <w:tcPr>
            <w:tcW w:w="181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ГГ (гак-гак)</w:t>
            </w:r>
          </w:p>
        </w:tc>
        <w:tc>
          <w:tcPr>
            <w:tcW w:w="1254" w:type="dxa"/>
            <w:vMerge w:val="restart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ГОСТ 9690-71</w:t>
            </w:r>
          </w:p>
        </w:tc>
        <w:tc>
          <w:tcPr>
            <w:tcW w:w="1869" w:type="dxa"/>
            <w:vMerge w:val="continue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991" w:type="dxa"/>
            <w:vMerge w:val="restart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trHeight w:val="281" w:hRule="atLeast"/>
        </w:trPr>
        <w:tc>
          <w:tcPr>
            <w:tcW w:w="625" w:type="dxa"/>
            <w:vMerge w:val="continue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>
                <w:color w:val="000000"/>
                <w:lang w:eastAsia="x-none"/>
              </w:rPr>
            </w:pPr>
            <w:r>
              <w:rPr>
                <w:color w:val="000000"/>
                <w:lang w:eastAsia="x-none"/>
              </w:rPr>
            </w:r>
          </w:p>
        </w:tc>
        <w:tc>
          <w:tcPr>
            <w:tcW w:w="458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55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Резьба</w:t>
            </w:r>
          </w:p>
        </w:tc>
        <w:tc>
          <w:tcPr>
            <w:tcW w:w="181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М8</w:t>
            </w:r>
          </w:p>
        </w:tc>
        <w:tc>
          <w:tcPr>
            <w:tcW w:w="1254" w:type="dxa"/>
            <w:vMerge w:val="continue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1869" w:type="dxa"/>
            <w:vMerge w:val="continue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19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</w:tr>
      <w:tr>
        <w:trPr>
          <w:trHeight w:val="252" w:hRule="atLeast"/>
        </w:trPr>
        <w:tc>
          <w:tcPr>
            <w:tcW w:w="625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>
                <w:color w:val="000000"/>
              </w:rPr>
            </w:pPr>
            <w:r>
              <w:rPr>
                <w:rFonts w:cs="Times New Roman"/>
                <w:color w:val="000000"/>
                <w:kern w:val="0"/>
                <w:lang w:val="en-US" w:eastAsia="x-none" w:bidi="ar-SA"/>
              </w:rPr>
              <w:t>1.3.</w:t>
            </w:r>
          </w:p>
        </w:tc>
        <w:tc>
          <w:tcPr>
            <w:tcW w:w="4584" w:type="dxa"/>
            <w:tcBorders>
              <w:top w:val="nil"/>
            </w:tcBorders>
            <w:vAlign w:val="center"/>
          </w:tcPr>
          <w:p>
            <w:pPr>
              <w:pStyle w:val="Style35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Коуш 30</w:t>
            </w:r>
          </w:p>
        </w:tc>
        <w:tc>
          <w:tcPr>
            <w:tcW w:w="255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Диаметр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1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30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54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ГОСТ 2224-93</w:t>
            </w:r>
          </w:p>
        </w:tc>
        <w:tc>
          <w:tcPr>
            <w:tcW w:w="1869" w:type="dxa"/>
            <w:vMerge w:val="continue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99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trHeight w:val="252" w:hRule="atLeast"/>
        </w:trPr>
        <w:tc>
          <w:tcPr>
            <w:tcW w:w="625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>
                <w:color w:val="000000"/>
              </w:rPr>
            </w:pPr>
            <w:r>
              <w:rPr>
                <w:rFonts w:cs="Times New Roman"/>
                <w:color w:val="000000"/>
                <w:kern w:val="0"/>
                <w:lang w:bidi="ar-SA"/>
              </w:rPr>
              <w:t>1.4.</w:t>
            </w:r>
          </w:p>
        </w:tc>
        <w:tc>
          <w:tcPr>
            <w:tcW w:w="4584" w:type="dxa"/>
            <w:tcBorders>
              <w:top w:val="nil"/>
            </w:tcBorders>
            <w:vAlign w:val="center"/>
          </w:tcPr>
          <w:p>
            <w:pPr>
              <w:pStyle w:val="Style35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Зажим 10</w:t>
            </w:r>
          </w:p>
        </w:tc>
        <w:tc>
          <w:tcPr>
            <w:tcW w:w="255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Обозначение</w:t>
            </w:r>
          </w:p>
        </w:tc>
        <w:tc>
          <w:tcPr>
            <w:tcW w:w="181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10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254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ГОСТ 13186-67</w:t>
            </w:r>
          </w:p>
        </w:tc>
        <w:tc>
          <w:tcPr>
            <w:tcW w:w="1869" w:type="dxa"/>
            <w:vMerge w:val="continue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99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trHeight w:val="252" w:hRule="atLeast"/>
        </w:trPr>
        <w:tc>
          <w:tcPr>
            <w:tcW w:w="625" w:type="dxa"/>
            <w:vMerge w:val="restart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1.5.</w:t>
            </w:r>
          </w:p>
        </w:tc>
        <w:tc>
          <w:tcPr>
            <w:tcW w:w="4584" w:type="dxa"/>
            <w:vMerge w:val="restart"/>
            <w:tcBorders>
              <w:top w:val="nil"/>
            </w:tcBorders>
            <w:vAlign w:val="center"/>
          </w:tcPr>
          <w:p>
            <w:pPr>
              <w:pStyle w:val="Style35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Шпилька</w:t>
            </w:r>
          </w:p>
        </w:tc>
        <w:tc>
          <w:tcPr>
            <w:tcW w:w="255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Длина</w:t>
            </w:r>
          </w:p>
        </w:tc>
        <w:tc>
          <w:tcPr>
            <w:tcW w:w="181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500 мм.</w:t>
            </w:r>
          </w:p>
        </w:tc>
        <w:tc>
          <w:tcPr>
            <w:tcW w:w="1254" w:type="dxa"/>
            <w:vMerge w:val="restart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ГОСТ 22042-76</w:t>
            </w:r>
          </w:p>
        </w:tc>
        <w:tc>
          <w:tcPr>
            <w:tcW w:w="1869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991" w:type="dxa"/>
            <w:vMerge w:val="restart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trHeight w:val="252" w:hRule="atLeast"/>
        </w:trPr>
        <w:tc>
          <w:tcPr>
            <w:tcW w:w="625" w:type="dxa"/>
            <w:vMerge w:val="continue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584" w:type="dxa"/>
            <w:vMerge w:val="continue"/>
            <w:tcBorders>
              <w:top w:val="nil"/>
            </w:tcBorders>
            <w:vAlign w:val="center"/>
          </w:tcPr>
          <w:p>
            <w:pPr>
              <w:pStyle w:val="Style35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Диаметр резьбы</w:t>
            </w:r>
          </w:p>
        </w:tc>
        <w:tc>
          <w:tcPr>
            <w:tcW w:w="181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М30</w:t>
            </w:r>
          </w:p>
        </w:tc>
        <w:tc>
          <w:tcPr>
            <w:tcW w:w="1254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869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9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trHeight w:val="252" w:hRule="atLeast"/>
        </w:trPr>
        <w:tc>
          <w:tcPr>
            <w:tcW w:w="625" w:type="dxa"/>
            <w:vMerge w:val="restart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1.6.</w:t>
            </w:r>
          </w:p>
        </w:tc>
        <w:tc>
          <w:tcPr>
            <w:tcW w:w="4584" w:type="dxa"/>
            <w:vMerge w:val="restart"/>
            <w:tcBorders>
              <w:top w:val="nil"/>
            </w:tcBorders>
            <w:vAlign w:val="center"/>
          </w:tcPr>
          <w:p>
            <w:pPr>
              <w:pStyle w:val="Style35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Рым гайка М30 8.8</w:t>
            </w:r>
          </w:p>
        </w:tc>
        <w:tc>
          <w:tcPr>
            <w:tcW w:w="255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Диаметр резьбы</w:t>
            </w:r>
          </w:p>
        </w:tc>
        <w:tc>
          <w:tcPr>
            <w:tcW w:w="181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М30</w:t>
            </w:r>
          </w:p>
        </w:tc>
        <w:tc>
          <w:tcPr>
            <w:tcW w:w="1254" w:type="dxa"/>
            <w:vMerge w:val="restart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DIN582</w:t>
            </w:r>
          </w:p>
        </w:tc>
        <w:tc>
          <w:tcPr>
            <w:tcW w:w="1869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991" w:type="dxa"/>
            <w:vMerge w:val="restart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trHeight w:val="252" w:hRule="atLeast"/>
        </w:trPr>
        <w:tc>
          <w:tcPr>
            <w:tcW w:w="625" w:type="dxa"/>
            <w:vMerge w:val="continue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584" w:type="dxa"/>
            <w:vMerge w:val="continue"/>
            <w:tcBorders>
              <w:top w:val="nil"/>
            </w:tcBorders>
            <w:vAlign w:val="center"/>
          </w:tcPr>
          <w:p>
            <w:pPr>
              <w:pStyle w:val="Style35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 прочности</w:t>
            </w:r>
          </w:p>
        </w:tc>
        <w:tc>
          <w:tcPr>
            <w:tcW w:w="181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8.8</w:t>
            </w:r>
          </w:p>
        </w:tc>
        <w:tc>
          <w:tcPr>
            <w:tcW w:w="1254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869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9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trHeight w:val="252" w:hRule="atLeast"/>
        </w:trPr>
        <w:tc>
          <w:tcPr>
            <w:tcW w:w="625" w:type="dxa"/>
            <w:vMerge w:val="restart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1.7.</w:t>
            </w:r>
          </w:p>
        </w:tc>
        <w:tc>
          <w:tcPr>
            <w:tcW w:w="4584" w:type="dxa"/>
            <w:vMerge w:val="restart"/>
            <w:tcBorders>
              <w:top w:val="nil"/>
            </w:tcBorders>
            <w:vAlign w:val="center"/>
          </w:tcPr>
          <w:p>
            <w:pPr>
              <w:pStyle w:val="Style35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Гайка М30 8.8</w:t>
            </w:r>
          </w:p>
        </w:tc>
        <w:tc>
          <w:tcPr>
            <w:tcW w:w="255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Диаметр резьбы</w:t>
            </w:r>
          </w:p>
        </w:tc>
        <w:tc>
          <w:tcPr>
            <w:tcW w:w="181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М30</w:t>
            </w:r>
          </w:p>
        </w:tc>
        <w:tc>
          <w:tcPr>
            <w:tcW w:w="1254" w:type="dxa"/>
            <w:vMerge w:val="restart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ГОСТ 5915-70</w:t>
            </w:r>
          </w:p>
        </w:tc>
        <w:tc>
          <w:tcPr>
            <w:tcW w:w="1869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991" w:type="dxa"/>
            <w:vMerge w:val="restart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trHeight w:val="252" w:hRule="atLeast"/>
        </w:trPr>
        <w:tc>
          <w:tcPr>
            <w:tcW w:w="625" w:type="dxa"/>
            <w:vMerge w:val="continue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584" w:type="dxa"/>
            <w:vMerge w:val="continue"/>
            <w:tcBorders>
              <w:top w:val="nil"/>
            </w:tcBorders>
            <w:vAlign w:val="center"/>
          </w:tcPr>
          <w:p>
            <w:pPr>
              <w:pStyle w:val="Style35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 прочности</w:t>
            </w:r>
          </w:p>
        </w:tc>
        <w:tc>
          <w:tcPr>
            <w:tcW w:w="181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8.8</w:t>
            </w:r>
          </w:p>
        </w:tc>
        <w:tc>
          <w:tcPr>
            <w:tcW w:w="1254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869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9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trHeight w:val="252" w:hRule="atLeast"/>
        </w:trPr>
        <w:tc>
          <w:tcPr>
            <w:tcW w:w="625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1.8.</w:t>
            </w:r>
          </w:p>
        </w:tc>
        <w:tc>
          <w:tcPr>
            <w:tcW w:w="4584" w:type="dxa"/>
            <w:tcBorders>
              <w:top w:val="nil"/>
            </w:tcBorders>
            <w:vAlign w:val="center"/>
          </w:tcPr>
          <w:p>
            <w:pPr>
              <w:pStyle w:val="Style35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Хим.анкер</w:t>
            </w:r>
          </w:p>
        </w:tc>
        <w:tc>
          <w:tcPr>
            <w:tcW w:w="2550" w:type="dxa"/>
            <w:tcBorders>
              <w:top w:val="nil"/>
            </w:tcBorders>
          </w:tcPr>
          <w:p>
            <w:pPr>
              <w:pStyle w:val="Normal"/>
              <w:widowControl w:val="false"/>
              <w:jc w:val="left"/>
              <w:rPr>
                <w:color w:val="000000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Климатическое исполнение поставляемой продукции</w:t>
            </w:r>
          </w:p>
        </w:tc>
        <w:tc>
          <w:tcPr>
            <w:tcW w:w="1814" w:type="dxa"/>
            <w:tcBorders>
              <w:top w:val="nil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</w:rPr>
              <w:t>Климатическое исполнение – У 4/1 (постоянное воздействие пресной воды и воздуха).</w:t>
            </w:r>
          </w:p>
        </w:tc>
        <w:tc>
          <w:tcPr>
            <w:tcW w:w="1254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ГОСТ 58387-2019</w:t>
            </w:r>
          </w:p>
        </w:tc>
        <w:tc>
          <w:tcPr>
            <w:tcW w:w="1869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99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trHeight w:val="252" w:hRule="atLeast"/>
        </w:trPr>
        <w:tc>
          <w:tcPr>
            <w:tcW w:w="625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>
                <w:color w:val="000000"/>
              </w:rPr>
            </w:pPr>
            <w:r>
              <w:rPr>
                <w:b w:val="false"/>
                <w:bCs w:val="false"/>
                <w:color w:val="000000"/>
                <w:lang w:val="en-US" w:eastAsia="x-none"/>
              </w:rPr>
              <w:t>2.</w:t>
            </w:r>
          </w:p>
        </w:tc>
        <w:tc>
          <w:tcPr>
            <w:tcW w:w="458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доставке, маркировке, упаковке, транспортировке, приемке</w:t>
            </w:r>
          </w:p>
        </w:tc>
        <w:tc>
          <w:tcPr>
            <w:tcW w:w="255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  <w:highlight w:val="yellow"/>
              </w:rPr>
            </w:r>
          </w:p>
        </w:tc>
        <w:tc>
          <w:tcPr>
            <w:tcW w:w="181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254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1869" w:type="dxa"/>
            <w:vMerge w:val="continue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1991" w:type="dxa"/>
            <w:vMerge w:val="restart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</w:tr>
      <w:tr>
        <w:trPr>
          <w:trHeight w:val="252" w:hRule="atLeast"/>
        </w:trPr>
        <w:tc>
          <w:tcPr>
            <w:tcW w:w="625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>
                <w:color w:val="000000"/>
              </w:rPr>
            </w:pPr>
            <w:r>
              <w:rPr>
                <w:b w:val="false"/>
                <w:bCs w:val="false"/>
                <w:color w:val="000000"/>
                <w:lang w:val="en-US" w:eastAsia="x-none"/>
              </w:rPr>
              <w:t>2.1.</w:t>
            </w:r>
          </w:p>
        </w:tc>
        <w:tc>
          <w:tcPr>
            <w:tcW w:w="458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Место поставки</w:t>
            </w:r>
          </w:p>
        </w:tc>
        <w:tc>
          <w:tcPr>
            <w:tcW w:w="255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РФ, 413865, Саратовская обл., г. Балаково, ул. Заовражная д.48.</w:t>
            </w:r>
          </w:p>
        </w:tc>
        <w:tc>
          <w:tcPr>
            <w:tcW w:w="181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  <w:highlight w:val="yellow"/>
              </w:rPr>
            </w:r>
          </w:p>
        </w:tc>
        <w:tc>
          <w:tcPr>
            <w:tcW w:w="1254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1869" w:type="dxa"/>
            <w:vMerge w:val="continue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19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</w:tr>
      <w:tr>
        <w:trPr>
          <w:trHeight w:val="252" w:hRule="atLeast"/>
        </w:trPr>
        <w:tc>
          <w:tcPr>
            <w:tcW w:w="625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>
                <w:color w:val="000000"/>
              </w:rPr>
            </w:pPr>
            <w:r>
              <w:rPr>
                <w:b w:val="false"/>
                <w:bCs w:val="false"/>
                <w:color w:val="000000"/>
                <w:lang w:val="en-US" w:eastAsia="x-none"/>
              </w:rPr>
              <w:t>2.2.</w:t>
            </w:r>
          </w:p>
        </w:tc>
        <w:tc>
          <w:tcPr>
            <w:tcW w:w="458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Поставка</w:t>
            </w:r>
          </w:p>
        </w:tc>
        <w:tc>
          <w:tcPr>
            <w:tcW w:w="255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Обеспечение сохранности упаковки (тары).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Поставщик должен обеспечить поставку продукции собственными силами и средствами, а при необходимости привлекать для исполнения своих обязательств третьих лиц. При привлечении третьих лиц (соисполнителей) Поставщик несет ответственность перед Заказчиком за неисполнение или ненадлежащее исполнение обязательств привлеченными к исполнению договора третьими лицами.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Поставка производится на склад Грузополучателя в г. Балаково в рабочие дни с 8-00 до 12-00 и с 13-00 до 16-00 (по местному времени)</w:t>
            </w:r>
          </w:p>
        </w:tc>
        <w:tc>
          <w:tcPr>
            <w:tcW w:w="181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  <w:highlight w:val="yellow"/>
              </w:rPr>
            </w:r>
          </w:p>
        </w:tc>
        <w:tc>
          <w:tcPr>
            <w:tcW w:w="1254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1869" w:type="dxa"/>
            <w:vMerge w:val="continue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19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</w:tr>
      <w:tr>
        <w:trPr>
          <w:trHeight w:val="252" w:hRule="atLeast"/>
        </w:trPr>
        <w:tc>
          <w:tcPr>
            <w:tcW w:w="625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>
                <w:color w:val="000000"/>
              </w:rPr>
            </w:pPr>
            <w:r>
              <w:rPr>
                <w:b w:val="false"/>
                <w:bCs w:val="false"/>
                <w:color w:val="000000"/>
                <w:lang w:val="en-US" w:eastAsia="x-none"/>
              </w:rPr>
              <w:t>2.3.</w:t>
            </w:r>
          </w:p>
        </w:tc>
        <w:tc>
          <w:tcPr>
            <w:tcW w:w="458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Маркировка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каждой упаковке должно быть полное наименование продукции</w:t>
            </w:r>
          </w:p>
        </w:tc>
        <w:tc>
          <w:tcPr>
            <w:tcW w:w="181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  <w:highlight w:val="yellow"/>
              </w:rPr>
            </w:r>
          </w:p>
        </w:tc>
        <w:tc>
          <w:tcPr>
            <w:tcW w:w="1254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1869" w:type="dxa"/>
            <w:vMerge w:val="continue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19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</w:tr>
      <w:tr>
        <w:trPr>
          <w:trHeight w:val="252" w:hRule="atLeast"/>
        </w:trPr>
        <w:tc>
          <w:tcPr>
            <w:tcW w:w="625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>
                <w:color w:val="000000"/>
              </w:rPr>
            </w:pPr>
            <w:r>
              <w:rPr>
                <w:b w:val="false"/>
                <w:bCs w:val="false"/>
                <w:color w:val="000000"/>
                <w:lang w:val="en-US" w:eastAsia="x-none"/>
              </w:rPr>
              <w:t>2.4.</w:t>
            </w:r>
          </w:p>
        </w:tc>
        <w:tc>
          <w:tcPr>
            <w:tcW w:w="458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Приемка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Соответствие продукции и представленных документов договору и техническим требованиям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x-none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x-none" w:bidi="ar-SA"/>
              </w:rPr>
              <w:t>Продукция должна быть новой, ранее не использовавшейся.</w:t>
            </w:r>
          </w:p>
        </w:tc>
        <w:tc>
          <w:tcPr>
            <w:tcW w:w="181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  <w:highlight w:val="yellow"/>
              </w:rPr>
            </w:r>
          </w:p>
        </w:tc>
        <w:tc>
          <w:tcPr>
            <w:tcW w:w="1254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1869" w:type="dxa"/>
            <w:vMerge w:val="continue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19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</w:tr>
      <w:tr>
        <w:trPr>
          <w:trHeight w:val="252" w:hRule="atLeast"/>
        </w:trPr>
        <w:tc>
          <w:tcPr>
            <w:tcW w:w="625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>
                <w:color w:val="000000"/>
              </w:rPr>
            </w:pPr>
            <w:r>
              <w:rPr>
                <w:b w:val="false"/>
                <w:bCs w:val="false"/>
                <w:color w:val="000000"/>
                <w:lang w:val="en-US" w:eastAsia="x-none"/>
              </w:rPr>
              <w:t>3.</w:t>
            </w:r>
          </w:p>
        </w:tc>
        <w:tc>
          <w:tcPr>
            <w:tcW w:w="458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  <w:highlight w:val="yellow"/>
              </w:rPr>
            </w:r>
          </w:p>
        </w:tc>
        <w:tc>
          <w:tcPr>
            <w:tcW w:w="181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254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1869" w:type="dxa"/>
            <w:vMerge w:val="continue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19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</w:tr>
      <w:tr>
        <w:trPr>
          <w:trHeight w:val="252" w:hRule="atLeast"/>
        </w:trPr>
        <w:tc>
          <w:tcPr>
            <w:tcW w:w="625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>
                <w:color w:val="000000"/>
              </w:rPr>
            </w:pPr>
            <w:r>
              <w:rPr>
                <w:b w:val="false"/>
                <w:bCs w:val="false"/>
                <w:color w:val="000000"/>
                <w:lang w:val="en-US" w:eastAsia="x-none"/>
              </w:rPr>
              <w:t>3.1.</w:t>
            </w:r>
          </w:p>
        </w:tc>
        <w:tc>
          <w:tcPr>
            <w:tcW w:w="458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Гарантия, не менее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12 (двенадцати) месяцев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  <w:t xml:space="preserve"> исчисляемый с даты подписания Сторонами соответствующей товарной накладной по форме ТОРГ-12 или Универсального передаточного документа (УПД), но не менее гарантийного срока изготовителя (производителя) продукции.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x-none" w:bidi="ar-SA"/>
              </w:rPr>
              <w:t>Условия выполнения гарантийных обязательств поставщика или производителя не должны включать требование привлечения, специально аккредитованных производителем организаций или специалистов.</w:t>
            </w:r>
          </w:p>
        </w:tc>
        <w:tc>
          <w:tcPr>
            <w:tcW w:w="181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  <w:highlight w:val="yellow"/>
              </w:rPr>
            </w:r>
          </w:p>
        </w:tc>
        <w:tc>
          <w:tcPr>
            <w:tcW w:w="1254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1869" w:type="dxa"/>
            <w:vMerge w:val="continue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19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25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>
                <w:color w:val="000000"/>
              </w:rPr>
            </w:pPr>
            <w:r>
              <w:rPr>
                <w:b w:val="false"/>
                <w:bCs w:val="false"/>
                <w:color w:val="000000"/>
                <w:lang w:val="en-US" w:eastAsia="x-none"/>
              </w:rPr>
              <w:t>4.</w:t>
            </w:r>
          </w:p>
        </w:tc>
        <w:tc>
          <w:tcPr>
            <w:tcW w:w="10202" w:type="dxa"/>
            <w:gridSpan w:val="4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869" w:type="dxa"/>
            <w:vMerge w:val="continue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19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</w:tr>
      <w:tr>
        <w:trPr>
          <w:trHeight w:val="2041" w:hRule="atLeast"/>
        </w:trPr>
        <w:tc>
          <w:tcPr>
            <w:tcW w:w="625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>
                <w:color w:val="000000"/>
              </w:rPr>
            </w:pPr>
            <w:r>
              <w:rPr>
                <w:b w:val="false"/>
                <w:bCs w:val="false"/>
                <w:color w:val="000000"/>
                <w:lang w:val="en-US" w:eastAsia="x-none"/>
              </w:rPr>
              <w:t>4.1.</w:t>
            </w:r>
          </w:p>
        </w:tc>
        <w:tc>
          <w:tcPr>
            <w:tcW w:w="713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Документ о качестве продукции</w:t>
            </w:r>
          </w:p>
        </w:tc>
        <w:tc>
          <w:tcPr>
            <w:tcW w:w="3068" w:type="dxa"/>
            <w:gridSpan w:val="2"/>
            <w:tcBorders>
              <w:top w:val="outset" w:sz="6" w:space="0" w:color="000000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При поставке предоставляются документы: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 о количестве продукции;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 о соответствия нормативным требованиям;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 о дате изготовления;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 отметки о проверке ОТК;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 сертификат качества.</w:t>
            </w:r>
          </w:p>
        </w:tc>
        <w:tc>
          <w:tcPr>
            <w:tcW w:w="1869" w:type="dxa"/>
            <w:vMerge w:val="continue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991" w:type="dxa"/>
            <w:tcBorders>
              <w:top w:val="outset" w:sz="6" w:space="0" w:color="000000"/>
              <w:bottom w:val="outset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</w:tbl>
    <w:p>
      <w:pPr>
        <w:pStyle w:val="Heading4"/>
        <w:rPr>
          <w:color w:val="000000"/>
        </w:rPr>
      </w:pPr>
      <w:r>
        <w:rPr>
          <w:color w:val="000000"/>
        </w:rPr>
      </w:r>
    </w:p>
    <w:p>
      <w:pPr>
        <w:pStyle w:val="Heading4"/>
        <w:rPr>
          <w:color w:val="000000"/>
        </w:rPr>
      </w:pPr>
      <w:r>
        <w:rPr>
          <w:color w:val="000000"/>
          <w:shd w:fill="FFFFFF" w:val="clear"/>
        </w:rPr>
        <w:t xml:space="preserve">3. </w:t>
      </w:r>
      <w:r>
        <w:rPr>
          <w:rFonts w:eastAsia="Times New Roman"/>
          <w:b w:val="false"/>
          <w:bCs w:val="false"/>
          <w:color w:val="000000"/>
          <w:shd w:fill="FFFFFF" w:val="clear"/>
          <w:lang w:eastAsia="ru-RU"/>
        </w:rPr>
        <w:t xml:space="preserve">Требования </w:t>
      </w:r>
      <w:r>
        <w:rPr>
          <w:b w:val="false"/>
          <w:bCs w:val="false"/>
          <w:color w:val="000000"/>
          <w:shd w:fill="FFFFFF" w:val="clear"/>
        </w:rPr>
        <w:t>к д</w:t>
      </w:r>
      <w:r>
        <w:rPr>
          <w:color w:val="000000"/>
          <w:shd w:fill="FFFFFF" w:val="clear"/>
        </w:rPr>
        <w:t>окументации по ценообразованию на этапе закупки</w:t>
      </w:r>
    </w:p>
    <w:p>
      <w:pPr>
        <w:pStyle w:val="Normal"/>
        <w:spacing w:before="0" w:after="120"/>
        <w:ind w:left="142" w:hanging="0"/>
        <w:jc w:val="both"/>
        <w:rPr>
          <w:color w:val="000000"/>
        </w:rPr>
      </w:pPr>
      <w:r>
        <w:rPr>
          <w:color w:val="000000"/>
          <w:sz w:val="24"/>
          <w:szCs w:val="24"/>
          <w:shd w:fill="FFFFFF" w:val="clear"/>
          <w:lang w:eastAsia="x-none"/>
        </w:rPr>
        <w:t xml:space="preserve">3.1.В обоснование стоимости своей заявки Участник предоставляет Коммерческое предложение по форме </w:t>
      </w:r>
      <w:bookmarkStart w:id="24" w:name="_Hlk88325985"/>
      <w:r>
        <w:rPr>
          <w:color w:val="000000"/>
          <w:sz w:val="24"/>
          <w:szCs w:val="24"/>
          <w:shd w:fill="FFFFFF" w:val="clear"/>
          <w:lang w:eastAsia="x-none"/>
        </w:rPr>
        <w:t>(с учетом прилагаемой к ней инструкции по заполнению)</w:t>
      </w:r>
      <w:bookmarkEnd w:id="24"/>
      <w:r>
        <w:rPr>
          <w:color w:val="000000"/>
          <w:sz w:val="24"/>
          <w:szCs w:val="24"/>
          <w:shd w:fill="FFFFFF" w:val="clear"/>
          <w:lang w:eastAsia="x-none"/>
        </w:rPr>
        <w:t>, приведенной в Документации о закупке.</w:t>
      </w:r>
    </w:p>
    <w:p>
      <w:pPr>
        <w:pStyle w:val="Normal"/>
        <w:spacing w:before="0" w:after="120"/>
        <w:ind w:left="113" w:hanging="0"/>
        <w:jc w:val="both"/>
        <w:rPr>
          <w:shd w:fill="FFFFFF" w:val="clear"/>
        </w:rPr>
      </w:pPr>
      <w:r>
        <w:rPr>
          <w:sz w:val="24"/>
          <w:szCs w:val="24"/>
          <w:shd w:fill="FFFFFF" w:val="clear"/>
          <w:lang w:eastAsia="x-none"/>
        </w:rPr>
        <w:t xml:space="preserve">3.2. </w:t>
      </w:r>
      <w:bookmarkStart w:id="25" w:name="_Hlk88327292"/>
      <w:r>
        <w:rPr>
          <w:sz w:val="24"/>
          <w:szCs w:val="24"/>
          <w:shd w:fill="FFFFFF" w:val="clear"/>
          <w:lang w:eastAsia="x-none"/>
        </w:rPr>
        <w:t>Дополнительные документы по ценообразованию</w:t>
      </w:r>
      <w:bookmarkEnd w:id="25"/>
      <w:r>
        <w:rPr>
          <w:sz w:val="24"/>
          <w:szCs w:val="24"/>
          <w:shd w:fill="FFFFFF" w:val="clear"/>
          <w:lang w:eastAsia="x-none"/>
        </w:rPr>
        <w:t xml:space="preserve"> в состав заявки не включаются.</w:t>
      </w:r>
    </w:p>
    <w:sectPr>
      <w:headerReference w:type="default" r:id="rId6"/>
      <w:headerReference w:type="first" r:id="rId7"/>
      <w:type w:val="nextPage"/>
      <w:pgSz w:orient="landscape" w:w="16838" w:h="11906"/>
      <w:pgMar w:left="1134" w:right="992" w:gutter="0" w:header="680" w:top="851" w:footer="0" w:bottom="903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TimesNewRomanPSMT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 wp14:anchorId="21A5964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21A59640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effect w:val="none"/>
        <w:szCs w:val="24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be2038"/>
    <w:pPr>
      <w:keepNext w:val="true"/>
      <w:spacing w:before="120" w:after="60"/>
      <w:ind w:left="1224" w:hanging="0"/>
      <w:outlineLvl w:val="2"/>
    </w:pPr>
    <w:rPr>
      <w:rFonts w:ascii="Times New Roman" w:hAnsi="Times New Roman" w:eastAsia="Calibri"/>
      <w:sz w:val="24"/>
      <w:szCs w:val="24"/>
      <w:lang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d561d9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1" w:customStyle="1">
    <w:name w:val="Гиперссылка1"/>
    <w:uiPriority w:val="99"/>
    <w:qFormat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be2038"/>
    <w:rPr>
      <w:rFonts w:eastAsia="Calibri"/>
      <w:sz w:val="24"/>
      <w:szCs w:val="24"/>
      <w:lang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6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2" w:customStyle="1">
    <w:name w:val="Подпункт Знак1"/>
    <w:link w:val="Style22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0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3879d4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3" w:customStyle="1">
    <w:name w:val="УРОВЕНЬ_1. Знак"/>
    <w:link w:val="110"/>
    <w:qFormat/>
    <w:rsid w:val="004a17ae"/>
    <w:rPr>
      <w:rFonts w:eastAsia="Calibri"/>
      <w:caps/>
      <w:sz w:val="28"/>
      <w:szCs w:val="28"/>
      <w:lang w:eastAsia="en-US"/>
    </w:rPr>
  </w:style>
  <w:style w:type="character" w:styleId="14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Fontstyle01" w:customStyle="1">
    <w:name w:val="fontstyle01"/>
    <w:qFormat/>
    <w:rsid w:val="0016574b"/>
    <w:rPr>
      <w:rFonts w:ascii="TimesNewRomanPSMT" w:hAnsi="TimesNewRomanPSMT"/>
      <w:b w:val="false"/>
      <w:bCs w:val="false"/>
      <w:i w:val="false"/>
      <w:iCs w:val="false"/>
      <w:color w:val="000000"/>
      <w:sz w:val="24"/>
      <w:szCs w:val="24"/>
    </w:rPr>
  </w:style>
  <w:style w:type="character" w:styleId="Style14" w:customStyle="1">
    <w:name w:val="Основной текст_"/>
    <w:link w:val="111"/>
    <w:uiPriority w:val="99"/>
    <w:qFormat/>
    <w:locked/>
    <w:rsid w:val="00383774"/>
    <w:rPr>
      <w:sz w:val="28"/>
      <w:shd w:fill="FFFFFF" w:val="clear"/>
    </w:rPr>
  </w:style>
  <w:style w:type="character" w:styleId="Style15" w:customStyle="1">
    <w:name w:val="Символ нумерации"/>
    <w:qFormat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Indexheading111" w:customStyle="1">
    <w:name w:val="index heading111"/>
    <w:basedOn w:val="Title"/>
    <w:qFormat/>
    <w:pPr/>
    <w:rPr/>
  </w:style>
  <w:style w:type="paragraph" w:styleId="Style18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9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0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5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6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1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2" w:customStyle="1">
    <w:name w:val="Подпункт"/>
    <w:basedOn w:val="Normal"/>
    <w:link w:val="12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23" w:customStyle="1">
    <w:name w:val="Раздел регламента"/>
    <w:basedOn w:val="Normal"/>
    <w:qFormat/>
    <w:rsid w:val="00e228fa"/>
    <w:pPr/>
    <w:rPr/>
  </w:style>
  <w:style w:type="paragraph" w:styleId="Style24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7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5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99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6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6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7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8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8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9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0" w:customStyle="1">
    <w:name w:val="Подподпункт"/>
    <w:basedOn w:val="Style22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1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2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9" w:customStyle="1">
    <w:name w:val="Стиль Заголовок 1 + по ширине"/>
    <w:basedOn w:val="Heading1"/>
    <w:qFormat/>
    <w:rsid w:val="005773b2"/>
    <w:pPr>
      <w:keepLines/>
      <w:tabs>
        <w:tab w:val="clear" w:pos="708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3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10" w:customStyle="1">
    <w:name w:val="УРОВЕНЬ_1."/>
    <w:basedOn w:val="ListParagraph"/>
    <w:link w:val="13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37" w:customStyle="1">
    <w:name w:val="Абзац списка3"/>
    <w:basedOn w:val="Normal"/>
    <w:qFormat/>
    <w:rsid w:val="0011460f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111" w:customStyle="1">
    <w:name w:val="Основной текст1"/>
    <w:basedOn w:val="Normal"/>
    <w:link w:val="Style14"/>
    <w:uiPriority w:val="99"/>
    <w:qFormat/>
    <w:rsid w:val="00383774"/>
    <w:pPr>
      <w:widowControl w:val="false"/>
      <w:shd w:val="clear" w:color="auto" w:fill="FFFFFF"/>
      <w:spacing w:lineRule="exact" w:line="302"/>
    </w:pPr>
    <w:rPr>
      <w:szCs w:val="20"/>
    </w:rPr>
  </w:style>
  <w:style w:type="paragraph" w:styleId="Style34" w:customStyle="1">
    <w:name w:val="Содержимое врезки"/>
    <w:basedOn w:val="Normal"/>
    <w:qFormat/>
    <w:pPr/>
    <w:rPr/>
  </w:style>
  <w:style w:type="paragraph" w:styleId="Style35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6" w:customStyle="1">
    <w:name w:val="Заголовок таблицы"/>
    <w:basedOn w:val="Style35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2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7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e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31E60B-FB71-4B81-B1AE-4F476DB1C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1279</TotalTime>
  <Application>AlterOffice/3.4.0.9$Linux_X86_64 LibreOffice_project/b8daf9e823b1a5463a2f48435ddc2e8696e7d4fc</Application>
  <AppVersion>15.0000</AppVersion>
  <Pages>7</Pages>
  <Words>636</Words>
  <Characters>4019</Characters>
  <CharactersWithSpaces>4506</CharactersWithSpaces>
  <Paragraphs>182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2024-09-19T07:25:00Z</dcterms:created>
  <dc:creator>Быстров Олег Геннадьевич</dc:creator>
  <dc:description/>
  <dc:language>ru-RU</dc:language>
  <cp:lastModifiedBy>zubkovsa@corp.gidroogk.com</cp:lastModifiedBy>
  <cp:lastPrinted>2023-11-09T07:11:00Z</cp:lastPrinted>
  <dcterms:modified xsi:type="dcterms:W3CDTF">2026-08-18T09:34:42Z</dcterms:modified>
  <cp:revision>97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