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1.xml" ContentType="application/vnd.openxmlformats-officedocument.wordprocessingml.footer+xml"/>
  <Override PartName="/word/footnotes.xml" ContentType="application/vnd.openxmlformats-officedocument.wordprocessingml.footnotes+xml"/>
  <Override PartName="/word/_rels/document.xml.rels" ContentType="application/vnd.openxmlformats-package.relationships+xml"/>
  <Override PartName="/word/header2.xml" ContentType="application/vnd.openxmlformats-officedocument.wordprocessingml.header+xml"/>
  <Override PartName="/word/media/image13.wmf" ContentType="image/x-wmf"/>
  <Override PartName="/word/media/image12.wmf" ContentType="image/x-wmf"/>
  <Override PartName="/word/media/image11.wmf" ContentType="image/x-wmf"/>
  <Override PartName="/word/media/image10.wmf" ContentType="image/x-wmf"/>
  <Override PartName="/word/media/image9.wmf" ContentType="image/x-wmf"/>
  <Override PartName="/word/media/image8.wmf" ContentType="image/x-wmf"/>
  <Override PartName="/word/media/image17.wmf" ContentType="image/x-wmf"/>
  <Override PartName="/word/media/image5.wmf" ContentType="image/x-wmf"/>
  <Override PartName="/word/media/image18.wmf" ContentType="image/x-wmf"/>
  <Override PartName="/word/media/image6.wmf" ContentType="image/x-wmf"/>
  <Override PartName="/word/media/image19.wmf" ContentType="image/x-wmf"/>
  <Override PartName="/word/media/image7.wmf" ContentType="image/x-wmf"/>
  <Override PartName="/word/media/image20.wmf" ContentType="image/x-wmf"/>
  <Override PartName="/word/media/image22.wmf" ContentType="image/x-wmf"/>
  <Override PartName="/word/media/image21.wmf" ContentType="image/x-wmf"/>
  <Override PartName="/word/media/image4.wmf" ContentType="image/x-wmf"/>
  <Override PartName="/word/media/image16.wmf" ContentType="image/x-wmf"/>
  <Override PartName="/word/media/image15.wmf" ContentType="image/x-wmf"/>
  <Override PartName="/word/media/image1.png" ContentType="image/png"/>
  <Override PartName="/word/media/image3.wmf" ContentType="image/x-wmf"/>
  <Override PartName="/word/media/image2.wmf" ContentType="image/x-wmf"/>
  <Override PartName="/word/media/image14.wmf" ContentType="image/x-wmf"/>
  <Override PartName="/word/header1.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styles.xml" ContentType="application/vnd.openxmlformats-officedocument.wordprocessingml.styles+xml"/>
  <Override PartName="/customXml/_rels/item1.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itemProps3.xml" ContentType="application/vnd.openxmlformats-officedocument.customXmlProperties+xml"/>
  <Override PartName="/customXml/item3.xml" ContentType="application/xml"/>
  <Override PartName="/customXml/item4.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1.xml" ContentType="application/xml"/>
  <Override PartName="/customXml/item2.xml" ContentType="application/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firstLine="567"/>
        <w:jc w:val="right"/>
        <w:rPr>
          <w:b w:val="false"/>
        </w:rPr>
      </w:pPr>
      <w:r>
        <w:rPr>
          <w:b w:val="false"/>
        </w:rPr>
        <w:t>Приложение</w:t>
      </w:r>
    </w:p>
    <w:p>
      <w:pPr>
        <w:pStyle w:val="Normal"/>
        <w:shd w:val="clear" w:color="auto" w:fill="FFFFFF"/>
        <w:tabs>
          <w:tab w:val="clear" w:pos="709"/>
          <w:tab w:val="left" w:pos="6926" w:leader="none"/>
        </w:tabs>
        <w:jc w:val="right"/>
        <w:rPr>
          <w:bCs/>
          <w:sz w:val="24"/>
          <w:szCs w:val="24"/>
        </w:rPr>
      </w:pPr>
      <w:r>
        <w:rPr>
          <w:bCs/>
          <w:sz w:val="24"/>
          <w:szCs w:val="24"/>
        </w:rPr>
        <w:t>к приказу ПАО «РусГидро»</w:t>
      </w:r>
    </w:p>
    <w:p>
      <w:pPr>
        <w:pStyle w:val="Normal"/>
        <w:shd w:val="clear" w:color="auto" w:fill="FFFFFF"/>
        <w:tabs>
          <w:tab w:val="clear" w:pos="709"/>
          <w:tab w:val="left" w:pos="6926" w:leader="none"/>
        </w:tabs>
        <w:jc w:val="right"/>
        <w:rPr>
          <w:b/>
          <w:sz w:val="24"/>
          <w:szCs w:val="24"/>
        </w:rPr>
      </w:pPr>
      <w:r>
        <w:rPr>
          <w:sz w:val="24"/>
          <w:szCs w:val="24"/>
        </w:rPr>
        <w:t>от 02.07.2024 № 415</w:t>
      </w:r>
    </w:p>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w:t>
        <w:br/>
        <w:t xml:space="preserve">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xml:space="preserve">, действующего на основании ________, с одной стороны, </w:t>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pacing w:val="10"/>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 xml:space="preserve">по результатам проведенной Покупателем конкурентной процедуры по лоту № ____________ и на основании протокола __________ от «___» _________ г. №_______, </w:t>
      </w: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fals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sz w:val="24"/>
          <w:szCs w:val="24"/>
          <w:highlight w:val="lightGray"/>
          <w:lang w:eastAsia="en-US"/>
        </w:rPr>
      </w:pPr>
      <w:r>
        <w:rPr>
          <w:b/>
          <w:sz w:val="24"/>
          <w:szCs w:val="24"/>
          <w:highlight w:val="lightGray"/>
          <w:lang w:eastAsia="en-US"/>
        </w:rPr>
        <w:t xml:space="preserve">«Рабочая документация» </w:t>
      </w:r>
      <w:r>
        <w:rPr>
          <w:sz w:val="24"/>
          <w:szCs w:val="24"/>
          <w:highlight w:val="lightGray"/>
          <w:lang w:eastAsia="en-US"/>
        </w:rPr>
        <w:t>–</w:t>
      </w:r>
      <w:r>
        <w:rPr>
          <w:b/>
          <w:sz w:val="24"/>
          <w:szCs w:val="24"/>
          <w:highlight w:val="lightGray"/>
          <w:lang w:eastAsia="en-US"/>
        </w:rPr>
        <w:t xml:space="preserve"> </w:t>
      </w:r>
      <w:r>
        <w:rPr>
          <w:sz w:val="24"/>
          <w:szCs w:val="24"/>
          <w:highlight w:val="lightGray"/>
          <w:lang w:eastAsia="en-US"/>
        </w:rPr>
        <w:t xml:space="preserve">совокупность текстовых и графических документов </w:t>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рабочие чертежи основного комплекта, спецификации оборудования и изделий;</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документы, разработанные в дополнение к рабочим чертежам основного комплекта;</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сметную документацию.</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9"/>
          <w:tab w:val="left" w:pos="567" w:leader="none"/>
        </w:tabs>
        <w:overflowPunct w:val="false"/>
        <w:spacing w:before="0" w:after="0"/>
        <w:ind w:firstLine="708"/>
        <w:jc w:val="both"/>
        <w:textAlignment w:val="baseline"/>
        <w:rPr>
          <w:highlight w:val="none"/>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fals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br/>
        <w:t>в собственность Покупателю</w:t>
      </w:r>
      <w:r>
        <w:rPr>
          <w:rFonts w:eastAsia="Calibri"/>
          <w:bCs/>
          <w:sz w:val="24"/>
          <w:szCs w:val="24"/>
          <w:lang w:eastAsia="en-US"/>
        </w:rPr>
        <w:t xml:space="preserve"> </w:t>
      </w:r>
      <w:r>
        <w:rPr>
          <w:bCs/>
          <w:sz w:val="24"/>
          <w:szCs w:val="24"/>
          <w:highlight w:val="lightGray"/>
        </w:rPr>
        <w:t xml:space="preserve">_____________________ </w:t>
      </w:r>
      <w:r>
        <w:rPr>
          <w:bCs/>
          <w:i/>
          <w:sz w:val="24"/>
          <w:szCs w:val="24"/>
          <w:highlight w:val="lightGray"/>
        </w:rPr>
        <w:t>[указывается общее наименование товара]</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highlight w:val="lightGray"/>
        </w:rPr>
        <w:t>__________________.</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r>
        <w:rPr>
          <w:sz w:val="24"/>
          <w:szCs w:val="24"/>
          <w:highlight w:val="lightGray"/>
        </w:rPr>
        <w:t>_________________</w:t>
      </w:r>
      <w:r>
        <w:rPr>
          <w:sz w:val="24"/>
          <w:szCs w:val="24"/>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 xml:space="preserve">Срок поставки Товара: </w:t>
      </w:r>
      <w:r>
        <w:rPr>
          <w:bCs/>
          <w:sz w:val="24"/>
          <w:szCs w:val="24"/>
          <w:highlight w:val="lightGray"/>
        </w:rPr>
        <w:t>«___» ___________ 20___</w:t>
      </w:r>
      <w:r>
        <w:rPr>
          <w:bCs/>
          <w:sz w:val="24"/>
          <w:szCs w:val="24"/>
        </w:rPr>
        <w:t xml:space="preserve"> г.</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предельной / твердой</w:t>
      </w:r>
      <w:r>
        <w:rPr>
          <w:rStyle w:val="FootnoteReference"/>
          <w:bCs/>
          <w:sz w:val="24"/>
          <w:szCs w:val="24"/>
          <w:highlight w:val="lightGray"/>
          <w:vertAlign w:val="superscript"/>
        </w:rPr>
        <w:footnoteReference w:id="2"/>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pPr>
        <w:pStyle w:val="ListParagraph"/>
        <w:numPr>
          <w:ilvl w:val="1"/>
          <w:numId w:val="2"/>
        </w:numPr>
        <w:tabs>
          <w:tab w:val="clear" w:pos="709"/>
          <w:tab w:val="left" w:pos="568" w:leader="none"/>
          <w:tab w:val="left" w:pos="1134" w:leader="none"/>
        </w:tabs>
        <w:ind w:left="0" w:firstLine="709"/>
        <w:jc w:val="both"/>
        <w:rPr/>
      </w:pPr>
      <w:r>
        <w:rPr>
          <w:bCs/>
          <w:sz w:val="24"/>
          <w:szCs w:val="24"/>
          <w:highlight w:val="lightGray"/>
        </w:rPr>
        <w:t xml:space="preserve">Спецификация (Приложение № 1 к Договору) подлежит согласованию Сторонами не позднее 30 (тридцати) рабочих дней с даты завершения разработки Рабочей документации и приемки ее Покупателем. При несогласовании Спецификации (Приложение № 1 </w:t>
        <w:br/>
        <w:t xml:space="preserve">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w:t>
        <w:br/>
        <w:t>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3"/>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highlight w:val="lightGray"/>
          <w:vertAlign w:val="superscript"/>
        </w:rPr>
        <w:footnoteReference w:id="3"/>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w:t>
        <w:br/>
        <w:t xml:space="preserve">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rPr>
      </w:pPr>
      <w:r>
        <w:rPr>
          <w:sz w:val="24"/>
        </w:rPr>
        <w:t>Авансовый платеж в размере 30 (тридцати) процентов от стоимости Товара</w:t>
      </w:r>
      <w:r>
        <w:rPr>
          <w:rStyle w:val="FootnoteReference"/>
          <w:sz w:val="24"/>
        </w:rPr>
        <w:footnoteReference w:id="4"/>
      </w:r>
      <w:r>
        <w:rPr>
          <w:sz w:val="24"/>
        </w:rPr>
        <w:t xml:space="preserve"> выплачивается Поставщику </w:t>
      </w:r>
      <w:r>
        <w:rPr>
          <w:sz w:val="24"/>
          <w:highlight w:val="lightGray"/>
        </w:rPr>
        <w:t>при условии согласования Сторонами Спецификации (Приложение № 1 к Договору) в соответствии с пунктом 2.2 Договора</w:t>
      </w:r>
      <w:r>
        <w:rPr>
          <w:sz w:val="24"/>
        </w:rPr>
        <w:t xml:space="preserve"> в течение </w:t>
        <w:br/>
        <w:t>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2.5.1, 2.5.4 Договора.</w:t>
      </w:r>
    </w:p>
    <w:p>
      <w:pPr>
        <w:pStyle w:val="ListParagraph"/>
        <w:numPr>
          <w:ilvl w:val="2"/>
          <w:numId w:val="2"/>
        </w:numPr>
        <w:tabs>
          <w:tab w:val="clear" w:pos="709"/>
        </w:tabs>
        <w:ind w:left="0" w:firstLine="709"/>
        <w:jc w:val="both"/>
        <w:rPr>
          <w:sz w:val="24"/>
        </w:rPr>
      </w:pPr>
      <w:r>
        <w:rPr>
          <w:sz w:val="24"/>
        </w:rPr>
        <w:t>Окончательный платеж в размере 70 (семидесяти) процентов от стоимости Товара</w:t>
      </w:r>
      <w:r>
        <w:rPr>
          <w:rStyle w:val="FootnoteReference"/>
          <w:sz w:val="24"/>
        </w:rPr>
        <w:footnoteReference w:id="5"/>
      </w:r>
      <w:r>
        <w:rPr>
          <w:sz w:val="24"/>
        </w:rPr>
        <w:t xml:space="preserve"> выплачивается Поставщику в течение </w:t>
      </w:r>
      <w:r>
        <w:rPr>
          <w:sz w:val="24"/>
          <w:highlight w:val="lightGray"/>
        </w:rPr>
        <w:t>20 (двадцати) календарных дней</w:t>
      </w:r>
      <w:r>
        <w:rPr>
          <w:rStyle w:val="FootnoteReference"/>
          <w:sz w:val="24"/>
          <w:highlight w:val="lightGray"/>
        </w:rPr>
        <w:footnoteReference w:id="6"/>
      </w:r>
      <w:r>
        <w:rPr>
          <w:sz w:val="24"/>
          <w:highlight w:val="lightGray"/>
        </w:rPr>
        <w:t xml:space="preserve"> / 45 (сорока пяти) календарных дней</w:t>
      </w:r>
      <w:r>
        <w:rPr>
          <w:rStyle w:val="FootnoteReference"/>
          <w:sz w:val="24"/>
          <w:highlight w:val="lightGray"/>
        </w:rPr>
        <w:footnoteReference w:id="7"/>
      </w:r>
      <w:r>
        <w:rPr>
          <w:sz w:val="24"/>
          <w:highlight w:val="lightGray"/>
        </w:rPr>
        <w:t xml:space="preserve"> / 7 (семи) рабочих дней</w:t>
      </w:r>
      <w:r>
        <w:rPr>
          <w:rStyle w:val="FootnoteReference"/>
          <w:sz w:val="24"/>
          <w:highlight w:val="lightGray"/>
        </w:rPr>
        <w:footnoteReference w:id="8"/>
      </w:r>
      <w:r>
        <w:rPr>
          <w:sz w:val="24"/>
        </w:rPr>
        <w:t xml:space="preserve"> с даты подписания Сторонами Накладной ТОРГ-12/УПД на основании счета, выставленного Поставщиком, и с учетом пункта 2.5.4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br/>
        <w:t xml:space="preserve">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bCs/>
          <w:sz w:val="24"/>
          <w:szCs w:val="24"/>
          <w:highlight w:val="lightGray"/>
        </w:rPr>
        <w:t>и Рабочей</w:t>
      </w:r>
      <w:r>
        <w:rPr>
          <w:bCs/>
          <w:sz w:val="24"/>
          <w:szCs w:val="24"/>
        </w:rPr>
        <w:t xml:space="preserve">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br/>
        <w:t>а также Применимого права.</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в </w:t>
      </w:r>
      <w:r>
        <w:rPr>
          <w:sz w:val="24"/>
          <w:szCs w:val="24"/>
          <w:highlight w:val="lightGray"/>
        </w:rPr>
        <w:t>__(____)</w:t>
      </w:r>
      <w:r>
        <w:rPr>
          <w:sz w:val="24"/>
          <w:szCs w:val="24"/>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ТОРГ-12/УПД в </w:t>
      </w:r>
      <w:r>
        <w:rPr>
          <w:sz w:val="24"/>
          <w:szCs w:val="24"/>
          <w:highlight w:val="lightGray"/>
        </w:rPr>
        <w:t>__(____)</w:t>
      </w:r>
      <w:r>
        <w:rPr>
          <w:sz w:val="24"/>
          <w:szCs w:val="24"/>
        </w:rPr>
        <w:t xml:space="preserve"> экз.</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bookmarkStart w:id="1"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vertAlign w:val="superscript"/>
        </w:rPr>
        <w:footnoteReference w:id="9"/>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ТОРГ-12/УПД.</w:t>
      </w:r>
      <w:bookmarkEnd w:id="2"/>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w:t>
        <w:br/>
        <w:t xml:space="preserve">в присутствии представителя Поставщика в течение </w:t>
      </w:r>
      <w:r>
        <w:rPr>
          <w:sz w:val="24"/>
          <w:szCs w:val="24"/>
          <w:highlight w:val="lightGray"/>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br/>
        <w:t>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2"/>
        </w:numPr>
        <w:shd w:val="clear" w:color="auto" w:fill="FFFFFF"/>
        <w:tabs>
          <w:tab w:val="clear" w:pos="709"/>
          <w:tab w:val="left" w:pos="1276" w:leader="none"/>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br/>
        <w:t>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предоставить Покупателю копию(-и) заключения(-ий) </w:t>
        <w:br/>
        <w:t xml:space="preserve">о подтверждении производства Товара на территории Российской Федерации, </w:t>
        <w:br/>
        <w:t>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не позднее 6 (шести) месяцев после окончания установленного Договором срока поставки Товара</w:t>
      </w:r>
      <w:r>
        <w:rPr>
          <w:rStyle w:val="FootnoteReference"/>
          <w:sz w:val="24"/>
          <w:szCs w:val="24"/>
        </w:rPr>
        <w:footnoteReference w:id="10"/>
      </w:r>
      <w:r>
        <w:rPr>
          <w:sz w:val="24"/>
          <w:szCs w:val="24"/>
        </w:rPr>
        <w:t>.</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w:t>
        <w:br/>
        <w:t xml:space="preserve">100 (ста)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br/>
        <w:t>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left="0" w:firstLine="709"/>
        <w:contextualSpacing/>
        <w:jc w:val="both"/>
        <w:rPr>
          <w:bCs/>
        </w:rPr>
      </w:pPr>
      <w:r>
        <w:rPr>
          <w:rFonts w:eastAsia="Times New Roman" w:cs="Times New Roman"/>
          <w:bCs/>
          <w:color w:val="000000"/>
          <w:kern w:val="0"/>
          <w:sz w:val="24"/>
          <w:szCs w:val="24"/>
          <w:shd w:fill="auto" w:val="clear"/>
          <w:lang w:val="ru-RU" w:eastAsia="ru-RU" w:bidi="ar-SA"/>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rPr>
      </w:pPr>
      <w:r>
        <w:rPr>
          <w:rFonts w:eastAsia="Times New Roman" w:cs="Times New Roman"/>
          <w:bCs/>
          <w:color w:val="000000"/>
          <w:kern w:val="0"/>
          <w:sz w:val="24"/>
          <w:szCs w:val="24"/>
          <w:shd w:fill="auto" w:val="clear"/>
          <w:lang w:val="ru-RU" w:eastAsia="ru-RU" w:bidi="ar-SA"/>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оригинале на бумажном носителе.</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11"/>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w:t>
        <w:br/>
        <w:t xml:space="preserve">и более 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bCs/>
          <w:sz w:val="24"/>
          <w:szCs w:val="24"/>
        </w:rPr>
      </w:pPr>
      <w:r>
        <w:rPr>
          <w:sz w:val="24"/>
          <w:szCs w:val="24"/>
          <w:highlight w:val="lightGray"/>
        </w:rPr>
        <w:t xml:space="preserve">Стороны вправе изменить способы и порядок обеспечения обязательств </w:t>
        <w:br/>
        <w:t>по Договору, указанные в настоящем разделе, путем подписания дополнительного соглашения к Договору</w:t>
      </w:r>
      <w:r>
        <w:rPr>
          <w:rStyle w:val="FootnoteReference"/>
          <w:sz w:val="24"/>
          <w:szCs w:val="24"/>
          <w:highlight w:val="lightGray"/>
        </w:rPr>
        <w:footnoteReference w:id="12"/>
      </w:r>
      <w:r>
        <w:rPr>
          <w:sz w:val="24"/>
          <w:szCs w:val="24"/>
          <w:highlight w:val="lightGray"/>
        </w:rPr>
        <w:t>.</w:t>
      </w:r>
    </w:p>
    <w:p>
      <w:pPr>
        <w:pStyle w:val="ListParagraph"/>
        <w:widowControl/>
        <w:numPr>
          <w:ilvl w:val="1"/>
          <w:numId w:val="2"/>
        </w:numPr>
        <w:shd w:val="clear" w:color="auto" w:fill="FFFFFF"/>
        <w:tabs>
          <w:tab w:val="clear" w:pos="709"/>
        </w:tabs>
        <w:ind w:left="0" w:firstLine="709"/>
        <w:jc w:val="both"/>
        <w:rPr>
          <w:bCs/>
          <w:sz w:val="24"/>
          <w:szCs w:val="24"/>
        </w:rPr>
      </w:pPr>
      <w:r>
        <w:rPr>
          <w:sz w:val="24"/>
        </w:rPr>
        <w:t xml:space="preserve">Принадлежащее Покупателю по Банковской гарантии право требования </w:t>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w:t>
        <w:br/>
        <w:t xml:space="preserve">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ins w:id="0" w:author="shemyakinvv@corp.gidroogk.com" w:date="2026-08-18T17:34:39Z">
        <w:r>
          <w:rPr>
            <w:bCs/>
            <w:sz w:val="24"/>
            <w:szCs w:val="24"/>
          </w:rPr>
          <w:t xml:space="preserve"> начиная с 31 (тридцать первого) календарного дня просрочки (неустойка с 1 по 30 день просрочки не начисляется), но не более 5% от неоплаченной в срок суммы.».</w:t>
        </w:r>
      </w:ins>
      <w:r>
        <w:rPr>
          <w:bCs/>
          <w:sz w:val="24"/>
          <w:szCs w:val="24"/>
        </w:rPr>
        <w:t>.</w:t>
      </w:r>
    </w:p>
    <w:p>
      <w:pPr>
        <w:pStyle w:val="Normal"/>
        <w:widowControl/>
        <w:numPr>
          <w:ilvl w:val="1"/>
          <w:numId w:val="2"/>
        </w:numPr>
        <w:tabs>
          <w:tab w:val="clear" w:pos="709"/>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8"/>
        </w:numPr>
        <w:tabs>
          <w:tab w:val="clear" w:pos="709"/>
          <w:tab w:val="left" w:pos="1276" w:leader="none"/>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8"/>
        </w:numPr>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8"/>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8"/>
        </w:numPr>
        <w:tabs>
          <w:tab w:val="clear" w:pos="709"/>
          <w:tab w:val="left" w:pos="1276" w:leader="none"/>
          <w:tab w:val="left" w:pos="1701" w:leader="none"/>
        </w:tabs>
        <w:ind w:left="0" w:firstLine="709"/>
        <w:jc w:val="both"/>
        <w:rPr>
          <w:sz w:val="24"/>
          <w:szCs w:val="24"/>
        </w:rPr>
      </w:pPr>
      <w:r>
        <w:rPr>
          <w:rFonts w:eastAsia="Calibri"/>
          <w:bCs/>
          <w:sz w:val="24"/>
          <w:szCs w:val="24"/>
        </w:rPr>
        <w:t xml:space="preserve">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sz w:val="24"/>
          <w:szCs w:val="24"/>
        </w:rPr>
        <w:t>.</w:t>
      </w:r>
    </w:p>
    <w:p>
      <w:pPr>
        <w:pStyle w:val="ListParagraph"/>
        <w:widowControl/>
        <w:numPr>
          <w:ilvl w:val="1"/>
          <w:numId w:val="18"/>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w:t>
        <w:br/>
        <w:t xml:space="preserve">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8"/>
        </w:numPr>
        <w:shd w:val="clear" w:color="auto" w:fill="FFFFFF"/>
        <w:tabs>
          <w:tab w:val="clear" w:pos="709"/>
          <w:tab w:val="left" w:pos="1276" w:leader="none"/>
        </w:tabs>
        <w:ind w:left="0" w:firstLine="709"/>
        <w:jc w:val="both"/>
        <w:rPr>
          <w:bCs/>
          <w:sz w:val="24"/>
          <w:szCs w:val="24"/>
        </w:rPr>
      </w:pPr>
      <w:r>
        <w:rPr>
          <w:bCs/>
          <w:sz w:val="24"/>
          <w:szCs w:val="24"/>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8"/>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numPr>
          <w:ilvl w:val="1"/>
          <w:numId w:val="18"/>
        </w:numPr>
        <w:ind w:left="0" w:firstLine="709"/>
        <w:jc w:val="both"/>
        <w:rPr>
          <w:sz w:val="24"/>
          <w:szCs w:val="24"/>
          <w:highlight w:val="lightGray"/>
        </w:rPr>
      </w:pPr>
      <w:r>
        <w:rPr>
          <w:sz w:val="24"/>
          <w:szCs w:val="24"/>
          <w:highlight w:val="lightGray"/>
        </w:rPr>
        <w:t xml:space="preserve">В случае если неисполнение / ненадлежащее исполнение Поставщиком обязательств по Договору повлекло за собой нарушение </w:t>
      </w:r>
      <w:r>
        <w:rPr>
          <w:bCs/>
          <w:sz w:val="24"/>
          <w:szCs w:val="24"/>
          <w:highlight w:val="lightGray"/>
        </w:rPr>
        <w:t>Покупателем</w:t>
      </w:r>
      <w:r>
        <w:rPr>
          <w:sz w:val="24"/>
          <w:szCs w:val="24"/>
          <w:highlight w:val="lightGray"/>
        </w:rPr>
        <w:t xml:space="preserve"> обязательств </w:t>
        <w:br/>
        <w:t xml:space="preserve">на оптовом и / или розничных рынках электрической энергии и мощности, Поставщик несет ответственность перед </w:t>
      </w:r>
      <w:r>
        <w:rPr>
          <w:bCs/>
          <w:sz w:val="24"/>
          <w:szCs w:val="24"/>
          <w:highlight w:val="lightGray"/>
        </w:rPr>
        <w:t>Покупателем</w:t>
      </w:r>
      <w:r>
        <w:rPr>
          <w:sz w:val="24"/>
          <w:szCs w:val="24"/>
          <w:highlight w:val="lightGray"/>
        </w:rPr>
        <w:t xml:space="preserve"> за причиненный ущерб в размере фактически понесенных и документально подтвержденных расходов, произведенных </w:t>
        <w:br/>
        <w:t xml:space="preserve">для восстановления нарушенного права, в том числе в части затрат, понесенных </w:t>
      </w:r>
      <w:r>
        <w:rPr>
          <w:bCs/>
          <w:sz w:val="24"/>
          <w:szCs w:val="24"/>
          <w:highlight w:val="lightGray"/>
        </w:rPr>
        <w:t>Покупателем</w:t>
      </w:r>
      <w:r>
        <w:rPr>
          <w:sz w:val="24"/>
          <w:szCs w:val="24"/>
          <w:highlight w:val="lightGray"/>
        </w:rPr>
        <w:t xml:space="preserve">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t>
      </w:r>
    </w:p>
    <w:p>
      <w:pPr>
        <w:pStyle w:val="Normal"/>
        <w:ind w:firstLine="709"/>
        <w:jc w:val="both"/>
        <w:rPr>
          <w:sz w:val="24"/>
          <w:szCs w:val="24"/>
          <w:highlight w:val="lightGray"/>
        </w:rPr>
      </w:pPr>
      <w:r>
        <w:rPr>
          <w:sz w:val="24"/>
          <w:szCs w:val="24"/>
          <w:highlight w:val="lightGray"/>
        </w:rPr>
        <w:t xml:space="preserve">Кроме суммы реального ущерба, Поставщик компенсирует </w:t>
      </w:r>
      <w:r>
        <w:rPr>
          <w:bCs/>
          <w:sz w:val="24"/>
          <w:szCs w:val="24"/>
          <w:highlight w:val="lightGray"/>
        </w:rPr>
        <w:t>Покупателем</w:t>
      </w:r>
      <w:r>
        <w:rPr>
          <w:sz w:val="24"/>
          <w:szCs w:val="24"/>
          <w:highlight w:val="lightGray"/>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ind w:firstLine="709"/>
        <w:jc w:val="both"/>
        <w:rPr>
          <w:sz w:val="24"/>
          <w:szCs w:val="24"/>
          <w:highlight w:val="lightGray"/>
        </w:rPr>
      </w:pPr>
      <w:r>
        <w:rPr>
          <w:sz w:val="24"/>
          <w:szCs w:val="24"/>
          <w:highlight w:val="lightGray"/>
        </w:rPr>
        <w:t xml:space="preserve">Размер упущенной выгоды (выручки) подтверждается (по выбору </w:t>
      </w:r>
      <w:r>
        <w:rPr>
          <w:bCs/>
          <w:sz w:val="24"/>
          <w:szCs w:val="24"/>
          <w:highlight w:val="lightGray"/>
        </w:rPr>
        <w:t>Покупателя</w:t>
      </w:r>
      <w:r>
        <w:rPr>
          <w:sz w:val="24"/>
          <w:szCs w:val="24"/>
          <w:highlight w:val="lightGray"/>
        </w:rPr>
        <w:t>):</w:t>
      </w:r>
    </w:p>
    <w:p>
      <w:pPr>
        <w:pStyle w:val="Normal"/>
        <w:widowControl/>
        <w:numPr>
          <w:ilvl w:val="0"/>
          <w:numId w:val="14"/>
        </w:numPr>
        <w:spacing w:lineRule="auto" w:line="259"/>
        <w:ind w:left="0" w:firstLine="709"/>
        <w:jc w:val="both"/>
        <w:rPr>
          <w:sz w:val="24"/>
          <w:szCs w:val="24"/>
          <w:highlight w:val="lightGray"/>
        </w:rPr>
      </w:pPr>
      <w:r>
        <w:rPr>
          <w:sz w:val="24"/>
          <w:szCs w:val="24"/>
          <w:highlight w:val="lightGray"/>
        </w:rPr>
        <w:t>в ценовой зоне оптового рынка:</w:t>
      </w:r>
    </w:p>
    <w:p>
      <w:pPr>
        <w:pStyle w:val="Normal"/>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pPr>
        <w:pStyle w:val="Normal"/>
        <w:ind w:firstLine="709"/>
        <w:jc w:val="both"/>
        <w:rPr>
          <w:sz w:val="24"/>
          <w:szCs w:val="24"/>
          <w:highlight w:val="lightGray"/>
        </w:rPr>
      </w:pPr>
      <w:r>
        <w:rPr>
          <w:sz w:val="24"/>
          <w:szCs w:val="24"/>
          <w:highlight w:val="lightGray"/>
        </w:rPr>
        <w:t>и / или</w:t>
      </w:r>
    </w:p>
    <w:p>
      <w:pPr>
        <w:pStyle w:val="Normal"/>
        <w:ind w:firstLine="709"/>
        <w:jc w:val="both"/>
        <w:rPr>
          <w:sz w:val="24"/>
          <w:szCs w:val="24"/>
          <w:highlight w:val="lightGray"/>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«Некоммерческое партнерство Совет рынка </w:t>
        <w:br/>
        <w:t>по организации эффективной системы оптовой и розничной торговли электрической энергией и мощностью» (далее – Ассоциация «НП Совета рынка»).</w:t>
      </w:r>
    </w:p>
    <w:p>
      <w:pPr>
        <w:pStyle w:val="Normal"/>
        <w:widowControl/>
        <w:numPr>
          <w:ilvl w:val="0"/>
          <w:numId w:val="14"/>
        </w:numPr>
        <w:spacing w:lineRule="auto" w:line="259"/>
        <w:ind w:left="0" w:firstLine="709"/>
        <w:jc w:val="both"/>
        <w:rPr>
          <w:sz w:val="24"/>
          <w:szCs w:val="24"/>
          <w:highlight w:val="lightGray"/>
        </w:rPr>
      </w:pPr>
      <w:r>
        <w:rPr>
          <w:rFonts w:eastAsia="Times New Roman" w:cs="Times New Roman"/>
          <w:color w:val="auto"/>
          <w:kern w:val="0"/>
          <w:sz w:val="24"/>
          <w:szCs w:val="24"/>
          <w:highlight w:val="lightGray"/>
          <w:lang w:val="ru-RU" w:eastAsia="ru-RU" w:bidi="ar-SA"/>
        </w:rPr>
        <w:t>в о</w:t>
      </w:r>
      <w:r>
        <w:rPr>
          <w:sz w:val="24"/>
          <w:szCs w:val="24"/>
          <w:highlight w:val="lightGray"/>
        </w:rPr>
        <w:t xml:space="preserve">тдельной территории ценовой зоны оптового рынка, ранее относившейся к  неценовой зоне оптового рынка Дальнего Востока: </w:t>
      </w:r>
    </w:p>
    <w:p>
      <w:pPr>
        <w:pStyle w:val="Normal"/>
        <w:ind w:firstLine="709"/>
        <w:jc w:val="both"/>
        <w:rPr>
          <w:sz w:val="24"/>
          <w:szCs w:val="24"/>
          <w:highlight w:val="lightGray"/>
        </w:rPr>
      </w:pPr>
      <w:r>
        <w:rPr>
          <w:sz w:val="24"/>
          <w:szCs w:val="24"/>
          <w:highlight w:val="lightGray"/>
        </w:rPr>
        <w:t xml:space="preserve">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w:t>
      </w:r>
      <w:r>
        <w:rPr>
          <w:bCs/>
          <w:sz w:val="24"/>
          <w:szCs w:val="24"/>
          <w:highlight w:val="lightGray"/>
        </w:rPr>
        <w:t>Покупателем</w:t>
      </w:r>
      <w:r>
        <w:rPr>
          <w:sz w:val="24"/>
          <w:szCs w:val="24"/>
          <w:highlight w:val="lightGray"/>
        </w:rPr>
        <w:t xml:space="preserve"> на основании Методики (Приложение № 6 к Договору);</w:t>
      </w:r>
    </w:p>
    <w:p>
      <w:pPr>
        <w:pStyle w:val="Normal"/>
        <w:ind w:firstLine="709"/>
        <w:jc w:val="both"/>
        <w:rPr>
          <w:sz w:val="24"/>
          <w:szCs w:val="24"/>
          <w:highlight w:val="lightGray"/>
        </w:rPr>
      </w:pPr>
      <w:r>
        <w:rPr>
          <w:sz w:val="24"/>
          <w:szCs w:val="24"/>
          <w:highlight w:val="lightGray"/>
        </w:rPr>
        <w: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t>
      </w:r>
    </w:p>
    <w:p>
      <w:pPr>
        <w:pStyle w:val="Normal"/>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pPr>
        <w:pStyle w:val="Normal"/>
        <w:ind w:firstLine="709"/>
        <w:jc w:val="both"/>
        <w:rPr>
          <w:sz w:val="24"/>
          <w:szCs w:val="24"/>
          <w:highlight w:val="lightGray"/>
        </w:rPr>
      </w:pPr>
      <w:r>
        <w:rPr>
          <w:sz w:val="24"/>
          <w:szCs w:val="24"/>
          <w:highlight w:val="lightGray"/>
        </w:rPr>
        <w:t>и / или</w:t>
      </w:r>
    </w:p>
    <w:p>
      <w:pPr>
        <w:pStyle w:val="Normal"/>
        <w:ind w:firstLine="709"/>
        <w:jc w:val="both"/>
        <w:rPr>
          <w:sz w:val="24"/>
          <w:szCs w:val="24"/>
          <w:highlight w:val="lightGray"/>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«НП Совет рынка».</w:t>
      </w:r>
    </w:p>
    <w:p>
      <w:pPr>
        <w:pStyle w:val="Normal"/>
        <w:ind w:firstLine="709"/>
        <w:jc w:val="both"/>
        <w:rPr>
          <w:sz w:val="24"/>
          <w:szCs w:val="24"/>
          <w:highlight w:val="lightGray"/>
        </w:rPr>
      </w:pPr>
      <w:r>
        <w:rPr>
          <w:sz w:val="24"/>
          <w:szCs w:val="24"/>
          <w:highlight w:val="lightGray"/>
        </w:rPr>
        <w:t xml:space="preserve">В отношении вновь вводимого оборудования ГЭС / ГАЭС – объектов ДПМ, ДПМ ВИЭ в ценовых зонах ОРЭМ Поставщик дополнительно компенсирует </w:t>
      </w:r>
      <w:r>
        <w:rPr>
          <w:bCs/>
          <w:sz w:val="24"/>
          <w:szCs w:val="24"/>
          <w:highlight w:val="lightGray"/>
        </w:rPr>
        <w:t>Покупателю</w:t>
      </w:r>
      <w:r>
        <w:rPr>
          <w:sz w:val="24"/>
          <w:szCs w:val="24"/>
          <w:highlight w:val="lightGray"/>
        </w:rPr>
        <w:t xml:space="preserve">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ind w:firstLine="709"/>
        <w:jc w:val="both"/>
        <w:rPr>
          <w:sz w:val="24"/>
          <w:szCs w:val="24"/>
          <w:highlight w:val="lightGray"/>
        </w:rPr>
      </w:pPr>
      <w:r>
        <w:rPr>
          <w:sz w:val="24"/>
          <w:szCs w:val="24"/>
          <w:highlight w:val="lightGray"/>
        </w:rPr>
        <w:t xml:space="preserve">В отношении вновь вводимого (модернизируемого) оборудования ТЭС в отдельной территории ценовой зоны оптового рынка, ранее относившейся к неценовой зоне </w:t>
      </w:r>
      <w:r>
        <w:rPr>
          <w:bCs/>
          <w:color w:val="000000"/>
          <w:sz w:val="24"/>
          <w:szCs w:val="24"/>
          <w:highlight w:val="lightGray"/>
          <w:shd w:fill="CCCCCC" w:val="clear"/>
        </w:rPr>
        <w:t xml:space="preserve">оптового рынка </w:t>
      </w:r>
      <w:r>
        <w:rPr>
          <w:sz w:val="24"/>
          <w:szCs w:val="24"/>
          <w:highlight w:val="lightGray"/>
        </w:rPr>
        <w:t xml:space="preserve">Дальнего Востока Подрядчик дополнительно компенсирует Заказчику упущенную выгоду (выручку) в связи: </w:t>
      </w:r>
    </w:p>
    <w:p>
      <w:pPr>
        <w:pStyle w:val="ListParagraph"/>
        <w:numPr>
          <w:ilvl w:val="2"/>
          <w:numId w:val="18"/>
        </w:numPr>
        <w:ind w:left="0" w:firstLine="709"/>
        <w:jc w:val="both"/>
        <w:rPr>
          <w:sz w:val="24"/>
          <w:szCs w:val="24"/>
          <w:highlight w:val="lightGray"/>
        </w:rPr>
      </w:pPr>
      <w:r>
        <w:rPr>
          <w:sz w:val="24"/>
          <w:szCs w:val="24"/>
          <w:highlight w:val="lightGray"/>
        </w:rPr>
        <w:t>С неоплатой мощности из-за просрочки исполнения обязательства по поставке мощности от модернизированного объекта.</w:t>
      </w:r>
    </w:p>
    <w:p>
      <w:pPr>
        <w:pStyle w:val="Normal"/>
        <w:ind w:firstLine="709"/>
        <w:jc w:val="both"/>
        <w:rPr>
          <w:sz w:val="24"/>
          <w:szCs w:val="24"/>
          <w:highlight w:val="lightGray"/>
        </w:rPr>
      </w:pPr>
      <w:r>
        <w:rPr>
          <w:sz w:val="24"/>
          <w:szCs w:val="24"/>
          <w:highlight w:val="lightGray"/>
        </w:rPr>
        <w:t xml:space="preserve">Размер упущенной выгоды для каждого месяца просрочки определяется в соответствии с Правилами ОРЭМ. </w:t>
      </w:r>
    </w:p>
    <w:p>
      <w:pPr>
        <w:pStyle w:val="ListParagraph"/>
        <w:numPr>
          <w:ilvl w:val="2"/>
          <w:numId w:val="18"/>
        </w:numPr>
        <w:ind w:left="0" w:firstLine="709"/>
        <w:jc w:val="both"/>
        <w:rPr>
          <w:sz w:val="24"/>
          <w:szCs w:val="24"/>
          <w:highlight w:val="lightGray"/>
        </w:rPr>
      </w:pPr>
      <w:r>
        <w:rPr>
          <w:sz w:val="24"/>
          <w:szCs w:val="24"/>
          <w:highlight w:val="lightGray"/>
        </w:rPr>
        <w:t xml:space="preserve">С уменьшением тарифа на мощность генерирующего объекта в порядке, установленном договором о присоединении к торговой системе оптового рынка, </w:t>
        <w:br/>
        <w:t xml:space="preserve">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w:t>
        <w:br/>
        <w:t>в соответствии с решением Правительства Российской Федерации.</w:t>
      </w:r>
    </w:p>
    <w:p>
      <w:pPr>
        <w:pStyle w:val="Normal"/>
        <w:ind w:firstLine="709"/>
        <w:jc w:val="both"/>
        <w:rPr>
          <w:sz w:val="24"/>
          <w:szCs w:val="24"/>
          <w:highlight w:val="lightGray"/>
        </w:rPr>
      </w:pPr>
      <w:r>
        <w:rPr>
          <w:sz w:val="24"/>
          <w:szCs w:val="24"/>
          <w:highlight w:val="lightGray"/>
        </w:rPr>
        <w:t xml:space="preserve">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w:t>
        <w:br/>
        <w:t>по локализации.</w:t>
      </w:r>
    </w:p>
    <w:p>
      <w:pPr>
        <w:pStyle w:val="ListParagraph"/>
        <w:numPr>
          <w:ilvl w:val="2"/>
          <w:numId w:val="18"/>
        </w:numPr>
        <w:ind w:left="0" w:firstLine="709"/>
        <w:jc w:val="both"/>
        <w:rPr>
          <w:sz w:val="24"/>
          <w:szCs w:val="24"/>
          <w:highlight w:val="lightGray"/>
        </w:rPr>
      </w:pPr>
      <w:r>
        <w:rPr>
          <w:sz w:val="24"/>
          <w:szCs w:val="24"/>
          <w:highlight w:val="lightGray"/>
        </w:rPr>
        <w:t xml:space="preserve"> </w:t>
      </w:r>
      <w:r>
        <w:rPr>
          <w:sz w:val="24"/>
          <w:szCs w:val="24"/>
          <w:highlight w:val="lightGray"/>
        </w:rP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t>
      </w:r>
      <w:r>
        <w:rPr>
          <w:rStyle w:val="FootnoteReference"/>
          <w:sz w:val="24"/>
          <w:szCs w:val="24"/>
          <w:highlight w:val="lightGray"/>
        </w:rPr>
        <w:footnoteReference w:id="13"/>
      </w:r>
      <w:r>
        <w:rPr>
          <w:sz w:val="24"/>
          <w:szCs w:val="24"/>
          <w:highlight w:val="lightGray"/>
        </w:rPr>
        <w:t>.</w:t>
      </w:r>
    </w:p>
    <w:p>
      <w:pPr>
        <w:pStyle w:val="Normal"/>
        <w:ind w:firstLine="709"/>
        <w:jc w:val="both"/>
        <w:rPr>
          <w:sz w:val="24"/>
          <w:szCs w:val="24"/>
          <w:highlight w:val="lightGray"/>
        </w:rPr>
      </w:pPr>
      <w:r>
        <w:rPr>
          <w:sz w:val="24"/>
          <w:szCs w:val="24"/>
          <w:highlight w:val="lightGray"/>
        </w:rPr>
        <w:t>Методика</w:t>
      </w:r>
      <w:r>
        <w:rPr>
          <w:sz w:val="24"/>
          <w:szCs w:val="28"/>
          <w:highlight w:val="lightGray"/>
        </w:rPr>
        <w: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t>
      </w:r>
      <w:r>
        <w:rPr>
          <w:bCs/>
          <w:color w:val="000000"/>
          <w:sz w:val="24"/>
          <w:szCs w:val="24"/>
          <w:highlight w:val="lightGray"/>
          <w:shd w:fill="CCCCCC" w:val="clear"/>
        </w:rPr>
        <w:t xml:space="preserve">оптового рынка </w:t>
      </w:r>
      <w:r>
        <w:rPr>
          <w:sz w:val="24"/>
          <w:szCs w:val="28"/>
          <w:highlight w:val="lightGray"/>
        </w:rPr>
        <w:t>Дальнего Востока изложена в П</w:t>
      </w:r>
      <w:r>
        <w:rPr>
          <w:sz w:val="24"/>
          <w:szCs w:val="24"/>
          <w:highlight w:val="lightGray"/>
        </w:rPr>
        <w:t>риложении № 6 к Договору.</w:t>
      </w:r>
    </w:p>
    <w:p>
      <w:pPr>
        <w:pStyle w:val="ListParagraph"/>
        <w:widowControl/>
        <w:numPr>
          <w:ilvl w:val="1"/>
          <w:numId w:val="18"/>
        </w:numPr>
        <w:shd w:val="clear" w:color="auto" w:fill="FFFFFF"/>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numPr>
          <w:ilvl w:val="1"/>
          <w:numId w:val="18"/>
        </w:numPr>
        <w:ind w:left="0" w:firstLine="709"/>
        <w:jc w:val="both"/>
        <w:rPr>
          <w:rFonts w:eastAsia="Calibri"/>
          <w:bCs/>
          <w:sz w:val="24"/>
          <w:szCs w:val="24"/>
          <w:highlight w:val="lightGray"/>
        </w:rPr>
      </w:pPr>
      <w:r>
        <w:rPr>
          <w:rFonts w:eastAsia="Calibri"/>
          <w:bCs/>
          <w:sz w:val="24"/>
          <w:szCs w:val="24"/>
          <w:highlight w:val="lightGray"/>
        </w:rPr>
        <w: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5 к Договору), Покупатель вправе потребовать уплаты Поставщиком штрафа в размере 15 000 (пятнадцати тысяч) рублей за каждый случай нарушения</w:t>
      </w:r>
      <w:r>
        <w:rPr>
          <w:rStyle w:val="FootnoteReference"/>
          <w:rFonts w:eastAsia="Calibri"/>
          <w:bCs/>
          <w:sz w:val="24"/>
          <w:szCs w:val="24"/>
          <w:highlight w:val="lightGray"/>
        </w:rPr>
        <w:footnoteReference w:id="14"/>
      </w:r>
      <w:r>
        <w:rPr>
          <w:rFonts w:eastAsia="Calibri"/>
          <w:bCs/>
          <w:sz w:val="24"/>
          <w:szCs w:val="24"/>
          <w:highlight w:val="lightGray"/>
        </w:rPr>
        <w:t>.</w:t>
      </w:r>
    </w:p>
    <w:p>
      <w:pPr>
        <w:pStyle w:val="ListParagraph"/>
        <w:widowControl/>
        <w:numPr>
          <w:ilvl w:val="1"/>
          <w:numId w:val="18"/>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8"/>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8"/>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8"/>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18"/>
        </w:numPr>
        <w:shd w:val="clear" w:color="auto" w:fill="FFFFFF"/>
        <w:ind w:left="0" w:firstLine="709"/>
        <w:jc w:val="both"/>
        <w:rPr>
          <w:bCs/>
          <w:sz w:val="24"/>
          <w:szCs w:val="24"/>
        </w:rPr>
      </w:pPr>
      <w:r>
        <w:rPr>
          <w:bCs/>
          <w:sz w:val="24"/>
          <w:szCs w:val="24"/>
        </w:rPr>
        <w:t xml:space="preserve">В случае нарушения Поставщиком срока предоставления документов, установленного пунктом 4.8 Договора (если такое нарушение привело к невыполнению Покупателем требований по локализации оборудования, установленных законодательством Российской Федерации к оборудованию, эксплуатируемому по итогам модернизации (реконструкции) или строительства генерирующих объектов тепловых электростанций </w:t>
        <w:br/>
        <w:t>в неценовых зонах оптового рынка), Покупатель вправе требовать уплаты Поставщиком  штрафа в размере 10 (десяти) процентов от стоимости Товара. Покупатель вправе удержать сумму такого штрафа из любого платежа, причитающегося Поставщику по Договору</w:t>
      </w:r>
      <w:r>
        <w:rPr>
          <w:rStyle w:val="FootnoteReference"/>
          <w:bCs/>
          <w:sz w:val="24"/>
          <w:szCs w:val="24"/>
        </w:rPr>
        <w:footnoteReference w:id="15"/>
      </w:r>
      <w:r>
        <w:rPr>
          <w:bCs/>
          <w:sz w:val="24"/>
          <w:szCs w:val="24"/>
        </w:rPr>
        <w:t>.</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36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9"/>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highlight w:val="lightGray"/>
        </w:rPr>
        <w:t>____________________</w:t>
      </w:r>
      <w:r>
        <w:rPr>
          <w:rStyle w:val="FootnoteReference"/>
          <w:bCs/>
          <w:sz w:val="24"/>
          <w:szCs w:val="24"/>
          <w:highlight w:val="lightGray"/>
          <w:shd w:fill="auto" w:val="clear"/>
        </w:rPr>
        <w:footnoteReference w:id="16"/>
      </w:r>
      <w:r>
        <w:rPr>
          <w:bCs/>
          <w:sz w:val="24"/>
          <w:szCs w:val="24"/>
        </w:rPr>
        <w:t xml:space="preserve">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14.8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br/>
        <w:t>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br/>
        <w:t>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br/>
        <w:t>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Normal"/>
        <w:widowControl/>
        <w:numPr>
          <w:ilvl w:val="1"/>
          <w:numId w:val="2"/>
        </w:numPr>
        <w:tabs>
          <w:tab w:val="clear" w:pos="709"/>
          <w:tab w:val="left" w:pos="142" w:leader="none"/>
          <w:tab w:val="left" w:pos="1418" w:leader="none"/>
        </w:tabs>
        <w:snapToGrid w:val="false"/>
        <w:ind w:left="0" w:firstLine="709"/>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lang w:eastAsia="en-US"/>
        </w:rPr>
        <w:footnoteReference w:id="17"/>
      </w:r>
      <w:r>
        <w:rPr>
          <w:sz w:val="24"/>
          <w:szCs w:val="24"/>
          <w:highlight w:val="lightGray"/>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14.8</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9"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9"/>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pPr>
        <w:pStyle w:val="Normal"/>
        <w:widowControl/>
        <w:numPr>
          <w:ilvl w:val="1"/>
          <w:numId w:val="2"/>
        </w:numPr>
        <w:tabs>
          <w:tab w:val="clear" w:pos="709"/>
          <w:tab w:val="left" w:pos="0" w:leader="none"/>
          <w:tab w:val="left" w:pos="1418" w:leader="none"/>
          <w:tab w:val="left" w:pos="1985"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 w:val="left" w:pos="1985"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8"/>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9"/>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0"/>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br/>
        <w:t>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highlight w:val="lightGray"/>
        </w:rPr>
        <w:t xml:space="preserve">Приложение № 5 </w:t>
      </w:r>
      <w:r>
        <w:rPr>
          <w:rFonts w:eastAsia="Calibri"/>
          <w:sz w:val="24"/>
          <w:szCs w:val="24"/>
          <w:highlight w:val="lightGray"/>
          <w:lang w:eastAsia="en-US"/>
        </w:rPr>
        <w:t>–</w:t>
      </w:r>
      <w:r>
        <w:rPr>
          <w:bCs/>
          <w:sz w:val="24"/>
          <w:szCs w:val="24"/>
          <w:highlight w:val="lightGray"/>
        </w:rPr>
        <w:t xml:space="preserve"> Регламент взаимодействия в ходе исполнения процессов управления проектом</w:t>
      </w:r>
      <w:r>
        <w:rPr>
          <w:bCs/>
          <w:sz w:val="24"/>
          <w:szCs w:val="24"/>
        </w:rPr>
        <w:t>.</w:t>
      </w:r>
    </w:p>
    <w:p>
      <w:pPr>
        <w:pStyle w:val="Normal"/>
        <w:ind w:firstLine="709"/>
        <w:jc w:val="both"/>
        <w:rPr>
          <w:bCs/>
          <w:sz w:val="24"/>
          <w:szCs w:val="24"/>
          <w:highlight w:val="lightGray"/>
        </w:rPr>
      </w:pPr>
      <w:r>
        <w:rPr>
          <w:bCs/>
          <w:sz w:val="24"/>
          <w:szCs w:val="24"/>
          <w:highlight w:val="lightGray"/>
        </w:rPr>
        <w:t xml:space="preserve">Приложение № 6 – Методика расчета упущенной выгоды (выручки) </w:t>
        <w:br/>
        <w:t xml:space="preserve">и дополнительных обязательств участника ОРЭМ от недопоставки электрической энергии </w:t>
        <w:br/>
        <w:t>и мощности на ОРЭМ в неценовой зоне Дальнего Востока.</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81"/>
        <w:gridCol w:w="147"/>
        <w:gridCol w:w="4639"/>
        <w:gridCol w:w="323"/>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shd w:color="auto" w:fill="BFBFBF"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spacing w:lineRule="auto" w:line="240"/>
              <w:ind w:hanging="0"/>
              <w:jc w:val="left"/>
              <w:rPr>
                <w:sz w:val="24"/>
                <w:szCs w:val="24"/>
              </w:rPr>
            </w:pPr>
            <w:r>
              <w:rPr>
                <w:sz w:val="24"/>
                <w:szCs w:val="24"/>
              </w:rPr>
              <w:t>Юридический/Почтовый адрес: 660017, Красноярский край, г.о. город Красноярск,</w:t>
            </w:r>
          </w:p>
          <w:p>
            <w:pPr>
              <w:pStyle w:val="Normal"/>
              <w:widowControl w:val="false"/>
              <w:spacing w:lineRule="auto" w:line="240"/>
              <w:ind w:hanging="0"/>
              <w:jc w:val="left"/>
              <w:rPr>
                <w:sz w:val="24"/>
                <w:szCs w:val="24"/>
              </w:rPr>
            </w:pPr>
            <w:r>
              <w:rPr>
                <w:sz w:val="24"/>
                <w:szCs w:val="24"/>
              </w:rPr>
              <w:t xml:space="preserve">г. Красноярск, ул. Перенсона, д.2, пом.1, </w:t>
            </w:r>
          </w:p>
          <w:p>
            <w:pPr>
              <w:pStyle w:val="Normal"/>
              <w:widowControl w:val="false"/>
              <w:rPr>
                <w:sz w:val="24"/>
                <w:szCs w:val="24"/>
              </w:rPr>
            </w:pPr>
            <w:r>
              <w:rPr>
                <w:sz w:val="24"/>
                <w:szCs w:val="24"/>
              </w:rPr>
              <w:t>д. 43, стр. 1</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c>
          <w:tcPr>
            <w:tcW w:w="4962" w:type="dxa"/>
            <w:gridSpan w:val="2"/>
            <w:tcBorders/>
            <w:shd w:color="auto" w:fill="BFBFBF"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81" w:type="dxa"/>
            <w:tcBorders/>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323"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560" w:right="851" w:gutter="0" w:header="709" w:top="1134" w:footer="709" w:bottom="1135"/>
          <w:pgNumType w:fmt="decimal"/>
          <w:formProt w:val="false"/>
          <w:titlePg/>
          <w:textDirection w:val="lrTb"/>
          <w:docGrid w:type="default" w:linePitch="360" w:charSpace="8192"/>
        </w:sectPr>
      </w:pPr>
    </w:p>
    <w:p>
      <w:pPr>
        <w:pStyle w:val="Normal"/>
        <w:suppressAutoHyphens w:val="true"/>
        <w:ind w:left="5103" w:right="96" w:hanging="0"/>
        <w:rPr>
          <w:sz w:val="22"/>
          <w:szCs w:val="22"/>
        </w:rPr>
      </w:pPr>
      <w:r>
        <w:rPr>
          <w:sz w:val="22"/>
          <w:szCs w:val="22"/>
        </w:rPr>
        <w:t>Приложение № 1</w:t>
      </w:r>
    </w:p>
    <w:p>
      <w:pPr>
        <w:pStyle w:val="Normal"/>
        <w:suppressAutoHyphens w:val="true"/>
        <w:ind w:left="5103" w:right="96" w:hanging="0"/>
        <w:rPr>
          <w:sz w:val="22"/>
          <w:szCs w:val="22"/>
        </w:rPr>
      </w:pPr>
      <w:r>
        <w:rPr>
          <w:sz w:val="22"/>
          <w:szCs w:val="22"/>
        </w:rPr>
        <w:t>к Договору поставки</w:t>
      </w:r>
    </w:p>
    <w:p>
      <w:pPr>
        <w:pStyle w:val="Normal"/>
        <w:suppressAutoHyphens w:val="true"/>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noVBand="1" w:val="04a0" w:noHBand="0" w:lastColumn="0" w:firstColumn="1" w:lastRow="0" w:firstRow="1"/>
      </w:tblPr>
      <w:tblGrid>
        <w:gridCol w:w="398"/>
        <w:gridCol w:w="632"/>
        <w:gridCol w:w="636"/>
        <w:gridCol w:w="638"/>
        <w:gridCol w:w="799"/>
        <w:gridCol w:w="766"/>
        <w:gridCol w:w="644"/>
        <w:gridCol w:w="762"/>
        <w:gridCol w:w="720"/>
        <w:gridCol w:w="381"/>
        <w:gridCol w:w="152"/>
        <w:gridCol w:w="670"/>
        <w:gridCol w:w="578"/>
        <w:gridCol w:w="533"/>
        <w:gridCol w:w="745"/>
        <w:gridCol w:w="583"/>
      </w:tblGrid>
      <w:tr>
        <w:trPr>
          <w:trHeight w:val="526" w:hRule="atLeast"/>
        </w:trPr>
        <w:tc>
          <w:tcPr>
            <w:tcW w:w="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20"/>
            </w:r>
          </w:p>
        </w:tc>
        <w:tc>
          <w:tcPr>
            <w:tcW w:w="7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21"/>
            </w:r>
          </w:p>
          <w:p>
            <w:pPr>
              <w:pStyle w:val="Normal"/>
              <w:widowControl w:val="false"/>
              <w:jc w:val="center"/>
              <w:rPr>
                <w:bCs/>
              </w:rPr>
            </w:pPr>
            <w:r>
              <w:rPr>
                <w:bCs/>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637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lightGray"/>
              </w:rPr>
              <w:t>Итого стоимость всего Товара (с учетом доставки), руб. с НДС*:</w:t>
            </w:r>
          </w:p>
        </w:tc>
        <w:tc>
          <w:tcPr>
            <w:tcW w:w="3261"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bl>
    <w:p>
      <w:pPr>
        <w:pStyle w:val="Normal"/>
        <w:widowControl w:val="false"/>
        <w:bidi w:val="0"/>
        <w:spacing w:lineRule="auto" w:line="240" w:before="0" w:after="0"/>
        <w:ind w:left="-737" w:right="680" w:hanging="0"/>
        <w:jc w:val="both"/>
        <w:rPr>
          <w:i/>
          <w:i/>
          <w:iCs/>
          <w:sz w:val="20"/>
          <w:szCs w:val="20"/>
          <w:highlight w:val="none"/>
          <w:shd w:fill="auto" w:val="clear"/>
        </w:rPr>
      </w:pPr>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bidi w:val="0"/>
        <w:spacing w:lineRule="auto" w:line="240" w:before="0" w:after="0"/>
        <w:ind w:left="-737" w:right="680" w:hanging="0"/>
        <w:jc w:val="both"/>
        <w:rPr>
          <w:i/>
          <w:i/>
          <w:iCs/>
          <w:sz w:val="20"/>
          <w:szCs w:val="20"/>
          <w:highlight w:val="none"/>
          <w:shd w:fill="auto" w:val="clear"/>
        </w:rPr>
      </w:pPr>
      <w:r>
        <w:rPr>
          <w:i/>
          <w:iCs/>
          <w:sz w:val="20"/>
          <w:szCs w:val="20"/>
          <w:shd w:fill="auto" w:val="clear"/>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jc w:val="both"/>
        <w:rPr>
          <w:i/>
          <w:i/>
          <w:sz w:val="22"/>
          <w:szCs w:val="22"/>
        </w:rPr>
      </w:pPr>
      <w:r>
        <w:rPr>
          <w:i/>
          <w:sz w:val="22"/>
          <w:szCs w:val="22"/>
          <w:highlight w:val="lightGray"/>
        </w:rPr>
        <w:t>2. По требованию Покупателя Поставщик обязан представить запрашиваемую информацию / 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rPr>
          <w:sz w:val="22"/>
          <w:szCs w:val="22"/>
        </w:rPr>
      </w:pPr>
      <w:r>
        <w:rPr>
          <w:sz w:val="22"/>
          <w:szCs w:val="22"/>
        </w:rPr>
      </w:r>
      <w:r>
        <w:br w:type="page"/>
      </w:r>
    </w:p>
    <w:p>
      <w:pPr>
        <w:pStyle w:val="Normal"/>
        <w:suppressAutoHyphens w:val="true"/>
        <w:ind w:right="96" w:firstLine="5103"/>
        <w:rPr>
          <w:sz w:val="22"/>
          <w:szCs w:val="22"/>
        </w:rPr>
      </w:pPr>
      <w:r>
        <w:rPr>
          <w:sz w:val="22"/>
          <w:szCs w:val="22"/>
        </w:rPr>
        <w:t>Приложение № 2</w:t>
      </w:r>
    </w:p>
    <w:p>
      <w:pPr>
        <w:pStyle w:val="Normal"/>
        <w:suppressAutoHyphens w:val="true"/>
        <w:ind w:right="96" w:firstLine="5103"/>
        <w:rPr>
          <w:sz w:val="22"/>
          <w:szCs w:val="22"/>
        </w:rPr>
      </w:pPr>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3</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22"/>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lang w:val="en-GB"/>
        </w:rPr>
        <w:footnoteReference w:id="23"/>
      </w:r>
      <w:r>
        <w:rPr>
          <w:sz w:val="24"/>
          <w:szCs w:val="24"/>
        </w:rPr>
        <w:t>, а также соответствовать следующим критериям:</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5"/>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br/>
        <w:t>213-ФЗ).</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t>
      </w:r>
      <w:r>
        <w:rPr>
          <w:rFonts w:eastAsia="Times New Roman" w:cs="Times New Roman"/>
          <w:color w:val="auto"/>
          <w:kern w:val="0"/>
          <w:sz w:val="24"/>
          <w:szCs w:val="24"/>
          <w:lang w:val="ru-RU" w:eastAsia="ru-RU" w:bidi="ar-SA"/>
        </w:rPr>
        <w: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t>
      </w:r>
      <w:r>
        <w:rPr>
          <w:sz w:val="24"/>
          <w:szCs w:val="24"/>
        </w:rPr>
        <w:t>, опубликованной в информационно-телекоммуникационной сети «Интернет» (</w:t>
      </w:r>
      <w:hyperlink r:id="rId8">
        <w:r>
          <w:rPr>
            <w:rStyle w:val="Hyperlink"/>
            <w:rFonts w:eastAsia="Times New Roman" w:cs="Times New Roman"/>
            <w:color w:val="auto"/>
            <w:sz w:val="24"/>
            <w:szCs w:val="24"/>
            <w:lang w:val="ru-RU" w:eastAsia="ru-RU" w:bidi="ar-SA"/>
          </w:rPr>
          <w:t>www.cbr.ru</w:t>
        </w:r>
      </w:hyperlink>
      <w:r>
        <w:rPr>
          <w:sz w:val="24"/>
          <w:szCs w:val="24"/>
        </w:rPr>
        <w:t xml:space="preserve">) на официальных сайтах ЦБ РФ и/ или кредитной организации либо представленной кредитной </w:t>
      </w:r>
      <w:r>
        <w:rPr>
          <w:rFonts w:eastAsia="Times New Roman" w:cs="Times New Roman"/>
          <w:color w:val="auto"/>
          <w:kern w:val="0"/>
          <w:sz w:val="24"/>
          <w:szCs w:val="24"/>
          <w:lang w:val="ru-RU" w:eastAsia="ru-RU" w:bidi="ar-SA"/>
        </w:rPr>
        <w:t>организации</w:t>
      </w:r>
      <w:r>
        <w:rPr>
          <w:sz w:val="24"/>
          <w:szCs w:val="24"/>
        </w:rPr>
        <w:t xml:space="preserve"> Заказчику. </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vertAlign w:val="superscript"/>
          <w:lang w:val="en-GB"/>
        </w:rPr>
        <w:footnoteReference w:id="24"/>
      </w:r>
      <w:r>
        <w:rPr>
          <w:sz w:val="24"/>
          <w:szCs w:val="24"/>
        </w:rPr>
        <w:t xml:space="preserve">. </w:t>
      </w:r>
    </w:p>
    <w:p>
      <w:pPr>
        <w:pStyle w:val="Normal"/>
        <w:widowControl/>
        <w:numPr>
          <w:ilvl w:val="1"/>
          <w:numId w:val="15"/>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vertAlign w:val="superscript"/>
          <w:lang w:val="en-GB"/>
        </w:rPr>
        <w:footnoteReference w:id="25"/>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5"/>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vertAlign w:val="superscript"/>
          <w:lang w:val="en-GB"/>
        </w:rPr>
        <w:footnoteReference w:id="26"/>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6"/>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numPr>
          <w:ilvl w:val="1"/>
          <w:numId w:val="16"/>
        </w:numPr>
        <w:tabs>
          <w:tab w:val="clear" w:pos="709"/>
          <w:tab w:val="left" w:pos="1134" w:leader="none"/>
        </w:tabs>
        <w:spacing w:lineRule="auto" w:line="240"/>
        <w:ind w:left="0" w:firstLine="709"/>
        <w:rPr>
          <w:sz w:val="24"/>
          <w:szCs w:val="24"/>
        </w:rPr>
      </w:pPr>
      <w:r>
        <w:rPr>
          <w:sz w:val="24"/>
          <w:szCs w:val="24"/>
          <w:lang w:val="en-GB"/>
        </w:rPr>
        <w:t>Нерезидентов Российской Федерации.</w:t>
      </w:r>
    </w:p>
    <w:p>
      <w:pPr>
        <w:pStyle w:val="Normal"/>
        <w:widowControl/>
        <w:numPr>
          <w:ilvl w:val="1"/>
          <w:numId w:val="15"/>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sz w:val="24"/>
          <w:szCs w:val="24"/>
          <w:lang w:val="en-GB"/>
        </w:rPr>
      </w:r>
    </w:p>
    <w:tbl>
      <w:tblPr>
        <w:tblW w:w="9606"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left="0"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Лимит риска для i-ой кредитной организации</w:t>
            </w:r>
            <w:r>
              <w:rPr>
                <w:rStyle w:val="FootnoteReference"/>
                <w:rFonts w:eastAsia="Times New Roman" w:cs="Times New Roman"/>
                <w:sz w:val="24"/>
                <w:szCs w:val="24"/>
                <w:lang w:eastAsia="ru-RU"/>
              </w:rPr>
              <w:footnoteReference w:id="27"/>
            </w:r>
            <w:r>
              <w:rPr>
                <w:rFonts w:eastAsia="Times New Roman" w:cs="Times New Roman"/>
                <w:sz w:val="24"/>
                <w:szCs w:val="24"/>
                <w:lang w:eastAsia="ru-RU"/>
              </w:rPr>
              <w:t>.</w:t>
            </w:r>
          </w:p>
        </w:tc>
      </w:tr>
      <w:tr>
        <w:trPr>
          <w:trHeight w:val="280" w:hRule="atLeast"/>
        </w:trPr>
        <w:tc>
          <w:tcPr>
            <w:tcW w:w="817" w:type="dxa"/>
            <w:tcBorders/>
            <w:shd w:color="auto" w:fill="auto" w:val="clear"/>
          </w:tcPr>
          <w:p>
            <w:pPr>
              <w:pStyle w:val="Normal"/>
              <w:widowControl w:val="false"/>
              <w:spacing w:lineRule="auto" w:line="240"/>
              <w:ind w:left="0"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left="0"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left="0"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rFonts w:eastAsia="Times New Roman" w:cs="Times New Roman"/>
                <w:sz w:val="24"/>
                <w:szCs w:val="24"/>
                <w:lang w:eastAsia="ru-RU"/>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9">
              <w:r>
                <w:rPr>
                  <w:rStyle w:val="Hyperlink"/>
                  <w:rFonts w:eastAsia="Times New Roman" w:cs="Times New Roman"/>
                  <w:sz w:val="24"/>
                  <w:szCs w:val="24"/>
                  <w:lang w:eastAsia="ru-RU"/>
                </w:rPr>
                <w:t>www.cbr.ru</w:t>
              </w:r>
            </w:hyperlink>
            <w:r>
              <w:rPr>
                <w:rFonts w:eastAsia="Times New Roman" w:cs="Times New Roman"/>
                <w:sz w:val="24"/>
                <w:szCs w:val="24"/>
                <w:lang w:eastAsia="ru-RU"/>
              </w:rPr>
              <w:t>) на официальных сайтах ЦБ РФ и / или кредитной организации либо представленной кредитной организацией Обществу;</w:t>
            </w:r>
          </w:p>
        </w:tc>
      </w:tr>
      <w:tr>
        <w:trPr>
          <w:trHeight w:val="3894" w:hRule="atLeast"/>
        </w:trPr>
        <w:tc>
          <w:tcPr>
            <w:tcW w:w="817" w:type="dxa"/>
            <w:tcBorders/>
          </w:tcPr>
          <w:p>
            <w:pPr>
              <w:pStyle w:val="Normal"/>
              <w:widowControl w:val="false"/>
              <w:spacing w:lineRule="auto" w:line="240"/>
              <w:ind w:left="0"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left="0"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suppressAutoHyphens w:val="true"/>
              <w:overflowPunct w:val="false"/>
              <w:bidi w:val="0"/>
              <w:spacing w:lineRule="auto" w:line="240" w:before="0" w:after="0"/>
              <w:ind w:left="680" w:right="0" w:hanging="0"/>
              <w:jc w:val="both"/>
              <w:rPr/>
            </w:pPr>
            <w:r>
              <w:rPr>
                <w:rFonts w:eastAsia="Times New Roman" w:cs="Times New Roman"/>
                <w:sz w:val="24"/>
                <w:szCs w:val="24"/>
                <w:lang w:eastAsia="ru-RU"/>
              </w:rPr>
              <w:t>рейтинговый коэффициент</w:t>
            </w:r>
            <w:r>
              <w:rPr>
                <w:rStyle w:val="FootnoteReference"/>
                <w:rFonts w:eastAsia="Times New Roman" w:cs="Times New Roman"/>
                <w:sz w:val="24"/>
                <w:szCs w:val="24"/>
                <w:lang w:eastAsia="ru-RU"/>
              </w:rPr>
              <w:footnoteReference w:id="28"/>
            </w:r>
            <w:r>
              <w:rPr>
                <w:rFonts w:eastAsia="Times New Roman" w:cs="Times New Roman"/>
                <w:sz w:val="24"/>
                <w:szCs w:val="24"/>
                <w:lang w:eastAsia="ru-RU"/>
              </w:rPr>
              <w:t xml:space="preserve"> для i-ой кредитной организации, равный:</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0,075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«АА-»</w:t>
            </w:r>
            <w:r>
              <w:rPr>
                <w:rFonts w:eastAsia="Times New Roman" w:cs="Times New Roman"/>
                <w:sz w:val="24"/>
                <w:szCs w:val="24"/>
                <w:lang w:eastAsia="ru-RU"/>
              </w:rPr>
              <w:t xml:space="preserve">по классификации рейтингового агентства АКРА или не ниже уровня </w:t>
            </w:r>
            <w:r>
              <w:rPr>
                <w:rFonts w:eastAsia="Times New Roman" w:cs="Times New Roman"/>
                <w:b/>
                <w:sz w:val="24"/>
                <w:szCs w:val="24"/>
                <w:lang w:eastAsia="ru-RU"/>
              </w:rPr>
              <w:t>«</w:t>
            </w:r>
            <w:r>
              <w:rPr>
                <w:rFonts w:eastAsia="Times New Roman" w:cs="Times New Roman"/>
                <w:b/>
                <w:sz w:val="24"/>
                <w:szCs w:val="24"/>
                <w:lang w:val="en-US" w:eastAsia="ru-RU"/>
              </w:rPr>
              <w:t>ru</w:t>
            </w:r>
            <w:r>
              <w:rPr>
                <w:rFonts w:eastAsia="Times New Roman" w:cs="Times New Roman"/>
                <w:b/>
                <w:sz w:val="24"/>
                <w:szCs w:val="24"/>
                <w:lang w:eastAsia="ru-RU"/>
              </w:rPr>
              <w:t>А</w:t>
            </w:r>
            <w:r>
              <w:rPr>
                <w:rFonts w:eastAsia="Times New Roman" w:cs="Times New Roman"/>
                <w:b/>
                <w:sz w:val="24"/>
                <w:szCs w:val="24"/>
                <w:lang w:val="en-US" w:eastAsia="ru-RU"/>
              </w:rPr>
              <w:t>A</w:t>
            </w:r>
            <w:r>
              <w:rPr>
                <w:rFonts w:eastAsia="Times New Roman" w:cs="Times New Roman"/>
                <w:b/>
                <w:sz w:val="24"/>
                <w:szCs w:val="24"/>
                <w:lang w:eastAsia="ru-RU"/>
              </w:rPr>
              <w:t>-»</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left" w:pos="709" w:leader="none"/>
                <w:tab w:val="left" w:pos="851" w:leader="none"/>
              </w:tabs>
              <w:spacing w:lineRule="auto" w:line="240" w:before="0" w:after="0"/>
              <w:ind w:left="0" w:right="-108" w:firstLine="709"/>
              <w:jc w:val="both"/>
              <w:rPr>
                <w:sz w:val="24"/>
                <w:szCs w:val="24"/>
              </w:rPr>
            </w:pPr>
            <w:r>
              <w:rPr>
                <w:rFonts w:eastAsia="Times New Roman" w:cs="Times New Roman"/>
                <w:b/>
                <w:sz w:val="24"/>
                <w:szCs w:val="24"/>
                <w:lang w:eastAsia="ru-RU"/>
              </w:rPr>
              <w:t>0,05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b/>
                <w:sz w:val="24"/>
                <w:szCs w:val="24"/>
                <w:lang w:eastAsia="ru-RU"/>
              </w:rPr>
              <w:t>«ruA-»</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clear" w:pos="709"/>
                <w:tab w:val="left" w:pos="7130" w:leader="none"/>
              </w:tabs>
              <w:spacing w:lineRule="auto" w:line="240"/>
              <w:ind w:left="0" w:right="-108" w:firstLine="567"/>
              <w:rPr>
                <w:sz w:val="24"/>
                <w:szCs w:val="24"/>
              </w:rPr>
            </w:pPr>
            <w:r>
              <w:rPr>
                <w:rFonts w:eastAsia="Times New Roman" w:cs="Times New Roman"/>
                <w:b/>
                <w:sz w:val="24"/>
                <w:szCs w:val="24"/>
                <w:lang w:eastAsia="ru-RU"/>
              </w:rPr>
              <w:t>0,025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w:t>
            </w:r>
            <w:r>
              <w:rPr>
                <w:rFonts w:eastAsia="Times New Roman" w:cs="Times New Roman"/>
                <w:b/>
                <w:sz w:val="24"/>
                <w:szCs w:val="24"/>
                <w:lang w:val="en-US" w:eastAsia="ru-RU"/>
              </w:rPr>
              <w:t>BB</w:t>
            </w:r>
            <w:r>
              <w:rPr>
                <w:rFonts w:eastAsia="Times New Roman" w:cs="Times New Roman"/>
                <w:b/>
                <w:sz w:val="24"/>
                <w:szCs w:val="24"/>
                <w:lang w:eastAsia="ru-RU"/>
              </w:rPr>
              <w:t>В»</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sz w:val="24"/>
                <w:szCs w:val="24"/>
                <w:lang w:val="en-US" w:eastAsia="ru-RU"/>
              </w:rPr>
              <w:t>ruBB</w:t>
            </w:r>
            <w:r>
              <w:rPr>
                <w:rFonts w:eastAsia="Times New Roman" w:cs="Times New Roman"/>
                <w:sz w:val="24"/>
                <w:szCs w:val="24"/>
                <w:lang w:eastAsia="ru-RU"/>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4</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noVBand="0" w:val="01e0" w:noHBand="0" w:lastColumn="1" w:firstColumn="1" w:lastRow="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snapToGrid w:val="false"/>
        <w:ind w:firstLine="5103"/>
        <w:rPr>
          <w:sz w:val="22"/>
          <w:szCs w:val="22"/>
          <w:highlight w:val="lightGray"/>
        </w:rPr>
      </w:pPr>
      <w:r>
        <w:rPr>
          <w:sz w:val="22"/>
          <w:szCs w:val="22"/>
          <w:highlight w:val="lightGray"/>
        </w:rPr>
        <w:t>Приложение № 5</w:t>
      </w:r>
    </w:p>
    <w:p>
      <w:pPr>
        <w:pStyle w:val="Normal"/>
        <w:snapToGrid w:val="false"/>
        <w:ind w:firstLine="5103"/>
        <w:rPr>
          <w:sz w:val="22"/>
          <w:szCs w:val="22"/>
          <w:highlight w:val="lightGray"/>
        </w:rPr>
      </w:pPr>
      <w:r>
        <w:rPr>
          <w:sz w:val="22"/>
          <w:szCs w:val="22"/>
          <w:highlight w:val="lightGray"/>
        </w:rPr>
        <w:t>к Договору поставки</w:t>
      </w:r>
    </w:p>
    <w:p>
      <w:pPr>
        <w:pStyle w:val="Normal"/>
        <w:snapToGrid w:val="false"/>
        <w:ind w:firstLine="5103"/>
        <w:rPr>
          <w:sz w:val="22"/>
          <w:szCs w:val="22"/>
        </w:rPr>
      </w:pPr>
      <w:r>
        <w:rPr>
          <w:sz w:val="22"/>
          <w:szCs w:val="22"/>
          <w:highlight w:val="lightGray"/>
        </w:rPr>
        <w:t>от «____» __________ 20 _ г. № ____</w:t>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center"/>
        <w:rPr>
          <w:bCs/>
          <w:sz w:val="28"/>
          <w:szCs w:val="28"/>
        </w:rPr>
      </w:pPr>
      <w:r>
        <w:rPr>
          <w:bCs/>
          <w:sz w:val="28"/>
          <w:szCs w:val="28"/>
        </w:rPr>
        <w:t>Регламент взаимодействия в ходе исполнения процессов управления проектом</w:t>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ListParagraph"/>
        <w:shd w:val="clear" w:color="auto" w:fill="FFFFFF"/>
        <w:ind w:left="0" w:hanging="0"/>
        <w:jc w:val="center"/>
        <w:rPr>
          <w:bCs/>
        </w:rPr>
      </w:pPr>
      <w:r>
        <w:rPr>
          <w:bCs/>
        </w:rPr>
      </w:r>
    </w:p>
    <w:p>
      <w:pPr>
        <w:pStyle w:val="ListParagraph"/>
        <w:shd w:val="clear" w:color="auto" w:fill="FFFFFF"/>
        <w:ind w:left="0" w:hanging="0"/>
        <w:jc w:val="both"/>
        <w:rPr>
          <w:bCs/>
        </w:rPr>
      </w:pPr>
      <w:r>
        <w:rPr>
          <w:bCs/>
        </w:rPr>
      </w:r>
    </w:p>
    <w:p>
      <w:pPr>
        <w:pStyle w:val="Normal"/>
        <w:ind w:left="5103" w:hanging="0"/>
        <w:jc w:val="center"/>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widowControl/>
        <w:tabs>
          <w:tab w:val="clear" w:pos="709"/>
          <w:tab w:val="left" w:pos="5387" w:leader="none"/>
        </w:tabs>
        <w:ind w:left="5812" w:hanging="0"/>
        <w:rPr>
          <w:sz w:val="22"/>
          <w:szCs w:val="22"/>
        </w:rPr>
      </w:pPr>
      <w:r>
        <w:rPr>
          <w:sz w:val="22"/>
          <w:szCs w:val="22"/>
        </w:rPr>
        <w:t>Приложение № 6</w:t>
      </w:r>
    </w:p>
    <w:p>
      <w:pPr>
        <w:pStyle w:val="Normal"/>
        <w:widowControl/>
        <w:tabs>
          <w:tab w:val="clear" w:pos="709"/>
          <w:tab w:val="left" w:pos="5387" w:leader="none"/>
        </w:tabs>
        <w:ind w:left="5812" w:hanging="0"/>
        <w:rPr>
          <w:sz w:val="22"/>
          <w:szCs w:val="22"/>
        </w:rPr>
      </w:pPr>
      <w:r>
        <w:rPr>
          <w:sz w:val="22"/>
          <w:szCs w:val="22"/>
        </w:rPr>
        <w:t>к Договору поставки</w:t>
      </w:r>
    </w:p>
    <w:p>
      <w:pPr>
        <w:pStyle w:val="Normal"/>
        <w:widowControl/>
        <w:tabs>
          <w:tab w:val="clear" w:pos="709"/>
          <w:tab w:val="left" w:pos="5387" w:leader="none"/>
        </w:tabs>
        <w:ind w:left="5812" w:hanging="0"/>
        <w:rPr>
          <w:sz w:val="24"/>
          <w:szCs w:val="24"/>
        </w:rPr>
      </w:pPr>
      <w:r>
        <w:rPr>
          <w:sz w:val="22"/>
          <w:szCs w:val="22"/>
        </w:rPr>
        <w:t>от «____» ________ 20 _ г. №_______</w:t>
      </w:r>
    </w:p>
    <w:p>
      <w:pPr>
        <w:pStyle w:val="Normal"/>
        <w:widowControl/>
        <w:ind w:firstLine="709"/>
        <w:jc w:val="center"/>
        <w:rPr>
          <w:szCs w:val="24"/>
        </w:rPr>
      </w:pPr>
      <w:r>
        <w:rPr>
          <w:szCs w:val="24"/>
        </w:rPr>
      </w:r>
    </w:p>
    <w:p>
      <w:pPr>
        <w:pStyle w:val="Normal"/>
        <w:spacing w:lineRule="auto" w:line="240" w:before="20" w:after="20"/>
        <w:ind w:firstLine="709"/>
        <w:jc w:val="center"/>
        <w:rPr>
          <w:b/>
          <w:sz w:val="24"/>
          <w:szCs w:val="24"/>
        </w:rPr>
      </w:pPr>
      <w:bookmarkStart w:id="11" w:name="_Toc122678954_Копия_5"/>
      <w:r>
        <w:rPr>
          <w:b/>
          <w:sz w:val="24"/>
          <w:szCs w:val="24"/>
        </w:rPr>
        <w:t>Методика расчета упущенной выгоды (выручки)</w:t>
      </w:r>
      <w:bookmarkEnd w:id="11"/>
      <w:r>
        <w:rPr>
          <w:b/>
          <w:sz w:val="24"/>
          <w:szCs w:val="24"/>
        </w:rPr>
        <w:t xml:space="preserve"> </w:t>
      </w:r>
    </w:p>
    <w:p>
      <w:pPr>
        <w:pStyle w:val="Normal"/>
        <w:widowControl/>
        <w:spacing w:before="20" w:after="20"/>
        <w:ind w:firstLine="709"/>
        <w:jc w:val="center"/>
        <w:rPr>
          <w:sz w:val="24"/>
          <w:szCs w:val="24"/>
        </w:rPr>
      </w:pPr>
      <w:r>
        <w:rPr>
          <w:b/>
          <w:sz w:val="24"/>
          <w:szCs w:val="24"/>
        </w:rPr>
        <w:t>и дополнительных обязательств участника ОРЭМ от недопоставки электрической энергии и мощности на ОРЭМ в</w:t>
      </w:r>
      <w:r>
        <w:rPr>
          <w:rFonts w:eastAsia="Times New Roman" w:cs="Times New Roman"/>
          <w:b/>
          <w:color w:val="auto"/>
          <w:kern w:val="0"/>
          <w:sz w:val="24"/>
          <w:szCs w:val="24"/>
          <w:lang w:val="ru-RU" w:eastAsia="ru-RU" w:bidi="ar-SA"/>
        </w:rPr>
        <w:t xml:space="preserve"> отдельной территории ценовой зоны оптового рынка, ранее относившейся к</w:t>
      </w:r>
      <w:r>
        <w:rPr>
          <w:b/>
          <w:sz w:val="24"/>
          <w:szCs w:val="24"/>
        </w:rPr>
        <w:t> неценовой зоне отпового рынка Дальнего Востока</w:t>
      </w:r>
    </w:p>
    <w:p>
      <w:pPr>
        <w:pStyle w:val="Normal"/>
        <w:widowControl/>
        <w:spacing w:before="20" w:after="20"/>
        <w:ind w:firstLine="709"/>
        <w:jc w:val="center"/>
        <w:rPr>
          <w:sz w:val="24"/>
          <w:szCs w:val="24"/>
        </w:rPr>
      </w:pPr>
      <w:r>
        <w:rPr>
          <w:sz w:val="24"/>
          <w:szCs w:val="24"/>
        </w:rPr>
      </w:r>
    </w:p>
    <w:p>
      <w:pPr>
        <w:pStyle w:val="Normal"/>
        <w:widowControl/>
        <w:ind w:firstLine="709"/>
        <w:jc w:val="both"/>
        <w:rPr>
          <w:sz w:val="24"/>
          <w:szCs w:val="24"/>
        </w:rPr>
      </w:pPr>
      <w:r>
        <w:rPr>
          <w:sz w:val="24"/>
          <w:szCs w:val="24"/>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ListParagraph"/>
        <w:widowControl/>
        <w:numPr>
          <w:ilvl w:val="0"/>
          <w:numId w:val="19"/>
        </w:numPr>
        <w:tabs>
          <w:tab w:val="clear" w:pos="709"/>
          <w:tab w:val="left" w:pos="1276" w:leader="none"/>
          <w:tab w:val="left" w:pos="1418" w:leader="none"/>
        </w:tabs>
        <w:ind w:left="0" w:firstLine="709"/>
        <w:jc w:val="both"/>
        <w:rPr>
          <w:sz w:val="24"/>
          <w:szCs w:val="24"/>
        </w:rPr>
      </w:pPr>
      <w:r>
        <w:rPr>
          <w:sz w:val="24"/>
          <w:szCs w:val="24"/>
        </w:rPr>
        <w:t xml:space="preserve">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w:t>
        <w:br/>
        <w:t xml:space="preserve">в соответствии с п. 4 «Положения о порядке оформления, подачи, рассмотрения </w:t>
        <w:br/>
        <w:t>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widowControl/>
        <w:spacing w:before="20" w:after="20"/>
        <w:ind w:firstLine="709"/>
        <w:jc w:val="both"/>
        <w:rPr>
          <w:sz w:val="24"/>
          <w:szCs w:val="24"/>
        </w:rPr>
      </w:pPr>
      <w:r>
        <w:rPr>
          <w:sz w:val="24"/>
          <w:szCs w:val="24"/>
        </w:rPr>
        <w:t xml:space="preserve">В заявках должны быть указаны: </w:t>
      </w:r>
    </w:p>
    <w:p>
      <w:pPr>
        <w:pStyle w:val="Normal"/>
        <w:widowControl/>
        <w:numPr>
          <w:ilvl w:val="0"/>
          <w:numId w:val="17"/>
        </w:numPr>
        <w:ind w:left="0" w:firstLine="709"/>
        <w:jc w:val="both"/>
        <w:rPr>
          <w:bCs/>
          <w:sz w:val="24"/>
          <w:szCs w:val="24"/>
          <w:lang w:val="en-GB"/>
        </w:rPr>
      </w:pPr>
      <w:r>
        <w:rPr>
          <w:bCs/>
          <w:sz w:val="24"/>
          <w:szCs w:val="24"/>
          <w:lang w:val="en-GB"/>
        </w:rPr>
        <w:t>номер заявки;</w:t>
      </w:r>
    </w:p>
    <w:p>
      <w:pPr>
        <w:pStyle w:val="Normal"/>
        <w:widowControl/>
        <w:numPr>
          <w:ilvl w:val="0"/>
          <w:numId w:val="17"/>
        </w:numPr>
        <w:ind w:left="0" w:firstLine="709"/>
        <w:jc w:val="both"/>
        <w:rPr>
          <w:bCs/>
          <w:sz w:val="24"/>
          <w:szCs w:val="24"/>
          <w:lang w:val="en-GB"/>
        </w:rPr>
      </w:pPr>
      <w:r>
        <w:rPr>
          <w:bCs/>
          <w:sz w:val="24"/>
          <w:szCs w:val="24"/>
          <w:lang w:val="en-GB"/>
        </w:rPr>
        <w:t>подающее предприятие;</w:t>
      </w:r>
    </w:p>
    <w:p>
      <w:pPr>
        <w:pStyle w:val="Normal"/>
        <w:widowControl/>
        <w:numPr>
          <w:ilvl w:val="0"/>
          <w:numId w:val="17"/>
        </w:numPr>
        <w:ind w:left="0" w:firstLine="709"/>
        <w:jc w:val="both"/>
        <w:rPr>
          <w:bCs/>
          <w:sz w:val="24"/>
          <w:szCs w:val="24"/>
        </w:rPr>
      </w:pPr>
      <w:r>
        <w:rPr>
          <w:bCs/>
          <w:sz w:val="24"/>
          <w:szCs w:val="24"/>
        </w:rPr>
        <w:t>оборудование, по которому фиксируется изменение эксплуатационного состояния или технологического режима работы;</w:t>
      </w:r>
    </w:p>
    <w:p>
      <w:pPr>
        <w:pStyle w:val="Normal"/>
        <w:widowControl/>
        <w:numPr>
          <w:ilvl w:val="0"/>
          <w:numId w:val="17"/>
        </w:numPr>
        <w:ind w:left="0" w:firstLine="709"/>
        <w:jc w:val="both"/>
        <w:rPr>
          <w:bCs/>
          <w:sz w:val="24"/>
          <w:szCs w:val="24"/>
          <w:lang w:val="en-GB"/>
        </w:rPr>
      </w:pPr>
      <w:r>
        <w:rPr>
          <w:bCs/>
          <w:sz w:val="24"/>
          <w:szCs w:val="24"/>
          <w:lang w:val="en-GB"/>
        </w:rPr>
        <w:t>величина снижения максимальной мощности;</w:t>
      </w:r>
    </w:p>
    <w:p>
      <w:pPr>
        <w:pStyle w:val="Normal"/>
        <w:widowControl/>
        <w:numPr>
          <w:ilvl w:val="0"/>
          <w:numId w:val="17"/>
        </w:numPr>
        <w:ind w:left="0" w:firstLine="709"/>
        <w:jc w:val="both"/>
        <w:rPr>
          <w:bCs/>
          <w:sz w:val="24"/>
          <w:szCs w:val="24"/>
          <w:lang w:val="en-GB"/>
        </w:rPr>
      </w:pPr>
      <w:r>
        <w:rPr>
          <w:bCs/>
          <w:sz w:val="24"/>
          <w:szCs w:val="24"/>
          <w:lang w:val="en-GB"/>
        </w:rPr>
        <w:t>содержание работ;</w:t>
      </w:r>
    </w:p>
    <w:p>
      <w:pPr>
        <w:pStyle w:val="Normal"/>
        <w:widowControl/>
        <w:numPr>
          <w:ilvl w:val="0"/>
          <w:numId w:val="17"/>
        </w:numPr>
        <w:ind w:left="0" w:firstLine="709"/>
        <w:jc w:val="both"/>
        <w:rPr>
          <w:bCs/>
          <w:sz w:val="24"/>
          <w:szCs w:val="24"/>
          <w:lang w:val="en-GB"/>
        </w:rPr>
      </w:pPr>
      <w:r>
        <w:rPr>
          <w:bCs/>
          <w:sz w:val="24"/>
          <w:szCs w:val="24"/>
          <w:lang w:val="en-GB"/>
        </w:rPr>
        <w:t>время подачи заявки;</w:t>
      </w:r>
    </w:p>
    <w:p>
      <w:pPr>
        <w:pStyle w:val="Normal"/>
        <w:widowControl/>
        <w:numPr>
          <w:ilvl w:val="0"/>
          <w:numId w:val="17"/>
        </w:numPr>
        <w:ind w:left="0" w:firstLine="709"/>
        <w:jc w:val="both"/>
        <w:rPr>
          <w:bCs/>
          <w:sz w:val="24"/>
          <w:szCs w:val="24"/>
        </w:rPr>
      </w:pPr>
      <w:r>
        <w:rPr>
          <w:bCs/>
          <w:sz w:val="24"/>
          <w:szCs w:val="24"/>
        </w:rPr>
        <w:t>время начала и конца действия заявки и др.</w:t>
      </w:r>
    </w:p>
    <w:p>
      <w:pPr>
        <w:pStyle w:val="Normal"/>
        <w:widowControl/>
        <w:spacing w:before="120" w:after="20"/>
        <w:ind w:firstLine="709"/>
        <w:jc w:val="both"/>
        <w:rPr>
          <w:sz w:val="24"/>
          <w:szCs w:val="24"/>
        </w:rPr>
      </w:pPr>
      <w:r>
        <w:rPr>
          <w:sz w:val="24"/>
          <w:szCs w:val="24"/>
        </w:rPr>
        <w:t>2.</w:t>
        <w:tab/>
      </w: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r>
      <m:oMath xmlns:m="http://schemas.openxmlformats.org/officeDocument/2006/math"/>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2</m:t>
                </m:r>
                <m:r>
                  <m:rPr>
                    <m:lit/>
                    <m:nor/>
                  </m:rPr>
                  <w:rPr>
                    <w:rFonts w:ascii="Cambria Math" w:hAnsi="Cambria Math"/>
                  </w:rPr>
                  <m:t xml:space="preserve">_max,</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r>
      <m:oMath xmlns:m="http://schemas.openxmlformats.org/officeDocument/2006/math"/>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oMath>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Б1</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Б2</m:t>
            </m:r>
          </m:sub>
        </m:sSub>
      </m:oMath>
      <w:r>
        <w:rPr/>
      </w:r>
      <m:oMath xmlns:m="http://schemas.openxmlformats.org/officeDocument/2006/math"/>
      <w:r>
        <w:rPr/>
      </w:r>
      <m:oMath xmlns:m="http://schemas.openxmlformats.org/officeDocument/2006/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В2</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В3</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Г1</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Г2</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Г3</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Д</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Е</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Ж</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З</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И</m:t>
            </m:r>
          </m:sub>
        </m:sSub>
      </m:oMath>
      <w:r>
        <w:rPr>
          <w:sz w:val="24"/>
          <w:szCs w:val="24"/>
        </w:rPr>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w:t>
      </w:r>
      <w:r>
        <w:rPr>
          <w:rFonts w:eastAsia="Times New Roman" w:cs="Times New Roman"/>
          <w:color w:val="auto"/>
          <w:kern w:val="0"/>
          <w:sz w:val="24"/>
          <w:szCs w:val="24"/>
          <w:lang w:val="ru-RU" w:eastAsia="ru-RU" w:bidi="ar-SA"/>
        </w:rPr>
        <w:t>«</w:t>
      </w:r>
      <w:r>
        <w:rPr>
          <w:sz w:val="24"/>
          <w:szCs w:val="24"/>
        </w:rPr>
        <w:t>Порядка установления соответствия генерирующего оборудования участников оптового рынка техническим требованиям</w:t>
      </w:r>
      <w:r>
        <w:rPr>
          <w:rFonts w:eastAsia="Times New Roman" w:cs="Times New Roman"/>
          <w:color w:val="auto"/>
          <w:kern w:val="0"/>
          <w:sz w:val="24"/>
          <w:szCs w:val="24"/>
          <w:lang w:val="ru-RU" w:eastAsia="ru-RU" w:bidi="ar-SA"/>
        </w:rPr>
        <w:t>»</w:t>
      </w:r>
      <w:r>
        <w:rPr>
          <w:sz w:val="24"/>
          <w:szCs w:val="24"/>
        </w:rPr>
        <w:t xml:space="preserve">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r>
        <w:rPr/>
      </w:r>
      <m:oMath xmlns:m="http://schemas.openxmlformats.org/officeDocument/2006/math"/>
      <w:r>
        <w:rPr>
          <w:rFonts w:eastAsia="Times New Roman" w:cs="Times New Roman"/>
          <w:sz w:val="24"/>
          <w:szCs w:val="24"/>
        </w:rPr>
        <w:t xml:space="preserve"> </w:t>
      </w:r>
    </w:p>
    <w:p>
      <w:pPr>
        <w:pStyle w:val="Normal"/>
        <w:spacing w:lineRule="auto" w:line="240" w:before="20" w:after="20"/>
        <w:ind w:firstLine="709"/>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m:t>
                </m:r>
              </m:sub>
              <m:sup>
                <m:r>
                  <w:rPr>
                    <w:rFonts w:ascii="Cambria Math" w:hAnsi="Cambria Math"/>
                  </w:rPr>
                  <m:t xml:space="preserve">1</m:t>
                </m:r>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 xml:space="preserve">величина согласованных ограничений установленной мощности в пределах, заявленных по процедуре конкурентного отбора мощности (КОМ); </w:t>
      </w:r>
    </w:p>
    <w:p>
      <w:pPr>
        <w:pStyle w:val="Normal"/>
        <w:spacing w:lineRule="auto" w:line="276" w:before="1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m:t>
                </m:r>
              </m:sub>
              <m:sup>
                <m:r>
                  <w:rPr>
                    <w:rFonts w:ascii="Cambria Math" w:hAnsi="Cambria Math"/>
                  </w:rPr>
                  <m:t xml:space="preserve">2</m:t>
                </m:r>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согласованных ограничений установленной мощности сверх, заявленных в КОМ;</w:t>
      </w:r>
    </w:p>
    <w:p>
      <w:pPr>
        <w:pStyle w:val="Normal"/>
        <w:spacing w:lineRule="auto" w:line="276" w:before="20" w:after="20"/>
        <w:ind w:firstLine="709"/>
        <w:jc w:val="both"/>
        <w:rPr>
          <w:sz w:val="24"/>
          <w:szCs w:val="24"/>
        </w:rPr>
      </w:pPr>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0"/>
                    <a:srcRect l="-222" t="-329" r="-222" b="-329"/>
                    <a:stretch>
                      <a:fillRect/>
                    </a:stretch>
                  </pic:blipFill>
                  <pic:spPr bwMode="auto">
                    <a:xfrm>
                      <a:off x="0" y="0"/>
                      <a:ext cx="323850" cy="21907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согласованного планового ремонтного снижения мощности;</w:t>
      </w:r>
    </w:p>
    <w:p>
      <w:pPr>
        <w:pStyle w:val="Normal"/>
        <w:spacing w:lineRule="auto" w:line="276" w:before="20" w:after="20"/>
        <w:ind w:firstLine="709"/>
        <w:jc w:val="both"/>
        <w:rPr>
          <w:sz w:val="24"/>
          <w:szCs w:val="24"/>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,h</m:t>
            </m:r>
          </m:sub>
          <m:sup>
            <m:r>
              <w:rPr>
                <w:rFonts w:ascii="Cambria Math" w:hAnsi="Cambria Math"/>
              </w:rPr>
              <m:t xml:space="preserve">j</m:t>
            </m:r>
          </m:sup>
        </m:sSub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lineRule="auto" w:line="276" w:before="20" w:after="20"/>
        <w:ind w:firstLine="709"/>
        <w:jc w:val="both"/>
        <w:rPr>
          <w:sz w:val="24"/>
          <w:szCs w:val="24"/>
        </w:rPr>
      </w:pPr>
      <w:r>
        <w:rPr/>
      </w:r>
      <m:oMath xmlns:m="http://schemas.openxmlformats.org/officeDocument/2006/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итоговое значение согласованного планового ремонтного снижения располагаемой мощности;</w:t>
      </w:r>
    </w:p>
    <w:p>
      <w:pPr>
        <w:pStyle w:val="Normal"/>
        <w:spacing w:lineRule="auto" w:line="276" w:before="20" w:after="20"/>
        <w:ind w:firstLine="709"/>
        <w:jc w:val="both"/>
        <w:rPr>
          <w:sz w:val="24"/>
          <w:szCs w:val="24"/>
        </w:rPr>
      </w:pPr>
      <w:r>
        <w:rPr>
          <w:rFonts w:eastAsia="Times New Roman" w:cs="Times New Roman"/>
          <w:sz w:val="24"/>
          <w:szCs w:val="24"/>
        </w:rPr>
        <w:t xml:space="preserve"> </w:t>
      </w:r>
      <w:r>
        <w:rPr/>
      </w:r>
      <m:oMath xmlns:m="http://schemas.openxmlformats.org/officeDocument/2006/math">
        <m:sSubSup>
          <m:e>
            <m:r>
              <w:rPr>
                <w:rFonts w:ascii="Cambria Math" w:hAnsi="Cambria Math"/>
              </w:rPr>
              <m:t xml:space="preserve">∆</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r>
              <m:rPr>
                <m:lit/>
                <m:nor/>
              </m:rPr>
              <w:rPr>
                <w:rFonts w:ascii="Cambria Math" w:hAnsi="Cambria Math"/>
              </w:rPr>
              <m:t xml:space="preserve">,h</m:t>
            </m:r>
          </m:sub>
          <m:sup>
            <m:r>
              <w:rPr>
                <w:rFonts w:ascii="Cambria Math" w:hAnsi="Cambria Math"/>
              </w:rPr>
              <m:t xml:space="preserve">j</m:t>
            </m:r>
          </m:sup>
        </m:sSub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плановое ремонтное снижение мощности по модернизируемым генерирующим объектом вне установленных сроков;</w:t>
      </w:r>
    </w:p>
    <w:p>
      <w:pPr>
        <w:pStyle w:val="Normal"/>
        <w:spacing w:lineRule="auto" w:line="276" w:before="20" w:after="20"/>
        <w:ind w:firstLine="709"/>
        <w:jc w:val="both"/>
        <w:rPr>
          <w:sz w:val="24"/>
          <w:szCs w:val="24"/>
        </w:rPr>
      </w:pPr>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1"/>
                    <a:stretch>
                      <a:fillRect/>
                    </a:stretch>
                  </pic:blipFill>
                  <pic:spPr bwMode="auto">
                    <a:xfrm>
                      <a:off x="0" y="0"/>
                      <a:ext cx="545465" cy="27305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pPr>
        <w:pStyle w:val="Normal"/>
        <w:spacing w:lineRule="auto" w:line="276" w:before="20" w:after="20"/>
        <w:ind w:firstLine="709"/>
        <w:jc w:val="both"/>
        <w:rPr>
          <w:sz w:val="24"/>
          <w:szCs w:val="24"/>
        </w:rPr>
      </w:pPr>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2"/>
                    <a:stretch>
                      <a:fillRect/>
                    </a:stretch>
                  </pic:blipFill>
                  <pic:spPr bwMode="auto">
                    <a:xfrm>
                      <a:off x="0" y="0"/>
                      <a:ext cx="524510" cy="26606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lineRule="auto" w:line="276" w:before="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m:rPr>
                    <m:lit/>
                    <m:nor/>
                  </m:rPr>
                  <w:rPr>
                    <w:rFonts w:ascii="Cambria Math" w:hAnsi="Cambria Math"/>
                  </w:rPr>
                  <m:t xml:space="preserve">2_max,</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pPr>
        <w:pStyle w:val="Normal"/>
        <w:spacing w:lineRule="auto" w:line="276" w:before="20" w:after="20"/>
        <w:ind w:firstLine="709"/>
        <w:jc w:val="both"/>
        <w:rPr>
          <w:sz w:val="24"/>
          <w:szCs w:val="24"/>
        </w:rPr>
      </w:pPr>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3"/>
                    <a:stretch>
                      <a:fillRect/>
                    </a:stretch>
                  </pic:blipFill>
                  <pic:spPr bwMode="auto">
                    <a:xfrm>
                      <a:off x="0" y="0"/>
                      <a:ext cx="532130" cy="27241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pPr>
        <w:pStyle w:val="Normal"/>
        <w:spacing w:lineRule="auto" w:line="276" w:before="20" w:after="20"/>
        <w:ind w:firstLine="709"/>
        <w:jc w:val="both"/>
        <w:rPr>
          <w:sz w:val="24"/>
          <w:szCs w:val="24"/>
        </w:rPr>
      </w:pPr>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4"/>
                    <a:stretch>
                      <a:fillRect/>
                    </a:stretch>
                  </pic:blipFill>
                  <pic:spPr bwMode="auto">
                    <a:xfrm>
                      <a:off x="0" y="0"/>
                      <a:ext cx="526415" cy="2628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lineRule="auto" w:line="276" w:before="20" w:after="20"/>
        <w:ind w:firstLine="709"/>
        <w:jc w:val="both"/>
        <w:rPr>
          <w:sz w:val="24"/>
          <w:szCs w:val="24"/>
        </w:rPr>
      </w:pPr>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5"/>
                    <a:stretch>
                      <a:fillRect/>
                    </a:stretch>
                  </pic:blipFill>
                  <pic:spPr bwMode="auto">
                    <a:xfrm>
                      <a:off x="0" y="0"/>
                      <a:ext cx="620395" cy="32004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16"/>
                    <a:stretch>
                      <a:fillRect/>
                    </a:stretch>
                  </pic:blipFill>
                  <pic:spPr bwMode="auto">
                    <a:xfrm>
                      <a:off x="0" y="0"/>
                      <a:ext cx="526415" cy="2628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17"/>
                    <a:stretch>
                      <a:fillRect/>
                    </a:stretch>
                  </pic:blipFill>
                  <pic:spPr bwMode="auto">
                    <a:xfrm>
                      <a:off x="0" y="0"/>
                      <a:ext cx="511810" cy="24130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lineRule="auto" w:line="276" w:before="20" w:after="20"/>
        <w:ind w:firstLine="709"/>
        <w:jc w:val="both"/>
        <w:rPr>
          <w:sz w:val="24"/>
          <w:szCs w:val="24"/>
        </w:rPr>
      </w:pPr>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18"/>
                    <a:stretch>
                      <a:fillRect/>
                    </a:stretch>
                  </pic:blipFill>
                  <pic:spPr bwMode="auto">
                    <a:xfrm>
                      <a:off x="0" y="0"/>
                      <a:ext cx="497205" cy="24066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lineRule="auto" w:line="276" w:before="20" w:after="20"/>
        <w:ind w:firstLine="709"/>
        <w:jc w:val="both"/>
        <w:rPr>
          <w:sz w:val="24"/>
          <w:szCs w:val="24"/>
        </w:rPr>
      </w:pPr>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19"/>
                    <a:stretch>
                      <a:fillRect/>
                    </a:stretch>
                  </pic:blipFill>
                  <pic:spPr bwMode="auto">
                    <a:xfrm>
                      <a:off x="0" y="0"/>
                      <a:ext cx="914400" cy="28511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lineRule="auto" w:line="276" w:before="20" w:after="20"/>
        <w:ind w:firstLine="709"/>
        <w:jc w:val="both"/>
        <w:rPr>
          <w:sz w:val="24"/>
          <w:szCs w:val="24"/>
        </w:rPr>
      </w:pPr>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0"/>
                    <a:stretch>
                      <a:fillRect/>
                    </a:stretch>
                  </pic:blipFill>
                  <pic:spPr bwMode="auto">
                    <a:xfrm>
                      <a:off x="0" y="0"/>
                      <a:ext cx="1052830" cy="357505"/>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согласованном увеличении времени включения в сеть;</w:t>
      </w:r>
    </w:p>
    <w:p>
      <w:pPr>
        <w:pStyle w:val="Normal"/>
        <w:spacing w:lineRule="auto" w:line="276" w:before="20" w:after="20"/>
        <w:ind w:firstLine="709"/>
        <w:jc w:val="both"/>
        <w:rPr>
          <w:sz w:val="24"/>
          <w:szCs w:val="24"/>
        </w:rPr>
      </w:pPr>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1"/>
                    <a:stretch>
                      <a:fillRect/>
                    </a:stretch>
                  </pic:blipFill>
                  <pic:spPr bwMode="auto">
                    <a:xfrm>
                      <a:off x="0" y="0"/>
                      <a:ext cx="958215" cy="31369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lineRule="auto" w:line="240" w:before="20" w:after="20"/>
        <w:ind w:firstLine="709"/>
        <w:rPr>
          <w:sz w:val="24"/>
          <w:szCs w:val="24"/>
        </w:rPr>
      </w:pPr>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2"/>
                    <a:stretch>
                      <a:fillRect/>
                    </a:stretch>
                  </pic:blipFill>
                  <pic:spPr bwMode="auto">
                    <a:xfrm>
                      <a:off x="0" y="0"/>
                      <a:ext cx="368300" cy="285750"/>
                    </a:xfrm>
                    <a:prstGeom prst="rect">
                      <a:avLst/>
                    </a:prstGeom>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lineRule="auto" w:line="240" w:before="120" w:after="20"/>
        <w:ind w:firstLine="709"/>
        <w:rPr>
          <w:sz w:val="24"/>
          <w:szCs w:val="24"/>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3"/>
                    <a:stretch>
                      <a:fillRect/>
                    </a:stretch>
                  </pic:blipFill>
                  <pic:spPr bwMode="auto">
                    <a:xfrm>
                      <a:off x="0" y="0"/>
                      <a:ext cx="336550" cy="267335"/>
                    </a:xfrm>
                    <a:prstGeom prst="rect">
                      <a:avLst/>
                    </a:prstGeom>
                  </pic:spPr>
                </pic:pic>
              </a:graphicData>
            </a:graphic>
          </wp:inline>
        </w:drawing>
      </w:r>
      <w:r>
        <w:rPr>
          <w:sz w:val="24"/>
          <w:szCs w:val="24"/>
        </w:rPr>
        <w:t>, соответствующие объемам невыполнения требований в месяце, определяется по формуле:</w:t>
      </w:r>
    </w:p>
    <w:p>
      <w:pPr>
        <w:pStyle w:val="Normal"/>
        <w:spacing w:lineRule="auto" w:line="240" w:before="20" w:after="20"/>
        <w:jc w:val="center"/>
        <w:rPr>
          <w:sz w:val="24"/>
          <w:szCs w:val="24"/>
        </w:rPr>
      </w:pPr>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4"/>
                    <a:stretch>
                      <a:fillRect/>
                    </a:stretch>
                  </pic:blipFill>
                  <pic:spPr bwMode="auto">
                    <a:xfrm>
                      <a:off x="0" y="0"/>
                      <a:ext cx="1371600" cy="673100"/>
                    </a:xfrm>
                    <a:prstGeom prst="rect">
                      <a:avLst/>
                    </a:prstGeom>
                  </pic:spPr>
                </pic:pic>
              </a:graphicData>
            </a:graphic>
          </wp:inline>
        </w:drawing>
      </w:r>
    </w:p>
    <w:p>
      <w:pPr>
        <w:pStyle w:val="Normal"/>
        <w:spacing w:lineRule="auto" w:line="240" w:before="20" w:after="20"/>
        <w:ind w:firstLine="709"/>
        <w:rPr>
          <w:sz w:val="24"/>
          <w:szCs w:val="24"/>
        </w:rPr>
      </w:pPr>
      <w:r>
        <w:rPr>
          <w:sz w:val="24"/>
          <w:szCs w:val="24"/>
        </w:rPr>
        <w:t>где:</w:t>
      </w:r>
    </w:p>
    <w:p>
      <w:pPr>
        <w:pStyle w:val="Normal"/>
        <w:spacing w:lineRule="auto" w:line="240" w:before="20" w:after="20"/>
        <w:ind w:firstLine="709"/>
        <w:rPr>
          <w:sz w:val="24"/>
          <w:szCs w:val="24"/>
        </w:rPr>
      </w:pPr>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5"/>
                    <a:stretch>
                      <a:fillRect/>
                    </a:stretch>
                  </pic:blipFill>
                  <pic:spPr bwMode="auto">
                    <a:xfrm>
                      <a:off x="0" y="0"/>
                      <a:ext cx="293370" cy="267335"/>
                    </a:xfrm>
                    <a:prstGeom prst="rect">
                      <a:avLst/>
                    </a:prstGeom>
                  </pic:spPr>
                </pic:pic>
              </a:graphicData>
            </a:graphic>
          </wp:inline>
        </w:drawing>
      </w:r>
      <w:r>
        <w:rPr>
          <w:sz w:val="24"/>
          <w:szCs w:val="24"/>
        </w:rPr>
        <w:t xml:space="preserve"> – </w:t>
      </w:r>
      <w:r>
        <w:rPr>
          <w:sz w:val="24"/>
          <w:szCs w:val="24"/>
        </w:rPr>
        <w:t>значения снижения мощности ГТПГ, установленные СО в ГРМ;</w:t>
      </w:r>
    </w:p>
    <w:p>
      <w:pPr>
        <w:pStyle w:val="Normal"/>
        <w:spacing w:lineRule="auto" w:line="240" w:before="20" w:after="20"/>
        <w:ind w:firstLine="709"/>
        <w:rPr>
          <w:sz w:val="24"/>
          <w:szCs w:val="24"/>
        </w:rPr>
      </w:pPr>
      <w:r>
        <w:rPr>
          <w:sz w:val="24"/>
          <w:szCs w:val="24"/>
        </w:rPr>
        <w:t xml:space="preserve">Н – количество часов, соответствующее расчетному месяцу m. </w:t>
      </w:r>
    </w:p>
    <w:p>
      <w:pPr>
        <w:pStyle w:val="Normal"/>
        <w:spacing w:lineRule="auto" w:line="240" w:before="20" w:after="20"/>
        <w:ind w:firstLine="709"/>
        <w:rPr>
          <w:sz w:val="24"/>
          <w:szCs w:val="24"/>
        </w:rPr>
      </w:pPr>
      <w:r>
        <w:rPr>
          <w:sz w:val="24"/>
          <w:szCs w:val="24"/>
        </w:rPr>
      </w:r>
    </w:p>
    <w:p>
      <w:pPr>
        <w:pStyle w:val="Normal"/>
        <w:spacing w:lineRule="auto" w:line="240" w:before="20" w:after="20"/>
        <w:ind w:firstLine="709"/>
        <w:rPr>
          <w:sz w:val="24"/>
          <w:szCs w:val="24"/>
        </w:rPr>
      </w:pPr>
      <w:r>
        <w:rPr>
          <w:sz w:val="24"/>
          <w:szCs w:val="24"/>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lineRule="auto" w:line="240" w:before="120" w:after="20"/>
        <w:ind w:firstLine="709"/>
        <w:rPr>
          <w:sz w:val="24"/>
          <w:szCs w:val="24"/>
        </w:rPr>
      </w:pPr>
      <w:r>
        <w:rPr>
          <w:sz w:val="24"/>
          <w:szCs w:val="24"/>
        </w:rPr>
        <w: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t>
      </w:r>
    </w:p>
    <w:p>
      <w:pPr>
        <w:pStyle w:val="Normal"/>
        <w:spacing w:lineRule="auto" w:line="240" w:before="20" w:after="20"/>
        <w:ind w:firstLine="709"/>
        <w:rPr>
          <w:sz w:val="24"/>
          <w:szCs w:val="24"/>
        </w:rPr>
      </w:pPr>
      <w:r>
        <w:rPr>
          <w:sz w:val="24"/>
          <w:szCs w:val="24"/>
        </w:rPr>
      </w:r>
    </w:p>
    <w:p>
      <w:pPr>
        <w:pStyle w:val="Normal"/>
        <w:spacing w:lineRule="auto" w:line="240" w:before="20" w:after="20"/>
        <w:ind w:firstLine="709"/>
        <w:rPr>
          <w:sz w:val="24"/>
          <w:szCs w:val="24"/>
        </w:rPr>
      </w:pPr>
      <w:r>
        <w:rPr/>
      </w:r>
      <m:oMath xmlns:m="http://schemas.openxmlformats.org/officeDocument/2006/math"/>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oMath>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Б1</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Б2</m:t>
            </m:r>
          </m:sub>
        </m:sSub>
      </m:oMath>
      <w:r>
        <w:rPr/>
      </w:r>
      <m:oMath xmlns:m="http://schemas.openxmlformats.org/officeDocument/2006/math"/>
      <w:r>
        <w:rPr/>
      </w:r>
      <m:oMath xmlns:m="http://schemas.openxmlformats.org/officeDocument/2006/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В2</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В3</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Г1</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Г2</m:t>
            </m:r>
          </m:sub>
        </m:sSub>
      </m:oMath>
      <w:r>
        <w:rPr/>
      </w:r>
      <m:oMath xmlns:m="http://schemas.openxmlformats.org/officeDocument/2006/math">
        <m:sSub>
          <m:e>
            <m:r>
              <w:rPr>
                <w:rFonts w:ascii="Cambria Math" w:hAnsi="Cambria Math"/>
              </w:rPr>
              <m:t xml:space="preserve">k</m:t>
            </m:r>
          </m:e>
          <m:sub>
            <m:r>
              <m:rPr>
                <m:lit/>
                <m:nor/>
              </m:rPr>
              <w:rPr>
                <w:rFonts w:ascii="Cambria Math" w:hAnsi="Cambria Math"/>
              </w:rPr>
              <m:t xml:space="preserve">Г3</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Д</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Е</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Ж</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З</m:t>
            </m:r>
          </m:sub>
        </m:sSub>
      </m:oMath>
      <w:r>
        <w:rPr/>
      </w:r>
      <m:oMath xmlns:m="http://schemas.openxmlformats.org/officeDocument/2006/math">
        <m:sSub>
          <m:e>
            <m:r>
              <w:rPr>
                <w:rFonts w:ascii="Cambria Math" w:hAnsi="Cambria Math"/>
              </w:rPr>
              <m:t xml:space="preserve">k</m:t>
            </m:r>
          </m:e>
          <m:sub>
            <m:r>
              <w:rPr>
                <w:rFonts w:ascii="Cambria Math" w:hAnsi="Cambria Math"/>
              </w:rPr>
              <m:t xml:space="preserve">И</m:t>
            </m:r>
          </m:sub>
        </m:sSub>
      </m:oMath>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r>
          <w:rPr>
            <w:rFonts w:ascii="Cambria Math" w:hAnsi="Cambria Math"/>
          </w:rPr>
          <m:t xml:space="preserve">=</m:t>
        </m:r>
        <m:nary>
          <m:naryPr>
            <m:chr m:val="∑"/>
            <m:supHide m:val="1"/>
          </m:naryPr>
          <m:sub>
            <m:r>
              <w:rPr>
                <w:rFonts w:ascii="Cambria Math" w:hAnsi="Cambria Math"/>
              </w:rPr>
              <m:t xml:space="preserve">n</m:t>
            </m:r>
          </m:sub>
          <m:sup/>
          <m:e>
            <m:d>
              <m:dPr>
                <m:begChr m:val="("/>
                <m:endChr m:val=")"/>
              </m:dPr>
              <m:e>
                <m:sSub>
                  <m:e>
                    <m:r>
                      <w:rPr>
                        <w:rFonts w:ascii="Cambria Math" w:hAnsi="Cambria Math"/>
                      </w:rPr>
                      <m:t xml:space="preserve">k</m:t>
                    </m:r>
                  </m:e>
                  <m:sub>
                    <m:r>
                      <w:rPr>
                        <w:rFonts w:ascii="Cambria Math" w:hAnsi="Cambria Math"/>
                      </w:rPr>
                      <m:t xml:space="preserve">n</m:t>
                    </m:r>
                  </m:sub>
                </m:sSub>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n</m:t>
                        </m:r>
                      </m:sub>
                    </m:sSub>
                  </m:sup>
                </m:sSup>
              </m:e>
            </m:d>
            <m:r>
              <w:rPr>
                <w:rFonts w:ascii="Cambria Math" w:hAnsi="Cambria Math"/>
              </w:rPr>
              <m:t xml:space="preserve">+</m:t>
            </m:r>
            <m:nary>
              <m:naryPr>
                <m:chr m:val="∑"/>
                <m:supHide m:val="1"/>
              </m:naryPr>
              <m:sub>
                <m:r>
                  <w:rPr>
                    <w:rFonts w:ascii="Cambria Math" w:hAnsi="Cambria Math"/>
                  </w:rPr>
                  <m:t xml:space="preserve">l</m:t>
                </m:r>
              </m:sub>
              <m:sup/>
              <m:e>
                <m:d>
                  <m:dPr>
                    <m:begChr m:val="("/>
                    <m:endChr m:val=")"/>
                  </m:dPr>
                  <m:e>
                    <m:sSub>
                      <m:e>
                        <m:r>
                          <w:rPr>
                            <w:rFonts w:ascii="Cambria Math" w:hAnsi="Cambria Math"/>
                          </w:rPr>
                          <m:t xml:space="preserve">k</m:t>
                        </m:r>
                      </m:e>
                      <m:sub>
                        <m:r>
                          <w:rPr>
                            <w:rFonts w:ascii="Cambria Math" w:hAnsi="Cambria Math"/>
                          </w:rPr>
                          <m:t xml:space="preserve">l</m:t>
                        </m:r>
                      </m:sub>
                    </m:sSub>
                    <m:r>
                      <w:rPr>
                        <w:rFonts w:ascii="Cambria Math" w:hAnsi="Cambria Math"/>
                      </w:rPr>
                      <m:t xml:space="preserve">⋅</m:t>
                    </m:r>
                    <m:sSubSup>
                      <m:e>
                        <m:r>
                          <w:rPr>
                            <w:rFonts w:ascii="Cambria Math" w:hAnsi="Cambria Math"/>
                          </w:rPr>
                          <m:t xml:space="preserve">k</m:t>
                        </m:r>
                      </m:e>
                      <m:sub>
                        <m:r>
                          <m:rPr>
                            <m:lit/>
                            <m:nor/>
                          </m:rPr>
                          <w:rPr>
                            <w:rFonts w:ascii="Cambria Math" w:hAnsi="Cambria Math"/>
                          </w:rPr>
                          <m:t xml:space="preserve">диф,m</m:t>
                        </m:r>
                      </m:sub>
                      <m:sup>
                        <m:r>
                          <w:rPr>
                            <w:rFonts w:ascii="Cambria Math" w:hAnsi="Cambria Math"/>
                          </w:rPr>
                          <m:t xml:space="preserve">j</m:t>
                        </m:r>
                      </m:sup>
                    </m:sSubSup>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l</m:t>
                            </m:r>
                          </m:sub>
                        </m:sSub>
                      </m:sup>
                    </m:sSup>
                  </m:e>
                </m:d>
              </m:e>
            </m:nary>
          </m:e>
        </m:nary>
      </m:oMath>
    </w:p>
    <w:p>
      <w:pPr>
        <w:pStyle w:val="Normal"/>
        <w:spacing w:lineRule="auto" w:line="276" w:before="0" w:after="200"/>
        <w:ind w:firstLine="709"/>
        <w:rPr>
          <w:rFonts w:ascii="Times New Roman" w:hAnsi="Times New Roman" w:eastAsia="Arial" w:cs="Times New Roman"/>
          <w:sz w:val="24"/>
          <w:szCs w:val="24"/>
        </w:rPr>
      </w:pPr>
      <w:r>
        <w:rPr>
          <w:rFonts w:eastAsia="Arial" w:cs="Times New Roman"/>
          <w:sz w:val="24"/>
          <w:szCs w:val="24"/>
        </w:rPr>
        <w:t>где:</w:t>
        <w:tab/>
      </w:r>
    </w:p>
    <w:p>
      <w:pPr>
        <w:pStyle w:val="Normal"/>
        <w:numPr>
          <w:ilvl w:val="0"/>
          <w:numId w:val="0"/>
        </w:numPr>
        <w:spacing w:lineRule="auto" w:line="276" w:before="120" w:after="120"/>
        <w:ind w:left="0" w:firstLine="567"/>
        <w:jc w:val="both"/>
        <w:outlineLvl w:val="3"/>
        <w:rPr>
          <w:sz w:val="24"/>
          <w:szCs w:val="24"/>
        </w:rPr>
      </w:pPr>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26"/>
                    <a:stretch>
                      <a:fillRect/>
                    </a:stretch>
                  </pic:blipFill>
                  <pic:spPr bwMode="auto">
                    <a:xfrm>
                      <a:off x="0" y="0"/>
                      <a:ext cx="185420" cy="228600"/>
                    </a:xfrm>
                    <a:prstGeom prst="rect">
                      <a:avLst/>
                    </a:prstGeom>
                  </pic:spPr>
                </pic:pic>
              </a:graphicData>
            </a:graphic>
          </wp:inline>
        </w:drawing>
      </w:r>
      <w:r>
        <w:rPr>
          <w:rFonts w:eastAsia="Times New Roman" w:cs="Times New Roman"/>
          <w:sz w:val="24"/>
          <w:szCs w:val="24"/>
        </w:rPr>
        <w:t xml:space="preserve"> </w:t>
      </w:r>
      <w:r>
        <w:rPr>
          <w:rFonts w:eastAsia="Arial" w:cs="Times New Roman"/>
          <w:sz w:val="24"/>
          <w:szCs w:val="24"/>
        </w:rPr>
        <w:t>―</w:t>
      </w:r>
      <w:r>
        <w:rPr>
          <w:rFonts w:eastAsia="Times New Roman" w:cs="Times New Roman"/>
          <w:sz w:val="24"/>
          <w:szCs w:val="24"/>
        </w:rPr>
        <w:t xml:space="preserve"> </w:t>
      </w:r>
      <w:r>
        <w:rPr>
          <w:rFonts w:eastAsia="Arial" w:cs="Times New Roman"/>
          <w:sz w:val="24"/>
          <w:szCs w:val="24"/>
        </w:rPr>
        <w:t xml:space="preserve">коэффициенты </w:t>
      </w:r>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1</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2</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cs="Times New Roman"/>
          <w:sz w:val="24"/>
          <w:szCs w:val="24"/>
        </w:rPr>
        <w:t>)</w:t>
      </w:r>
    </w:p>
    <w:p>
      <w:pPr>
        <w:pStyle w:val="Normal"/>
        <w:numPr>
          <w:ilvl w:val="0"/>
          <w:numId w:val="0"/>
        </w:numPr>
        <w:spacing w:lineRule="auto" w:line="276" w:before="120" w:after="120"/>
        <w:ind w:left="0" w:firstLine="567"/>
        <w:jc w:val="both"/>
        <w:outlineLvl w:val="3"/>
        <w:rPr>
          <w:sz w:val="24"/>
          <w:szCs w:val="24"/>
        </w:rPr>
      </w:pPr>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27"/>
                    <a:stretch>
                      <a:fillRect/>
                    </a:stretch>
                  </pic:blipFill>
                  <pic:spPr bwMode="auto">
                    <a:xfrm>
                      <a:off x="0" y="0"/>
                      <a:ext cx="184785" cy="277495"/>
                    </a:xfrm>
                    <a:prstGeom prst="rect">
                      <a:avLst/>
                    </a:prstGeom>
                  </pic:spPr>
                </pic:pic>
              </a:graphicData>
            </a:graphic>
          </wp:inline>
        </w:drawing>
      </w:r>
      <w:r>
        <w:rPr>
          <w:rFonts w:eastAsia="Times New Roman" w:cs="Times New Roman"/>
          <w:sz w:val="24"/>
          <w:szCs w:val="24"/>
        </w:rPr>
        <w:t xml:space="preserve"> </w:t>
      </w:r>
      <w:r>
        <w:rPr>
          <w:rFonts w:eastAsia="Arial" w:cs="Times New Roman"/>
          <w:sz w:val="24"/>
          <w:szCs w:val="24"/>
        </w:rPr>
        <w:t>―</w:t>
      </w:r>
      <w:r>
        <w:rPr>
          <w:rFonts w:eastAsia="Times New Roman" w:cs="Times New Roman"/>
          <w:sz w:val="24"/>
          <w:szCs w:val="24"/>
        </w:rPr>
        <w:t xml:space="preserve"> </w:t>
      </w:r>
      <w:r>
        <w:rPr>
          <w:rFonts w:eastAsia="Arial" w:cs="Times New Roman"/>
          <w:sz w:val="24"/>
          <w:szCs w:val="24"/>
        </w:rPr>
        <w:t>коэффициенты (</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3</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4</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5</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6</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7</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1</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2</m:t>
            </m:r>
          </m:sub>
        </m:sSub>
      </m:oMath>
      <w:r>
        <w:rPr>
          <w:rFonts w:eastAsia="Arial" w:cs="Times New Roman"/>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9</m:t>
            </m:r>
          </m:sub>
        </m:sSub>
      </m:oMath>
      <w:r>
        <w:rPr>
          <w:rFonts w:eastAsia="Arial" w:cs="Times New Roman"/>
          <w:sz w:val="24"/>
          <w:szCs w:val="24"/>
        </w:rPr>
        <w:t xml:space="preserve">), </w:t>
      </w:r>
    </w:p>
    <w:p>
      <w:pPr>
        <w:pStyle w:val="Normal"/>
        <w:numPr>
          <w:ilvl w:val="0"/>
          <w:numId w:val="0"/>
        </w:numPr>
        <w:spacing w:lineRule="auto" w:line="276" w:before="120" w:after="120"/>
        <w:ind w:left="0" w:firstLine="567"/>
        <w:jc w:val="both"/>
        <w:outlineLvl w:val="3"/>
        <w:rPr>
          <w:sz w:val="24"/>
          <w:szCs w:val="24"/>
        </w:rPr>
      </w:pPr>
      <w:r>
        <w:rPr>
          <w:rFonts w:eastAsia="Arial" w:cs="Times New Roman"/>
          <w:sz w:val="24"/>
          <w:szCs w:val="24"/>
        </w:rPr>
        <w:t xml:space="preserve">определяемые для каждого из соответствующих им объемов невыполнения требований по готовности </w:t>
      </w:r>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28"/>
                    <a:stretch>
                      <a:fillRect/>
                    </a:stretch>
                  </pic:blipFill>
                  <pic:spPr bwMode="auto">
                    <a:xfrm>
                      <a:off x="0" y="0"/>
                      <a:ext cx="277495" cy="277495"/>
                    </a:xfrm>
                    <a:prstGeom prst="rect">
                      <a:avLst/>
                    </a:prstGeom>
                  </pic:spPr>
                </pic:pic>
              </a:graphicData>
            </a:graphic>
          </wp:inline>
        </w:drawing>
      </w:r>
      <w:r>
        <w:rPr>
          <w:rFonts w:eastAsia="Arial" w:cs="Times New Roman"/>
          <w:sz w:val="24"/>
          <w:szCs w:val="24"/>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pPr>
        <w:pStyle w:val="Normal"/>
        <w:numPr>
          <w:ilvl w:val="0"/>
          <w:numId w:val="0"/>
        </w:numPr>
        <w:spacing w:lineRule="auto" w:line="276" w:before="120" w:after="120"/>
        <w:ind w:left="0" w:firstLine="567"/>
        <w:jc w:val="both"/>
        <w:outlineLvl w:val="2"/>
        <w:rPr>
          <w:sz w:val="24"/>
          <w:szCs w:val="24"/>
        </w:rPr>
      </w:pPr>
      <w:r>
        <w:rPr>
          <w:rFonts w:eastAsia="Arial" w:cs="Times New Roman"/>
          <w:sz w:val="24"/>
          <w:szCs w:val="24"/>
        </w:rPr>
        <w:t xml:space="preserve">Для входящей в состав Дальневосточного федерального округа отдельной территории, ранее относившейся к неценовым зонам, </w:t>
      </w:r>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29"/>
                    <a:stretch>
                      <a:fillRect/>
                    </a:stretch>
                  </pic:blipFill>
                  <pic:spPr bwMode="auto">
                    <a:xfrm>
                      <a:off x="0" y="0"/>
                      <a:ext cx="636270" cy="278130"/>
                    </a:xfrm>
                    <a:prstGeom prst="rect">
                      <a:avLst/>
                    </a:prstGeom>
                  </pic:spPr>
                </pic:pic>
              </a:graphicData>
            </a:graphic>
          </wp:inline>
        </w:drawing>
      </w:r>
      <w:r>
        <w:rPr>
          <w:rFonts w:eastAsia="Arial" w:cs="Times New Roman"/>
          <w:sz w:val="24"/>
          <w:szCs w:val="24"/>
        </w:rPr>
        <w:t>.</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pPr>
        <w:pStyle w:val="Normal"/>
        <w:spacing w:lineRule="auto" w:line="276" w:before="0" w:after="200"/>
        <w:ind w:firstLine="567"/>
        <w:jc w:val="both"/>
        <w:rPr>
          <w:sz w:val="24"/>
          <w:szCs w:val="24"/>
        </w:rPr>
      </w:pPr>
      <w:r>
        <w:rPr>
          <w:rFonts w:eastAsia="Times New Roman" w:cs="Times New Roman"/>
          <w:sz w:val="24"/>
          <w:szCs w:val="24"/>
        </w:rPr>
        <w:t xml:space="preserve">  </w:t>
      </w:r>
      <w:r>
        <w:rPr>
          <w:rFonts w:eastAsia="Arial" w:cs="Times New Roman"/>
          <w:sz w:val="24"/>
          <w:szCs w:val="24"/>
        </w:rPr>
        <w:t xml:space="preserve">- </w:t>
      </w:r>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0"/>
                    <a:stretch>
                      <a:fillRect/>
                    </a:stretch>
                  </pic:blipFill>
                  <pic:spPr bwMode="auto">
                    <a:xfrm>
                      <a:off x="0" y="0"/>
                      <a:ext cx="474980" cy="302260"/>
                    </a:xfrm>
                    <a:prstGeom prst="rect">
                      <a:avLst/>
                    </a:prstGeom>
                  </pic:spPr>
                </pic:pic>
              </a:graphicData>
            </a:graphic>
          </wp:inline>
        </w:drawing>
      </w:r>
      <w:r>
        <w:rPr>
          <w:rFonts w:eastAsia="Arial" w:cs="Times New Roman"/>
          <w:sz w:val="24"/>
          <w:szCs w:val="24"/>
        </w:rPr>
        <w: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pPr>
        <w:pStyle w:val="Normal"/>
        <w:widowControl w:val="false"/>
        <w:spacing w:lineRule="auto" w:line="276" w:before="240" w:after="200"/>
        <w:jc w:val="both"/>
        <w:rPr>
          <w:sz w:val="24"/>
          <w:szCs w:val="24"/>
        </w:rPr>
      </w:pPr>
      <w:r>
        <w:rPr>
          <w:rFonts w:eastAsia="Arial" w:cs="Times New Roman"/>
          <w:sz w:val="24"/>
          <w:szCs w:val="24"/>
        </w:rPr>
        <w:t xml:space="preserve">- </w:t>
      </w:r>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1"/>
                    <a:stretch>
                      <a:fillRect/>
                    </a:stretch>
                  </pic:blipFill>
                  <pic:spPr bwMode="auto">
                    <a:xfrm>
                      <a:off x="0" y="0"/>
                      <a:ext cx="457200" cy="302895"/>
                    </a:xfrm>
                    <a:prstGeom prst="rect">
                      <a:avLst/>
                    </a:prstGeom>
                  </pic:spPr>
                </pic:pic>
              </a:graphicData>
            </a:graphic>
          </wp:inline>
        </w:drawing>
      </w:r>
      <w:r>
        <w:rPr>
          <w:rFonts w:eastAsia="Arial" w:cs="Times New Roman"/>
          <w:sz w:val="24"/>
          <w:szCs w:val="24"/>
        </w:rPr>
        <w:t xml:space="preserve"> - сезонный коэффициент, рассчитанный для ценовой зоны оптового рынка (z) месяца (m); </w:t>
      </w:r>
    </w:p>
    <w:p>
      <w:pPr>
        <w:pStyle w:val="Normal"/>
        <w:widowControl/>
        <w:spacing w:before="120" w:after="20"/>
        <w:ind w:firstLine="709"/>
        <w:jc w:val="both"/>
        <w:rPr>
          <w:sz w:val="24"/>
          <w:szCs w:val="24"/>
        </w:rPr>
      </w:pPr>
      <w:r>
        <w:rPr>
          <w:rFonts w:eastAsia="Arial" w:cs="Times New Roman"/>
          <w:sz w:val="24"/>
          <w:szCs w:val="24"/>
        </w:rPr>
        <w:t xml:space="preserve">Стоимость недопоставки мощности (снижение оплаты мощности) рассчитывается как произведение объема недопоставки мощности </w:t>
      </w:r>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oMath>
      <w:r>
        <w:rPr>
          <w:rFonts w:eastAsia="Arial" w:cs="Times New Roman"/>
          <w:sz w:val="24"/>
          <w:szCs w:val="24"/>
        </w:rPr>
        <w:t xml:space="preserve"> на цену </w:t>
      </w:r>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2"/>
                    <a:srcRect l="-42" t="-65" r="-42" b="-65"/>
                    <a:stretch>
                      <a:fillRect/>
                    </a:stretch>
                  </pic:blipFill>
                  <pic:spPr bwMode="auto">
                    <a:xfrm>
                      <a:off x="0" y="0"/>
                      <a:ext cx="474980" cy="302260"/>
                    </a:xfrm>
                    <a:prstGeom prst="rect">
                      <a:avLst/>
                    </a:prstGeom>
                  </pic:spPr>
                </pic:pic>
              </a:graphicData>
            </a:graphic>
          </wp:inline>
        </w:drawing>
      </w:r>
      <w:r>
        <w:rPr>
          <w:rFonts w:eastAsia="Arial" w:cs="Times New Roman"/>
          <w:sz w:val="24"/>
          <w:szCs w:val="24"/>
        </w:rPr>
        <w:t xml:space="preserve"> и на коэффициент сезонности</w:t>
      </w:r>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3"/>
                    <a:srcRect l="-43" t="-65" r="-43" b="-65"/>
                    <a:stretch>
                      <a:fillRect/>
                    </a:stretch>
                  </pic:blipFill>
                  <pic:spPr bwMode="auto">
                    <a:xfrm>
                      <a:off x="0" y="0"/>
                      <a:ext cx="457200" cy="302895"/>
                    </a:xfrm>
                    <a:prstGeom prst="rect">
                      <a:avLst/>
                    </a:prstGeom>
                  </pic:spPr>
                </pic:pic>
              </a:graphicData>
            </a:graphic>
          </wp:inline>
        </w:drawing>
      </w:r>
      <w:r>
        <w:rPr>
          <w:rFonts w:eastAsia="Arial" w:cs="Times New Roman"/>
          <w:sz w:val="24"/>
          <w:szCs w:val="24"/>
        </w:rPr>
        <w:t xml:space="preserve">. </w:t>
      </w:r>
    </w:p>
    <w:p>
      <w:pPr>
        <w:pStyle w:val="Normal"/>
        <w:widowControl/>
        <w:spacing w:before="120" w:after="20"/>
        <w:ind w:firstLine="709"/>
        <w:jc w:val="both"/>
        <w:rPr>
          <w:sz w:val="24"/>
          <w:szCs w:val="24"/>
        </w:rPr>
      </w:pPr>
      <w:r>
        <w:rPr>
          <w:sz w:val="24"/>
          <w:szCs w:val="24"/>
        </w:rPr>
      </w:r>
    </w:p>
    <w:tbl>
      <w:tblPr>
        <w:tblW w:w="10120"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240"/>
        <w:gridCol w:w="4879"/>
      </w:tblGrid>
      <w:tr>
        <w:trPr>
          <w:trHeight w:val="282" w:hRule="atLeast"/>
        </w:trPr>
        <w:tc>
          <w:tcPr>
            <w:tcW w:w="5240" w:type="dxa"/>
            <w:tcBorders/>
          </w:tcPr>
          <w:p>
            <w:pPr>
              <w:pStyle w:val="Normal"/>
              <w:widowControl w:val="false"/>
              <w:rPr>
                <w:b/>
                <w:sz w:val="24"/>
                <w:szCs w:val="24"/>
              </w:rPr>
            </w:pPr>
            <w:r>
              <w:rPr>
                <w:b/>
                <w:sz w:val="24"/>
                <w:szCs w:val="24"/>
              </w:rPr>
            </w:r>
          </w:p>
          <w:p>
            <w:pPr>
              <w:pStyle w:val="Normal"/>
              <w:widowControl w:val="false"/>
              <w:rPr>
                <w:b/>
                <w:sz w:val="24"/>
                <w:szCs w:val="24"/>
                <w:lang w:val="en-GB"/>
              </w:rPr>
            </w:pPr>
            <w:r>
              <w:rPr>
                <w:b/>
                <w:sz w:val="24"/>
                <w:szCs w:val="24"/>
                <w:lang w:val="en-GB"/>
              </w:rPr>
              <w:t>Покупатель:</w:t>
            </w:r>
          </w:p>
        </w:tc>
        <w:tc>
          <w:tcPr>
            <w:tcW w:w="4879" w:type="dxa"/>
            <w:tcBorders/>
          </w:tcPr>
          <w:p>
            <w:pPr>
              <w:pStyle w:val="Normal"/>
              <w:widowControl w:val="false"/>
              <w:rPr>
                <w:b/>
                <w:sz w:val="24"/>
                <w:szCs w:val="24"/>
              </w:rPr>
            </w:pPr>
            <w:r>
              <w:rPr>
                <w:b/>
                <w:sz w:val="24"/>
                <w:szCs w:val="24"/>
              </w:rPr>
            </w:r>
          </w:p>
          <w:p>
            <w:pPr>
              <w:pStyle w:val="Normal"/>
              <w:widowControl w:val="false"/>
              <w:rPr>
                <w:b/>
                <w:sz w:val="24"/>
                <w:szCs w:val="24"/>
                <w:lang w:val="en-GB"/>
              </w:rPr>
            </w:pPr>
            <w:r>
              <w:rPr>
                <w:b/>
                <w:sz w:val="24"/>
                <w:szCs w:val="24"/>
              </w:rPr>
              <w:t>Поставщик</w:t>
            </w:r>
            <w:r>
              <w:rPr>
                <w:b/>
                <w:sz w:val="24"/>
                <w:szCs w:val="24"/>
                <w:lang w:val="en-GB"/>
              </w:rPr>
              <w:t>:</w:t>
            </w:r>
          </w:p>
        </w:tc>
      </w:tr>
      <w:tr>
        <w:trPr>
          <w:trHeight w:val="611" w:hRule="atLeast"/>
        </w:trPr>
        <w:tc>
          <w:tcPr>
            <w:tcW w:w="5240"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487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_______________ / _______________</w:t>
            </w:r>
          </w:p>
        </w:tc>
      </w:tr>
    </w:tbl>
    <w:p>
      <w:pPr>
        <w:pStyle w:val="Normal"/>
        <w:widowControl/>
        <w:spacing w:before="120" w:after="20"/>
        <w:jc w:val="both"/>
        <w:rPr>
          <w:sz w:val="24"/>
          <w:szCs w:val="24"/>
        </w:rPr>
      </w:pPr>
      <w:r>
        <w:rPr/>
      </w:r>
    </w:p>
    <w:sectPr>
      <w:headerReference w:type="default" r:id="rId34"/>
      <w:headerReference w:type="first" r:id="rId35"/>
      <w:footerReference w:type="default" r:id="rId36"/>
      <w:footerReference w:type="first" r:id="rId37"/>
      <w:footnotePr>
        <w:numFmt w:val="decimal"/>
      </w:footnotePr>
      <w:type w:val="nextPage"/>
      <w:pgSz w:w="11906" w:h="16838"/>
      <w:pgMar w:left="1418" w:right="851" w:gutter="0" w:header="567" w:top="1134" w:footer="314"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23</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35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 xml:space="preserve">Условие о размере авансового платежа в размере не менее 50 (пятидесяти) процентов от стоимости Товара предусматривается в  договорах, заключаемых в соответствии с Федеральным законом от 18.07.2011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17.07.2015 № 719 </w:t>
        <w:br/>
        <w:t>«О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Договора).</w:t>
      </w:r>
    </w:p>
  </w:footnote>
  <w:footnote w:id="5">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Договора о закупке кранового оборудования.</w:t>
      </w:r>
    </w:p>
  </w:footnote>
  <w:footnote w:id="6">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Заказчика.</w:t>
      </w:r>
    </w:p>
  </w:footnote>
  <w:footnote w:id="7">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Заказчика.</w:t>
      </w:r>
    </w:p>
  </w:footnote>
  <w:footnote w:id="8">
    <w:p>
      <w:pPr>
        <w:pStyle w:val="FootnoteText"/>
        <w:jc w:val="both"/>
        <w:rPr/>
      </w:pPr>
      <w:r>
        <w:rPr>
          <w:rStyle w:val="Style14"/>
        </w:rPr>
        <w:footnoteRef/>
      </w:r>
      <w:r>
        <w:rPr/>
        <w:t xml:space="preserve"> </w:t>
      </w:r>
      <w:r>
        <w:rPr/>
        <w:t>В случае если Контрагент – МСП, при этом Заказчик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10">
    <w:p>
      <w:pPr>
        <w:pStyle w:val="FootnoteText"/>
        <w:jc w:val="both"/>
        <w:rPr/>
      </w:pPr>
      <w:r>
        <w:rPr>
          <w:rStyle w:val="Style14"/>
        </w:rPr>
        <w:footnoteRef/>
      </w:r>
      <w:r>
        <w:rPr/>
        <w:t xml:space="preserve"> </w:t>
      </w:r>
      <w:r>
        <w:rPr/>
        <w:t xml:space="preserve">Указанное условие включается в Договор, если Договором предусмотрена поставка оборудования, входящего в перечень, утвержденный приказом Минпромторга России от 22.02.2022 № 544 «Об утверждении перечня оборудования, эксплуатируемого по итогам реализации проектов по модернизации, реконструкции или строительству генерирующих объектов тепловых электростанций, включенных в перечень генерирующих объектов тепловых электростанций, подлежащих модернизации (реконструкции) или строительству </w:t>
        <w:br/>
        <w:t>в неценовых зонах оптового рынка электрической энергии и мощности, в отношении которого необходимо получить заключение о подтверждении производства промышленной продукции на территории Российской Федерации» (или заменяющим его документом).</w:t>
      </w:r>
    </w:p>
  </w:footnote>
  <w:footnote w:id="11">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12">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 / ограничительные меры. Форма Дополнительного соглашения является типовой (ТФД № 12.3)</w:t>
      </w:r>
      <w:r>
        <w:rPr/>
        <w:t>.</w:t>
      </w:r>
    </w:p>
  </w:footnote>
  <w:footnote w:id="13">
    <w:p>
      <w:pPr>
        <w:pStyle w:val="FootnoteText"/>
        <w:jc w:val="both"/>
        <w:rPr/>
      </w:pPr>
      <w:r>
        <w:rPr>
          <w:rStyle w:val="Style14"/>
        </w:rPr>
        <w:footnoteRef/>
      </w:r>
      <w:r>
        <w:rP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4">
    <w:p>
      <w:pPr>
        <w:pStyle w:val="FootnoteText"/>
        <w:jc w:val="both"/>
        <w:rPr>
          <w:szCs w:val="24"/>
          <w:highlight w:val="lightGray"/>
        </w:rPr>
      </w:pPr>
      <w:r>
        <w:rPr>
          <w:rStyle w:val="Style14"/>
        </w:rPr>
        <w:footnoteRef/>
      </w:r>
      <w:r>
        <w:rPr/>
        <w:t xml:space="preserve"> </w:t>
      </w:r>
      <w:r>
        <w:rPr>
          <w:highlight w:val="lightGray"/>
        </w:rPr>
        <w:t>Необходимость включения данного пункта определяется в соответствии с приказом ПАО «РусГидро</w:t>
      </w:r>
      <w:r>
        <w:rPr>
          <w:szCs w:val="24"/>
          <w:highlight w:val="lightGray"/>
        </w:rPr>
        <w:t xml:space="preserve">» </w:t>
        <w:br/>
        <w:t>от 12.01.2021 № 4.</w:t>
      </w:r>
    </w:p>
  </w:footnote>
  <w:footnote w:id="15">
    <w:p>
      <w:pPr>
        <w:pStyle w:val="FootnoteText"/>
        <w:jc w:val="both"/>
        <w:rPr/>
      </w:pPr>
      <w:r>
        <w:rPr>
          <w:rStyle w:val="Style14"/>
        </w:rPr>
        <w:footnoteRef/>
      </w:r>
      <w:r>
        <w:rPr/>
        <w:t xml:space="preserve"> </w:t>
      </w:r>
      <w:r>
        <w:rPr/>
        <w:t>Указанное условие включается в Договор, если в пункте 4.8 Договора установлена обязанность Поставщика предоставить Покупателю копию(-и) заключения(-ий) о подтверждении производства Товара на территории Российской Федерации, 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w:t>
      </w:r>
    </w:p>
  </w:footnote>
  <w:footnote w:id="16">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7">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8">
    <w:p>
      <w:pPr>
        <w:pStyle w:val="FootnoteText"/>
        <w:jc w:val="both"/>
        <w:rPr/>
      </w:pPr>
      <w:r>
        <w:rPr>
          <w:rStyle w:val="Style14"/>
        </w:rPr>
        <w:footnoteRef/>
      </w:r>
      <w:r>
        <w:rPr/>
        <w:t xml:space="preserve"> </w:t>
      </w:r>
      <w:r>
        <w:rPr/>
        <w:t>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9">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20">
    <w:p>
      <w:pPr>
        <w:pStyle w:val="FootnoteText"/>
        <w:jc w:val="both"/>
        <w:rPr/>
      </w:pPr>
      <w:r>
        <w:rPr>
          <w:rStyle w:val="Style14"/>
        </w:rPr>
        <w:footnoteRef/>
      </w:r>
      <w:r>
        <w:rPr/>
        <w:t xml:space="preserve"> </w:t>
      </w:r>
      <w:r>
        <w:rPr/>
        <w:t xml:space="preserve">В соответствии с Общероссийским классификатором стран мира (утв. постановлением Госстандарта России </w:t>
        <w:br/>
        <w:t>от 14.12.2001 № 529-ст).</w:t>
      </w:r>
    </w:p>
  </w:footnote>
  <w:footnote w:id="21">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Товар  включен</w:t>
      </w:r>
      <w:bookmarkStart w:id="12" w:name="_GoBack_Копия_1_Копия_1_Копия_1_Копия_1"/>
      <w:bookmarkEnd w:id="12"/>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22">
    <w:p>
      <w:pPr>
        <w:pStyle w:val="FootnoteText"/>
        <w:jc w:val="both"/>
        <w:rPr/>
      </w:pPr>
      <w:r>
        <w:rPr>
          <w:rStyle w:val="Style14"/>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23">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24">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25">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26">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7">
    <w:p>
      <w:pPr>
        <w:pStyle w:val="FootnoteText"/>
        <w:jc w:val="both"/>
        <w:rPr/>
      </w:pPr>
      <w:r>
        <w:rPr>
          <w:rStyle w:val="Style14"/>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8">
    <w:p>
      <w:pPr>
        <w:pStyle w:val="FootnoteText"/>
        <w:jc w:val="both"/>
        <w:rPr/>
      </w:pPr>
      <w:r>
        <w:rPr>
          <w:rStyle w:val="Style14"/>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64" w:leader="none"/>
      </w:tabs>
      <w:ind w:left="8364" w:hanging="426"/>
      <w:rPr>
        <w:i/>
        <w:i/>
      </w:rPr>
    </w:pPr>
    <w:r>
      <w:rPr/>
      <w:t xml:space="preserve">ТФД № </w:t>
    </w:r>
    <w:r>
      <w:rPr>
        <w:lang w:val="en-US"/>
      </w:rPr>
      <w:t>2</w:t>
    </w:r>
    <w:r>
      <w:rPr/>
      <w:t>.2.3.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 </w:t>
    </w:r>
    <w:r>
      <w:rPr/>
      <w:t>ТФД № 2.2.3.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3">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6">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7">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9">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trackRevision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
    <w:name w:val="Line Number"/>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yperlink" Target="http://www.cbr.ru/" TargetMode="External"/><Relationship Id="rId10" Type="http://schemas.openxmlformats.org/officeDocument/2006/relationships/image" Target="media/image1.png"/><Relationship Id="rId11" Type="http://schemas.openxmlformats.org/officeDocument/2006/relationships/image" Target="media/image2.wmf"/><Relationship Id="rId12" Type="http://schemas.openxmlformats.org/officeDocument/2006/relationships/image" Target="media/image3.wmf"/><Relationship Id="rId13" Type="http://schemas.openxmlformats.org/officeDocument/2006/relationships/image" Target="media/image4.wmf"/><Relationship Id="rId14" Type="http://schemas.openxmlformats.org/officeDocument/2006/relationships/image" Target="media/image5.wmf"/><Relationship Id="rId15" Type="http://schemas.openxmlformats.org/officeDocument/2006/relationships/image" Target="media/image6.wmf"/><Relationship Id="rId16" Type="http://schemas.openxmlformats.org/officeDocument/2006/relationships/image" Target="media/image7.wmf"/><Relationship Id="rId17" Type="http://schemas.openxmlformats.org/officeDocument/2006/relationships/image" Target="media/image8.wmf"/><Relationship Id="rId18" Type="http://schemas.openxmlformats.org/officeDocument/2006/relationships/image" Target="media/image9.wmf"/><Relationship Id="rId19" Type="http://schemas.openxmlformats.org/officeDocument/2006/relationships/image" Target="media/image10.wmf"/><Relationship Id="rId20" Type="http://schemas.openxmlformats.org/officeDocument/2006/relationships/image" Target="media/image11.wmf"/><Relationship Id="rId21" Type="http://schemas.openxmlformats.org/officeDocument/2006/relationships/image" Target="media/image12.wmf"/><Relationship Id="rId22" Type="http://schemas.openxmlformats.org/officeDocument/2006/relationships/image" Target="media/image13.wmf"/><Relationship Id="rId23" Type="http://schemas.openxmlformats.org/officeDocument/2006/relationships/image" Target="media/image14.wmf"/><Relationship Id="rId24" Type="http://schemas.openxmlformats.org/officeDocument/2006/relationships/image" Target="media/image15.wmf"/><Relationship Id="rId25" Type="http://schemas.openxmlformats.org/officeDocument/2006/relationships/image" Target="media/image16.wmf"/><Relationship Id="rId26" Type="http://schemas.openxmlformats.org/officeDocument/2006/relationships/image" Target="media/image17.wmf"/><Relationship Id="rId27" Type="http://schemas.openxmlformats.org/officeDocument/2006/relationships/image" Target="media/image18.wmf"/><Relationship Id="rId28" Type="http://schemas.openxmlformats.org/officeDocument/2006/relationships/image" Target="media/image19.wmf"/><Relationship Id="rId29" Type="http://schemas.openxmlformats.org/officeDocument/2006/relationships/image" Target="media/image20.wmf"/><Relationship Id="rId30" Type="http://schemas.openxmlformats.org/officeDocument/2006/relationships/image" Target="media/image21.wmf"/><Relationship Id="rId31" Type="http://schemas.openxmlformats.org/officeDocument/2006/relationships/image" Target="media/image22.wmf"/><Relationship Id="rId32" Type="http://schemas.openxmlformats.org/officeDocument/2006/relationships/image" Target="media/image21.wmf"/><Relationship Id="rId33" Type="http://schemas.openxmlformats.org/officeDocument/2006/relationships/image" Target="media/image22.wmf"/><Relationship Id="rId34" Type="http://schemas.openxmlformats.org/officeDocument/2006/relationships/header" Target="header3.xml"/><Relationship Id="rId35" Type="http://schemas.openxmlformats.org/officeDocument/2006/relationships/header" Target="header4.xml"/><Relationship Id="rId36" Type="http://schemas.openxmlformats.org/officeDocument/2006/relationships/footer" Target="footer2.xml"/><Relationship Id="rId37" Type="http://schemas.openxmlformats.org/officeDocument/2006/relationships/footer" Target="footer3.xml"/><Relationship Id="rId38" Type="http://schemas.openxmlformats.org/officeDocument/2006/relationships/footnotes" Target="footnotes.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Relationship Id="rId43" Type="http://schemas.openxmlformats.org/officeDocument/2006/relationships/customXml" Target="../customXml/item1.xml"/><Relationship Id="rId44" Type="http://schemas.openxmlformats.org/officeDocument/2006/relationships/customXml" Target="../customXml/item2.xml"/><Relationship Id="rId45" Type="http://schemas.openxmlformats.org/officeDocument/2006/relationships/customXml" Target="../customXml/item3.xml"/><Relationship Id="rId46"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DC28637-82A2-4882-B880-456EC7FD591C}">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396</TotalTime>
  <Application>AlterOffice/3.4.0.9$Linux_X86_64 LibreOffice_project/b8daf9e823b1a5463a2f48435ddc2e8696e7d4fc</Application>
  <AppVersion>15.0000</AppVersion>
  <Pages>35</Pages>
  <Words>12135</Words>
  <Characters>87321</Characters>
  <CharactersWithSpaces>91324</CharactersWithSpaces>
  <Paragraphs>540</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2024-04-03T13:12:00Z</dcterms:created>
  <dc:creator>tsypilev_ag</dc:creator>
  <dc:description/>
  <dc:language>ru-RU</dc:language>
  <cp:lastModifiedBy>shemyakinvv@corp.gidroogk.com</cp:lastModifiedBy>
  <cp:lastPrinted>2018-05-22T09:46:00Z</cp:lastPrinted>
  <dcterms:modified xsi:type="dcterms:W3CDTF">2026-08-18T17:39:16Z</dcterms:modified>
  <cp:revision>51</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