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5667"/>
        <w:gridCol w:w="4253"/>
      </w:tblGrid>
      <w:tr>
        <w:trPr/>
        <w:tc>
          <w:tcPr>
            <w:tcW w:w="5667" w:type="dxa"/>
            <w:tcBorders/>
          </w:tcPr>
          <w:p>
            <w:pPr>
              <w:pStyle w:val="Style36"/>
              <w:widowControl w:val="false"/>
              <w:rPr/>
            </w:pPr>
            <w:r>
              <w:rPr/>
            </w:r>
          </w:p>
        </w:tc>
        <w:tc>
          <w:tcPr>
            <w:tcW w:w="4253" w:type="dxa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green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ТМЦ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«ОКПД 2 26.20.30</w:t>
      </w:r>
      <w:r>
        <w:rPr>
          <w:rFonts w:eastAsia="Calibri"/>
          <w:b/>
          <w:i w:val="false"/>
          <w:caps w:val="false"/>
          <w:smallCaps w:val="false"/>
          <w:color w:val="333333"/>
          <w:spacing w:val="0"/>
          <w:sz w:val="28"/>
          <w:szCs w:val="28"/>
        </w:rPr>
        <w:t xml:space="preserve"> — Устройства автоматической обработки данных прочие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42257_3144531423">
            <w:r>
              <w:rPr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59_3144531423">
            <w:r>
              <w:rPr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1_3144531423">
            <w:r>
              <w:rPr>
                <w:rStyle w:val="Style14"/>
                <w:vanish w:val="false"/>
              </w:rPr>
              <w:t>1.2. Наименование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3_3144531423">
            <w:r>
              <w:rPr>
                <w:rStyle w:val="Style14"/>
                <w:vanish w:val="false"/>
              </w:rPr>
              <w:t>1.3. Цель использования закупаемой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5_3144531423">
            <w:r>
              <w:rPr>
                <w:rStyle w:val="Style14"/>
                <w:vanish w:val="false"/>
              </w:rPr>
              <w:t>1.4. Существующее положение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42267_3144531423">
            <w:r>
              <w:rPr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242269_3144531423">
            <w:r>
              <w:rPr>
                <w:rStyle w:val="Style14"/>
                <w:vanish w:val="false"/>
              </w:rPr>
              <w:t>2.1. Требования к объемам и срокам поставки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42271_3144531423">
            <w:r>
              <w:rPr>
                <w:rStyle w:val="Style14"/>
                <w:vanish w:val="false"/>
              </w:rPr>
              <w:t>2.1.1. Перечень и объем закупаемой продукции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0"/>
              <w:szCs w:val="20"/>
              <w:lang w:val="ru-RU" w:eastAsia="ru-RU" w:bidi="ar-SA"/>
            </w:rPr>
            <w:t>2.1.2</w:t>
          </w:r>
          <w:r>
            <w:rPr>
              <w:rFonts w:eastAsia="Times New Roman" w:cs="Calibri Light (Заголовки)"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 xml:space="preserve"> </w:t>
          </w: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0"/>
              <w:szCs w:val="20"/>
              <w:lang w:val="ru-RU" w:eastAsia="ru-RU" w:bidi="ar-SA"/>
            </w:rPr>
            <w:t xml:space="preserve">Таблица 1.1 Перечень и </w:t>
          </w: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4"/>
              <w:szCs w:val="24"/>
              <w:lang w:val="ru-RU" w:eastAsia="ru-RU" w:bidi="ar-SA"/>
            </w:rPr>
            <w:t>о</w:t>
          </w:r>
          <w:r>
            <w:rPr>
              <w:rFonts w:eastAsia="Times New Roman" w:cs="Calibri Light (Заголовки)"/>
              <w:b w:val="false"/>
              <w:bCs w:val="false"/>
              <w:vanish w:val="false"/>
              <w:color w:val="auto"/>
              <w:kern w:val="0"/>
              <w:sz w:val="20"/>
              <w:szCs w:val="20"/>
              <w:lang w:val="ru-RU" w:eastAsia="ru-RU" w:bidi="ar-SA"/>
            </w:rPr>
            <w:t>бъем закупаемой продукции</w:t>
            <w:tab/>
            <w:t>4</w:t>
          </w:r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42277_3144531423">
            <w:r>
              <w:rPr>
                <w:rStyle w:val="Style14"/>
                <w:vanish w:val="false"/>
              </w:rPr>
              <w:t>2.1.3.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r>
            <w:rPr/>
            <w:t>2.1.4 Таблица 2.1 Требования по срокам поставки продукции………………………………………………………..5</w:t>
          </w:r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42281_3144531423">
            <w:r>
              <w:rPr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r>
            <w:rPr>
              <w:vanish w:val="false"/>
            </w:rPr>
            <w:t xml:space="preserve">2.2.1 </w:t>
          </w:r>
          <w:hyperlink w:anchor="__RefHeading___Toc242283_3144531423">
            <w:r>
              <w:rPr>
                <w:rStyle w:val="Style14"/>
              </w:rPr>
              <w:t>Таблица 3. Требования к продукции</w:t>
              <w:tab/>
              <w:t>6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42285_3144531423">
            <w:r>
              <w:rPr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>
              <w:vanish w:val="false"/>
            </w:rPr>
            <w:t>1</w:t>
          </w:r>
        </w:p>
        <w:p>
          <w:pPr>
            <w:pStyle w:val="Heading3"/>
            <w:numPr>
              <w:ilvl w:val="0"/>
              <w:numId w:val="0"/>
            </w:numPr>
            <w:ind w:left="1224" w:hanging="0"/>
            <w:rPr/>
          </w:pPr>
          <w:r>
            <w:rPr/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i/>
              <w:i/>
              <w:sz w:val="24"/>
              <w:szCs w:val="24"/>
            </w:rPr>
          </w:pPr>
          <w:r>
            <w:rPr>
              <w:rFonts w:eastAsia="Calibri"/>
              <w:b/>
              <w:i/>
              <w:sz w:val="24"/>
              <w:szCs w:val="24"/>
            </w:rPr>
          </w:r>
          <w:r>
            <w:br w:type="page"/>
          </w:r>
        </w:p>
        <w:p>
          <w:pPr>
            <w:pStyle w:val="Heading1"/>
            <w:numPr>
              <w:ilvl w:val="0"/>
              <w:numId w:val="1"/>
            </w:numPr>
            <w:rPr>
              <w:caps/>
            </w:rPr>
          </w:pPr>
          <w:bookmarkStart w:id="0" w:name="__RefHeading___Toc242257_3144531423"/>
          <w:bookmarkStart w:id="1" w:name="_Toc123200594"/>
          <w:bookmarkStart w:id="2" w:name="_Toc51339692"/>
          <w:bookmarkStart w:id="3" w:name="_Toc156825734"/>
          <w:bookmarkEnd w:id="0"/>
          <w:bookmarkEnd w:id="2"/>
          <w:r>
            <w:rPr/>
            <w:t>Общие сведения</w:t>
          </w:r>
          <w:bookmarkEnd w:id="1"/>
          <w:bookmarkEnd w:id="3"/>
        </w:p>
        <w:p>
          <w:pPr>
            <w:pStyle w:val="Heading4"/>
            <w:numPr>
              <w:ilvl w:val="1"/>
              <w:numId w:val="1"/>
            </w:numPr>
            <w:rPr/>
          </w:pPr>
          <w:bookmarkStart w:id="4" w:name="__RefHeading___Toc242259_3144531423"/>
          <w:bookmarkStart w:id="5" w:name="_Toc156825735"/>
          <w:bookmarkStart w:id="6" w:name="_Toc123200595"/>
          <w:bookmarkStart w:id="7" w:name="_Toc46743505"/>
          <w:bookmarkEnd w:id="4"/>
          <w:bookmarkEnd w:id="7"/>
          <w:r>
            <w:rPr/>
            <w:t>Обозначения и сокращения</w:t>
          </w:r>
          <w:bookmarkEnd w:id="5"/>
          <w:bookmarkEnd w:id="6"/>
        </w:p>
        <w:p>
          <w:pPr>
            <w:pStyle w:val="Normal"/>
            <w:rPr>
              <w:rStyle w:val="Style8"/>
            </w:rPr>
          </w:pPr>
          <w:r>
            <w:rPr/>
          </w:r>
        </w:p>
      </w:sdtContent>
    </w:sdt>
    <w:tbl>
      <w:tblPr>
        <w:tblW w:w="9783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обособленное подразделение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Cs/>
                <w:i w:val="false"/>
                <w:i w:val="false"/>
                <w:i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ССИиТС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служба связи, информационных и технологических систем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ТМЦ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товарно-материальные ценности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/>
      </w:pPr>
      <w:bookmarkStart w:id="8" w:name="__RefHeading___Toc242261_3144531423"/>
      <w:bookmarkStart w:id="9" w:name="_Toc123200596"/>
      <w:bookmarkStart w:id="10" w:name="_Toc156825736"/>
      <w:bookmarkStart w:id="11" w:name="_Toc46743506"/>
      <w:bookmarkEnd w:id="8"/>
      <w:bookmarkEnd w:id="11"/>
      <w:r>
        <w:rPr/>
        <w:t>Наименование закупаемой продукции</w:t>
      </w:r>
      <w:bookmarkEnd w:id="9"/>
      <w:bookmarkEnd w:id="10"/>
    </w:p>
    <w:p>
      <w:pPr>
        <w:pStyle w:val="Normal"/>
        <w:keepNext w:val="true"/>
        <w:keepLines/>
        <w:rPr>
          <w:color w:val="000000"/>
        </w:rPr>
      </w:pPr>
      <w:bookmarkStart w:id="12" w:name="_Toc156825737"/>
      <w:bookmarkStart w:id="13" w:name="_Toc123200597"/>
      <w:r>
        <w:rPr>
          <w:rFonts w:eastAsia="Calibri"/>
          <w:color w:val="000000"/>
          <w:sz w:val="24"/>
          <w:szCs w:val="24"/>
        </w:rPr>
        <w:t>«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ОКПД 2 26.20.30 Устройства автоматической обработки данных прочие</w:t>
      </w:r>
      <w:r>
        <w:rPr>
          <w:rFonts w:eastAsia="Calibri"/>
          <w:color w:val="000000"/>
          <w:sz w:val="24"/>
          <w:szCs w:val="24"/>
        </w:rPr>
        <w:t>»</w:t>
      </w:r>
    </w:p>
    <w:p>
      <w:pPr>
        <w:pStyle w:val="Heading4"/>
        <w:numPr>
          <w:ilvl w:val="1"/>
          <w:numId w:val="1"/>
        </w:numPr>
        <w:rPr/>
      </w:pPr>
      <w:bookmarkStart w:id="14" w:name="_Toc46743507"/>
      <w:r>
        <w:rPr/>
        <w:t xml:space="preserve">Цель </w:t>
      </w:r>
      <w:bookmarkEnd w:id="14"/>
      <w:r>
        <w:rPr/>
        <w:t>использования закупаемой продукции</w:t>
      </w:r>
      <w:bookmarkEnd w:id="12"/>
      <w:bookmarkEnd w:id="13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eastAsia="Calibri"/>
          <w:sz w:val="24"/>
          <w:szCs w:val="24"/>
        </w:rPr>
      </w:pPr>
      <w:bookmarkStart w:id="15" w:name="__RefHeading___Toc242265_3144531423"/>
      <w:bookmarkEnd w:id="15"/>
      <w:r>
        <w:rPr>
          <w:rFonts w:eastAsia="Calibri"/>
          <w:sz w:val="24"/>
          <w:szCs w:val="24"/>
        </w:rPr>
        <w:t xml:space="preserve">Поставка </w:t>
      </w: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Устройств автоматической обработки данных прочие </w:t>
      </w:r>
      <w:r>
        <w:rPr>
          <w:rFonts w:eastAsia="Calibri"/>
          <w:sz w:val="24"/>
          <w:szCs w:val="24"/>
        </w:rPr>
        <w:t>производится для эксплуатации информационно-технологических систем Филиала с целью:</w:t>
      </w:r>
    </w:p>
    <w:p>
      <w:pPr>
        <w:pStyle w:val="Heading3"/>
        <w:ind w:left="1224" w:hanging="1224"/>
        <w:rPr>
          <w:b w:val="false"/>
        </w:rPr>
      </w:pPr>
      <w:bookmarkStart w:id="16" w:name="_Toc125039220"/>
      <w:bookmarkStart w:id="17" w:name="_Toc125036745"/>
      <w:r>
        <w:rPr>
          <w:b w:val="false"/>
        </w:rPr>
        <w:t>поддержания уровня надёжности, эффективности и безаварийности работы основного и вспомогательного оборудования, оборудования информационно-технологических систем и комплексов;</w:t>
      </w:r>
      <w:bookmarkEnd w:id="16"/>
      <w:bookmarkEnd w:id="17"/>
    </w:p>
    <w:p>
      <w:pPr>
        <w:pStyle w:val="Heading3"/>
        <w:ind w:left="1224" w:hanging="1224"/>
        <w:rPr>
          <w:b w:val="false"/>
        </w:rPr>
      </w:pPr>
      <w:r>
        <w:rPr>
          <w:b w:val="false"/>
        </w:rPr>
        <w:t>о</w:t>
      </w:r>
      <w:r>
        <w:rPr>
          <w:b w:val="false"/>
          <w:spacing w:val="-6"/>
        </w:rPr>
        <w:t xml:space="preserve">беспечение бесперебойной работы установок вентиляции и дымоудаления маслохозяйства </w:t>
      </w:r>
      <w:r>
        <w:rPr>
          <w:rFonts w:eastAsia="Calibri"/>
          <w:b w:val="false"/>
          <w:spacing w:val="-6"/>
          <w:sz w:val="24"/>
          <w:szCs w:val="24"/>
        </w:rPr>
        <w:t>Филиала ПАО «РусГидро» - «Чебоксарская ГЭС»</w:t>
      </w:r>
      <w:r>
        <w:rPr>
          <w:b w:val="false"/>
          <w:spacing w:val="-6"/>
        </w:rPr>
        <w:t xml:space="preserve"> в ручном и автоматическом режиме</w:t>
      </w:r>
    </w:p>
    <w:p>
      <w:pPr>
        <w:pStyle w:val="Heading3"/>
        <w:ind w:left="1224" w:hanging="1224"/>
        <w:rPr>
          <w:b w:val="false"/>
        </w:rPr>
      </w:pPr>
      <w:bookmarkStart w:id="18" w:name="_Toc125039222"/>
      <w:bookmarkStart w:id="19" w:name="_Toc125036747"/>
      <w:r>
        <w:rPr>
          <w:b w:val="false"/>
          <w:lang w:val="ru-RU" w:eastAsia="ru-RU"/>
        </w:rPr>
        <w:t>обеспечения надежности электроэнергетических систем, надежности и безопасности объектов электроэнергетики и энергопринимающих установок согласно «Правил организации технического обслуживания и ремонта объектов электроэнергетики», утвержденных приказом Минэнерго России от 25.10.2017 № 1013.</w:t>
      </w:r>
      <w:bookmarkEnd w:id="18"/>
      <w:bookmarkEnd w:id="19"/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Fonts w:eastAsia="Calibri"/>
          <w:sz w:val="24"/>
          <w:szCs w:val="24"/>
          <w:lang w:val="x-none"/>
        </w:rPr>
      </w:pPr>
      <w:r>
        <w:rPr>
          <w:rFonts w:eastAsia="Calibri"/>
          <w:sz w:val="24"/>
          <w:szCs w:val="24"/>
          <w:lang w:val="x-none"/>
        </w:rPr>
      </w:r>
    </w:p>
    <w:p>
      <w:pPr>
        <w:pStyle w:val="Heading4"/>
        <w:numPr>
          <w:ilvl w:val="1"/>
          <w:numId w:val="1"/>
        </w:numPr>
        <w:rPr/>
      </w:pPr>
      <w:bookmarkStart w:id="20" w:name="_Toc156825738"/>
      <w:bookmarkStart w:id="21" w:name="_Toc123200598"/>
      <w:bookmarkStart w:id="22" w:name="_Toc46743508"/>
      <w:r>
        <w:rPr/>
        <w:t>Существующее положение</w:t>
      </w:r>
      <w:bookmarkEnd w:id="20"/>
      <w:bookmarkEnd w:id="21"/>
      <w:bookmarkEnd w:id="22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Fonts w:eastAsia="Calibri"/>
          <w:sz w:val="24"/>
          <w:szCs w:val="24"/>
          <w:highlight w:val="green"/>
          <w:lang w:eastAsia="x-none"/>
        </w:rPr>
      </w:pPr>
      <w:r>
        <w:rPr>
          <w:rFonts w:eastAsia="Calibri"/>
          <w:sz w:val="24"/>
          <w:szCs w:val="24"/>
          <w:shd w:fill="auto" w:val="clear"/>
          <w:lang w:eastAsia="x-none"/>
        </w:rPr>
        <w:t xml:space="preserve"> </w:t>
      </w:r>
      <w:r>
        <w:rPr>
          <w:rFonts w:eastAsia="Calibri"/>
          <w:sz w:val="24"/>
          <w:szCs w:val="24"/>
          <w:shd w:fill="auto" w:val="clear"/>
          <w:lang w:eastAsia="x-none"/>
        </w:rPr>
        <w:t>В настоящее время в венткамерах маслохозяйства на отм. 50,8 располагаются шкафы управления ЩА-П119-П121; ЩА-В116,В117; ЩА-П109, предназначенные для управления и автоматической работы вентустановок.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highlight w:val="none"/>
          <w:shd w:fill="auto" w:val="clear"/>
        </w:rPr>
      </w:pPr>
      <w:r>
        <w:rPr>
          <w:rFonts w:eastAsia="Calibri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eastAsia="x-none"/>
        </w:rPr>
        <w:t>На данный момент известно, что контроллеры установленные в шкафах управления ЩА-П119-П121; ЩА-В116,В117; ЩА-П109 вышли из строя. Необходимо проведение закупки ТМЦ для замены контроллеров.</w:t>
      </w:r>
    </w:p>
    <w:p>
      <w:pPr>
        <w:pStyle w:val="Heading1"/>
        <w:numPr>
          <w:ilvl w:val="0"/>
          <w:numId w:val="1"/>
        </w:numPr>
        <w:ind w:left="3828" w:hanging="425"/>
        <w:rPr/>
      </w:pPr>
      <w:bookmarkStart w:id="23" w:name="__RefHeading___Toc242267_3144531423"/>
      <w:bookmarkStart w:id="24" w:name="_Toc123200599"/>
      <w:bookmarkStart w:id="25" w:name="_Toc156825739"/>
      <w:bookmarkStart w:id="26" w:name="_Toc51339693"/>
      <w:bookmarkStart w:id="27" w:name="_Hlk48209761"/>
      <w:bookmarkEnd w:id="23"/>
      <w:bookmarkEnd w:id="26"/>
      <w:bookmarkEnd w:id="27"/>
      <w:r>
        <w:rPr/>
        <w:t>Требования к продукции</w:t>
      </w:r>
      <w:bookmarkEnd w:id="24"/>
      <w:bookmarkEnd w:id="25"/>
    </w:p>
    <w:p>
      <w:pPr>
        <w:pStyle w:val="Heading4"/>
        <w:numPr>
          <w:ilvl w:val="1"/>
          <w:numId w:val="1"/>
        </w:numPr>
        <w:rPr/>
      </w:pPr>
      <w:bookmarkStart w:id="28" w:name="__RefHeading___Toc242269_3144531423"/>
      <w:bookmarkStart w:id="29" w:name="_Toc123200600"/>
      <w:bookmarkStart w:id="30" w:name="_Toc156825740"/>
      <w:bookmarkEnd w:id="28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9"/>
      <w:bookmarkEnd w:id="30"/>
    </w:p>
    <w:p>
      <w:pPr>
        <w:pStyle w:val="Heading3"/>
        <w:ind w:left="567" w:hanging="567"/>
        <w:rPr/>
      </w:pPr>
      <w:bookmarkStart w:id="31" w:name="__RefHeading___Toc242271_3144531423"/>
      <w:bookmarkStart w:id="32" w:name="_Toc123200601"/>
      <w:bookmarkStart w:id="33" w:name="_Toc156825741"/>
      <w:bookmarkEnd w:id="31"/>
      <w:r>
        <w:rPr/>
        <w:t>Перечень и объем закупаемой продукции</w:t>
      </w:r>
      <w:bookmarkEnd w:id="32"/>
      <w:bookmarkEnd w:id="33"/>
    </w:p>
    <w:p>
      <w:pPr>
        <w:pStyle w:val="Heading3"/>
        <w:ind w:left="709" w:hanging="709"/>
        <w:rPr/>
      </w:pPr>
      <w:bookmarkStart w:id="34" w:name="__RefHeading___Toc242273_3144531423"/>
      <w:bookmarkStart w:id="35" w:name="_Toc156825742"/>
      <w:bookmarkStart w:id="36" w:name="_Toc123200602"/>
      <w:bookmarkStart w:id="37" w:name="_Toc51339695"/>
      <w:bookmarkEnd w:id="34"/>
      <w:r>
        <w:rPr/>
        <w:t xml:space="preserve">Таблица 1.1 Перечень </w:t>
      </w:r>
      <w:bookmarkEnd w:id="37"/>
      <w:r>
        <w:rPr/>
        <w:t>и объем закупаемой продукции</w:t>
      </w:r>
      <w:bookmarkEnd w:id="35"/>
      <w:bookmarkEnd w:id="36"/>
    </w:p>
    <w:tbl>
      <w:tblPr>
        <w:tblW w:w="10348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9"/>
        <w:gridCol w:w="3828"/>
        <w:gridCol w:w="1416"/>
        <w:gridCol w:w="2733"/>
        <w:gridCol w:w="852"/>
        <w:gridCol w:w="849"/>
      </w:tblGrid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Законодательство о национальном режиме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>
        <w:trPr>
          <w:trHeight w:val="21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роцессор автоматизации КАСКАД АР-8-0-0-1-0-0-УХЛ 4.1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26.20.30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szCs w:val="20"/>
                <w:u w:val="none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  <w:t>е применяется                    (установлено ограничение закупок товаров иностранного происхождения)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8-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канальный модуль дискретных и счётных входов WB-MCM8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26.20.30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szCs w:val="20"/>
                <w:u w:val="none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  <w:t>е применяется                             (установлено ограничение закупок товаров иностранного происхождения)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842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реле WB-MRPS6/S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26.20.30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szCs w:val="20"/>
                <w:u w:val="none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  <w:t>е применяется                             (установлено ограничение закупок товаров иностранного происхождения)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ввода WB-MAI6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color w:val="000000"/>
              </w:rPr>
            </w:pPr>
            <w:r>
              <w:rPr>
                <w:rFonts w:eastAsia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26.20.30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szCs w:val="20"/>
                <w:u w:val="none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  <w:t>е применяется                             (установлено ограничение закупок товаров иностранного происхождения)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вывода WB-MAO4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26.20.30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szCs w:val="20"/>
                <w:u w:val="none"/>
                <w:em w:val="none"/>
              </w:rPr>
              <w:t>н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17"/>
                <w:u w:val="none"/>
                <w:em w:val="none"/>
              </w:rPr>
              <w:t>е применяется                             (установлено ограничение закупок товаров иностранного происхождения)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hanging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  <w:bookmarkStart w:id="38" w:name="_GoBack"/>
      <w:bookmarkStart w:id="39" w:name="_GoBack"/>
      <w:bookmarkEnd w:id="39"/>
    </w:p>
    <w:p>
      <w:pPr>
        <w:pStyle w:val="Heading3"/>
        <w:ind w:left="1224" w:hanging="1082"/>
        <w:rPr/>
      </w:pPr>
      <w:bookmarkStart w:id="40" w:name="__RefHeading___Toc242277_3144531423"/>
      <w:bookmarkStart w:id="41" w:name="_Toc156825743"/>
      <w:bookmarkStart w:id="42" w:name="_Toc123200603"/>
      <w:bookmarkStart w:id="43" w:name="_Toc51339696"/>
      <w:bookmarkEnd w:id="40"/>
      <w:r>
        <w:rPr/>
        <w:t xml:space="preserve">Требования </w:t>
      </w:r>
      <w:bookmarkEnd w:id="43"/>
      <w:r>
        <w:rPr/>
        <w:t>к срокам поставки продукции и оказания сопутствующих услуг</w:t>
      </w:r>
      <w:bookmarkEnd w:id="41"/>
      <w:bookmarkEnd w:id="42"/>
    </w:p>
    <w:p>
      <w:pPr>
        <w:pStyle w:val="Heading3"/>
        <w:ind w:left="1224" w:hanging="1082"/>
        <w:rPr>
          <w:lang w:val="ru-RU"/>
        </w:rPr>
      </w:pPr>
      <w:bookmarkStart w:id="44" w:name="__RefHeading___Toc242279_3144531423"/>
      <w:bookmarkStart w:id="45" w:name="_Toc50125127"/>
      <w:bookmarkStart w:id="46" w:name="_Toc51339697"/>
      <w:bookmarkStart w:id="47" w:name="_Toc50125126"/>
      <w:bookmarkStart w:id="48" w:name="_Toc156825744"/>
      <w:bookmarkStart w:id="49" w:name="_Toc123200604"/>
      <w:bookmarkEnd w:id="44"/>
      <w:bookmarkEnd w:id="47"/>
      <w:r>
        <w:rPr/>
        <w:t xml:space="preserve">Таблица </w:t>
      </w:r>
      <w:r>
        <w:rPr>
          <w:lang w:val="ru-RU"/>
        </w:rPr>
        <w:t>2</w:t>
      </w:r>
      <w:r>
        <w:rPr/>
        <w:t>.</w:t>
      </w:r>
      <w:r>
        <w:rPr>
          <w:lang w:val="ru-RU"/>
        </w:rPr>
        <w:t>1</w:t>
      </w:r>
      <w:r>
        <w:rPr/>
        <w:t xml:space="preserve"> </w:t>
      </w:r>
      <w:bookmarkStart w:id="50" w:name="_Hlk50465284"/>
      <w:r>
        <w:rPr/>
        <w:t xml:space="preserve">Требования по срокам </w:t>
      </w:r>
      <w:bookmarkEnd w:id="45"/>
      <w:bookmarkEnd w:id="46"/>
      <w:bookmarkEnd w:id="50"/>
      <w:r>
        <w:rPr>
          <w:lang w:val="ru-RU"/>
        </w:rPr>
        <w:t>поставки продукции</w:t>
      </w:r>
      <w:bookmarkEnd w:id="48"/>
      <w:bookmarkEnd w:id="49"/>
      <w:r>
        <w:rPr>
          <w:lang w:val="ru-RU"/>
        </w:rPr>
        <w:t xml:space="preserve"> </w:t>
      </w:r>
    </w:p>
    <w:tbl>
      <w:tblPr>
        <w:tblW w:w="9776" w:type="dxa"/>
        <w:jc w:val="left"/>
        <w:tblInd w:w="319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2547"/>
        <w:gridCol w:w="2984"/>
        <w:gridCol w:w="3110"/>
      </w:tblGrid>
      <w:tr>
        <w:trPr/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26.20.30 Устройства автоматической обработки данных прочие</w:t>
            </w:r>
          </w:p>
        </w:tc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Начало – с даты, следующей за датой заключения Договора.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Окончание –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 через 60 календарных дней с даты, следующей за датой заключения Договора.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"/>
        </w:numPr>
        <w:rPr/>
      </w:pPr>
      <w:bookmarkStart w:id="51" w:name="__RefHeading___Toc242281_3144531423"/>
      <w:bookmarkStart w:id="52" w:name="_Toc51339698"/>
      <w:bookmarkStart w:id="53" w:name="_Toc123200605"/>
      <w:bookmarkStart w:id="54" w:name="_Toc156825745"/>
      <w:bookmarkStart w:id="55" w:name="_Toc46743511"/>
      <w:bookmarkEnd w:id="51"/>
      <w:r>
        <w:rPr/>
        <w:t xml:space="preserve">Требования к </w:t>
      </w:r>
      <w:bookmarkEnd w:id="55"/>
      <w:r>
        <w:rPr/>
        <w:t>качеству продукции</w:t>
      </w:r>
      <w:bookmarkEnd w:id="53"/>
      <w:bookmarkEnd w:id="54"/>
    </w:p>
    <w:p>
      <w:pPr>
        <w:pStyle w:val="Heading3"/>
        <w:ind w:left="709" w:hanging="709"/>
        <w:rPr/>
      </w:pPr>
      <w:bookmarkStart w:id="56" w:name="__RefHeading___Toc242283_3144531423"/>
      <w:bookmarkEnd w:id="56"/>
      <w:r>
        <w:rPr/>
        <w:t xml:space="preserve"> </w:t>
      </w:r>
      <w:bookmarkStart w:id="57" w:name="_Toc123200606"/>
      <w:bookmarkStart w:id="58" w:name="_Toc156825746"/>
      <w:r>
        <w:rPr/>
        <w:t>Таблица </w:t>
      </w:r>
      <w:r>
        <w:rPr>
          <w:lang w:val="ru-RU"/>
        </w:rPr>
        <w:t>3</w:t>
      </w:r>
      <w:r>
        <w:rPr/>
        <w:t xml:space="preserve">. Требования к </w:t>
      </w:r>
      <w:r>
        <w:rPr>
          <w:lang w:val="ru-RU"/>
        </w:rPr>
        <w:t>продукции</w:t>
      </w:r>
      <w:bookmarkEnd w:id="52"/>
      <w:bookmarkEnd w:id="57"/>
      <w:bookmarkEnd w:id="58"/>
      <w:r>
        <w:rPr/>
        <w:t xml:space="preserve"> </w:t>
      </w:r>
    </w:p>
    <w:p>
      <w:pPr>
        <w:pStyle w:val="ListParagraph"/>
        <w:ind w:left="0" w:firstLine="346"/>
        <w:jc w:val="both"/>
        <w:rPr>
          <w:highlight w:val="green"/>
        </w:rPr>
      </w:pPr>
      <w:r>
        <w:rPr>
          <w:bCs/>
        </w:rPr>
        <w:t xml:space="preserve">Продукция должна быть новой, ранее не использованной, </w:t>
      </w:r>
      <w:r>
        <w:rPr/>
        <w:t>не бывшей в употреблении, не восстановленной после ремонта, не выставочным экземпляром, технически исправной.</w:t>
      </w:r>
    </w:p>
    <w:p>
      <w:pPr>
        <w:pStyle w:val="ListParagraph"/>
        <w:ind w:left="0" w:firstLine="346"/>
        <w:jc w:val="both"/>
        <w:rPr>
          <w:bCs/>
          <w:sz w:val="28"/>
          <w:szCs w:val="28"/>
          <w:highlight w:val="green"/>
        </w:rPr>
      </w:pPr>
      <w:r>
        <w:rPr>
          <w:bCs/>
        </w:rPr>
        <w:t>По качеству и комплектности должна соответствовать действующим на момент поставки ТУ или ГОСТ, указанным в соответствующих сертификатах</w:t>
      </w:r>
      <w:r>
        <w:rPr>
          <w:bCs/>
          <w:sz w:val="28"/>
          <w:szCs w:val="28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tbl>
      <w:tblPr>
        <w:tblStyle w:val="affffa"/>
        <w:tblW w:w="14956" w:type="dxa"/>
        <w:jc w:val="left"/>
        <w:tblInd w:w="314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07"/>
        <w:gridCol w:w="5502"/>
        <w:gridCol w:w="2694"/>
        <w:gridCol w:w="1844"/>
        <w:gridCol w:w="2550"/>
        <w:gridCol w:w="1558"/>
      </w:tblGrid>
      <w:tr>
        <w:trPr/>
        <w:tc>
          <w:tcPr>
            <w:tcW w:w="80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pageBreakBefore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550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269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Покупателя</w:t>
            </w:r>
          </w:p>
        </w:tc>
        <w:tc>
          <w:tcPr>
            <w:tcW w:w="439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Поставщиком соответствия требованиям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Поставщика по характеристикам и параметрам</w:t>
            </w:r>
          </w:p>
        </w:tc>
      </w:tr>
      <w:tr>
        <w:trPr/>
        <w:tc>
          <w:tcPr>
            <w:tcW w:w="80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0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84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5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роцессор автоматизации КАСКАД АР-8-0-0-1-0-0-УХЛ 4.1</w:t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>К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оммуникации: Ethernet 1 шт. 10/100 Мбит/с; RS-485: 2 шт. с гальванической развязкой; RS-232:1 шт. с линиями RTS и CTS, разъем DB9.                                       Поддерживаемые протоколы полевой сети: МЭК 60870-5-101/103/104, Modbus RTU/ASCII/TCP, Меркурий 230, СЭТ 4-ТМ, Энергомера, ВКТ-7, РЗА Сириус, Sepam и другие. Поддерживаемые протоколы верхнего уровня: МЭК 60870-5-104/101, Modbus RTU/TCP, OPC UA/DA/HDA, Microsoft Azure IoT     Каналы ввода-вывода                        Дискретный ввод : 8 изолированных дискретных счетных входов 24В постоянного тока; Дискретный вывод: 8 релейных дискретных выходов, 6А, 230В; Номинальное напряжение питания, постоянный ток, В 9 … 28.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8-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канальный модуль дискретных и счётных входов WB-MCM8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8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дискретных входов типа «сухой контакт»;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групповая гальваническая изоляция входов;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счёт импульсов и измерение частоты на входе;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напряжение питания: 9…28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интерфейс: RS-485, Modbus RTU;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расширенный диапазон температуры эксплуатации: -40…+80 °С;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корпус на DIN-рейку: 2М (36 x 90 x 58 мм).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120" w:after="60"/>
              <w:ind w:left="0" w:hang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реле WB-MRPS6/S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6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каналов реле номиналом 10 А 230 В, переменный ток;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номинальный ток: 10 А на канал;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максимальный длительный ток: 16 А на канал;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максимальный пусковой ток на канал: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165 А (20 мс);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500 А (1.5 мс).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без входов;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напряжение питания: 9…28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интерфейс: RS-485, Modbus RTU;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температура эксплуатации: -40…+80 °С;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корпус на DIN-рейку, 3M (53 x 90 x 58 мм).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ввода WB-MAI6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12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датчиков 4-20мА без внешних резисторов;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12 сигналов 0-10В без внешних делителей;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6 датчиков Pt100 по трёхпроводной схеме;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датчиков NTC 10k;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6 термопар типа K;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датчиков тока на эффекте Холла, например, HSTS016L 30 А или HSTS016L 100 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дискретных сигналов;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источников напряжения до 30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12 источников напряжения до 60 В постоянного тока с использованием WB-VDIV;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или любые комбинации этих и десятков других датчиков.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TOC3"/>
              <w:widowControl w:val="false"/>
              <w:tabs>
                <w:tab w:val="clear" w:pos="708"/>
                <w:tab w:val="right" w:pos="9921" w:leader="dot"/>
              </w:tabs>
              <w:suppressAutoHyphens w:val="true"/>
              <w:bidi w:val="0"/>
              <w:spacing w:before="0" w:after="0"/>
              <w:ind w:left="280" w:hanging="0"/>
              <w:rPr>
                <w:vanish w:val="false"/>
              </w:rPr>
            </w:pPr>
            <w:r>
              <w:rPr>
                <w:vanish w:val="false"/>
              </w:rPr>
            </w:r>
          </w:p>
          <w:p>
            <w:pPr>
              <w:pStyle w:val="TOC3"/>
              <w:widowControl w:val="false"/>
              <w:tabs>
                <w:tab w:val="clear" w:pos="708"/>
                <w:tab w:val="right" w:pos="9921" w:leader="dot"/>
              </w:tabs>
              <w:suppressAutoHyphens w:val="true"/>
              <w:bidi w:val="0"/>
              <w:spacing w:before="0" w:after="0"/>
              <w:ind w:left="280" w:hanging="0"/>
              <w:rPr>
                <w:sz w:val="22"/>
                <w:szCs w:val="22"/>
              </w:rPr>
            </w:pPr>
            <w:r>
              <w:rPr>
                <w:vanish w:val="false"/>
                <w:sz w:val="22"/>
                <w:szCs w:val="22"/>
              </w:rPr>
              <w:t>1.5.</w:t>
            </w:r>
          </w:p>
          <w:p>
            <w:pPr>
              <w:pStyle w:val="TOC3"/>
              <w:widowControl w:val="false"/>
              <w:tabs>
                <w:tab w:val="clear" w:pos="708"/>
                <w:tab w:val="right" w:pos="9921" w:leader="dot"/>
              </w:tabs>
              <w:suppressAutoHyphens w:val="true"/>
              <w:bidi w:val="0"/>
              <w:spacing w:before="0" w:after="0"/>
              <w:ind w:left="28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Heading1"/>
              <w:widowControl w:val="false"/>
              <w:numPr>
                <w:ilvl w:val="0"/>
              </w:numPr>
              <w:spacing w:before="120" w:after="60"/>
              <w:ind w:left="0" w:hanging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2"/>
                <w:szCs w:val="22"/>
                <w:u w:val="none"/>
                <w:em w:val="none"/>
              </w:rPr>
              <w:t>М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одуль аналогового вывода WB-MAO4</w:t>
            </w:r>
          </w:p>
          <w:p>
            <w:pPr>
              <w:pStyle w:val="Normal"/>
              <w:widowControl w:val="false"/>
              <w:spacing w:before="120" w:after="60"/>
              <w:ind w:lef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ru-RU" w:bidi="ar-SA"/>
              </w:rPr>
              <w:t xml:space="preserve">4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выхода 0-10В или ШИМ;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3 дискретных входа;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групповая гальваническая изоляция входов;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напряжение питания: 9…28 В постоянного тока;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интерфейс: RS-485, Modbus RTU;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расширенный диапазон температуры эксплуатации: -40…+80 °С;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корпус на DIN-рейку, 2М (36 x 90 x 58 мм).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технических характеристик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на Товар, поставленный по Договору, составляет 12 (двенадцать) месяцев и начинает действовать с даты подписания Сторонами УПД. Гарантийный срок может быть продлен в соответствии с условиями Договора. 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Предложение по сроку гарантии на оборудование и запасные части.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 оборудованием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       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УПД в 2 экз.;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69" w:hRule="atLeast"/>
        </w:trPr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поставке МТР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поставку указанных ТМЦ на складские помещения Покупателя по адресу: 429965, Чувашская Республика,                        г. Новочебоксарск,             ул. Набережная, влд.34.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19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07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269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Для продукции, в отношении которой подлежит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применению законодательство о национальном режиме в соответствии с требованием столбца 4 Таблицы 1.1. «Перечень и объем закупаемой продукции» настоящих технических требований,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информацией и документами, подтверждающими страну происхождения, являются: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- номер реестровой записи из евразийского реестра промышленных товаров государств-членов Евразийского экономического союза, порядок формирования и ведения которого устанавливается правом Евразийского экономического союза.</w:t>
            </w:r>
            <w:bookmarkStart w:id="59" w:name="_GoBack_Копия_1"/>
            <w:bookmarkEnd w:id="59"/>
          </w:p>
        </w:tc>
        <w:tc>
          <w:tcPr>
            <w:tcW w:w="18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1"/>
        </w:numPr>
        <w:ind w:left="1560" w:hanging="284"/>
        <w:jc w:val="center"/>
        <w:rPr>
          <w:sz w:val="24"/>
          <w:szCs w:val="24"/>
        </w:rPr>
      </w:pPr>
      <w:bookmarkStart w:id="60" w:name="__RefHeading___Toc242285_3144531423"/>
      <w:bookmarkStart w:id="61" w:name="_Toc123200607"/>
      <w:bookmarkStart w:id="62" w:name="_Toc156825747"/>
      <w:bookmarkStart w:id="63" w:name="_Toc53393312"/>
      <w:bookmarkEnd w:id="60"/>
      <w:r>
        <w:rPr/>
        <w:t>Требования к документации по ценообразованию</w:t>
      </w:r>
      <w:bookmarkEnd w:id="63"/>
      <w:r>
        <w:rPr/>
        <w:t xml:space="preserve"> на этапе </w:t>
      </w:r>
      <w:r>
        <w:rPr>
          <w:sz w:val="24"/>
          <w:szCs w:val="24"/>
        </w:rPr>
        <w:t>закупки</w:t>
      </w:r>
      <w:bookmarkEnd w:id="61"/>
      <w:bookmarkEnd w:id="62"/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Поставщиком по договору.</w:t>
      </w:r>
    </w:p>
    <w:p>
      <w:pPr>
        <w:pStyle w:val="Heading3"/>
        <w:numPr>
          <w:ilvl w:val="0"/>
          <w:numId w:val="0"/>
        </w:numPr>
        <w:ind w:left="720" w:hanging="0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/>
      </w:r>
      <w:bookmarkStart w:id="64" w:name="_Toc75446584"/>
      <w:bookmarkStart w:id="65" w:name="_Toc75446584"/>
      <w:bookmarkEnd w:id="65"/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u w:val="none"/>
      </w:rPr>
    </w:pPr>
    <w:r>
      <w:rPr>
        <w:u w:val="none"/>
      </w:rPr>
      <w:fldChar w:fldCharType="begin"/>
    </w:r>
    <w:r>
      <w:rPr>
        <w:u w:val="none"/>
      </w:rPr>
      <w:instrText xml:space="preserve"> PAGE </w:instrText>
    </w:r>
    <w:r>
      <w:rPr>
        <w:u w:val="none"/>
      </w:rPr>
      <w:fldChar w:fldCharType="separate"/>
    </w:r>
    <w:r>
      <w:rPr>
        <w:u w:val="none"/>
      </w:rPr>
      <w:t>6</w:t>
    </w:r>
    <w:r>
      <w:rPr>
        <w:u w:val="none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u w:val="none"/>
      </w:rPr>
    </w:pPr>
    <w:r>
      <w:rPr>
        <w:u w:val="none"/>
      </w:rPr>
      <w:fldChar w:fldCharType="begin"/>
    </w:r>
    <w:r>
      <w:rPr>
        <w:u w:val="none"/>
      </w:rPr>
      <w:instrText xml:space="preserve"> PAGE </w:instrText>
    </w:r>
    <w:r>
      <w:rPr>
        <w:u w:val="none"/>
      </w:rPr>
      <w:fldChar w:fldCharType="separate"/>
    </w:r>
    <w:r>
      <w:rPr>
        <w:u w:val="none"/>
      </w:rPr>
      <w:t>14</w:t>
    </w:r>
    <w:r>
      <w:rPr>
        <w:u w:val="none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66"/>
        </w:tabs>
        <w:ind w:left="858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51b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"/>
    <w:qFormat/>
    <w:rsid w:val="00353a27"/>
    <w:pPr>
      <w:numPr>
        <w:ilvl w:val="0"/>
        <w:numId w:val="0"/>
      </w:numPr>
      <w:ind w:hanging="1082"/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rsid w:val="00ea61a8"/>
    <w:pPr>
      <w:ind w:hanging="0"/>
      <w:outlineLvl w:val="1"/>
    </w:pPr>
    <w:rPr/>
  </w:style>
  <w:style w:type="paragraph" w:styleId="Heading3">
    <w:name w:val="Heading 3"/>
    <w:basedOn w:val="Normal"/>
    <w:link w:val="3"/>
    <w:autoRedefine/>
    <w:qFormat/>
    <w:rsid w:val="008613e7"/>
    <w:pPr>
      <w:keepNext w:val="true"/>
      <w:numPr>
        <w:ilvl w:val="2"/>
        <w:numId w:val="1"/>
      </w:numPr>
      <w:spacing w:before="120" w:after="60"/>
      <w:ind w:hanging="108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numPr>
        <w:ilvl w:val="0"/>
        <w:numId w:val="0"/>
      </w:numPr>
      <w:ind w:hanging="1082"/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023a0f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8613e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 списка"/>
    <w:qFormat/>
    <w:rPr>
      <w:rFonts w:ascii="OpenSymbol" w:hAnsi="OpenSymbol" w:eastAsia="OpenSymbol" w:cs="OpenSymbol"/>
    </w:rPr>
  </w:style>
  <w:style w:type="character" w:styleId="Style16" w:customStyle="1">
    <w:name w:val="Маркеры"/>
    <w:qFormat/>
    <w:rPr>
      <w:rFonts w:ascii="OpenSymbol" w:hAnsi="OpenSymbol" w:eastAsia="OpenSymbol" w:cs="OpenSymbol"/>
    </w:rPr>
  </w:style>
  <w:style w:type="character" w:styleId="Style17" w:customStyle="1">
    <w:name w:val="Символ нумерации"/>
    <w:qFormat/>
    <w:rPr/>
  </w:style>
  <w:style w:type="character" w:styleId="Item-with-dotstext" w:customStyle="1">
    <w:name w:val="item-with-dots__text"/>
    <w:basedOn w:val="DefaultParagraphFont"/>
    <w:qFormat/>
    <w:rsid w:val="00625e8e"/>
    <w:rPr/>
  </w:style>
  <w:style w:type="character" w:styleId="Item-with-dotstext-with-divider" w:customStyle="1">
    <w:name w:val="item-with-dots__text-with-divider"/>
    <w:basedOn w:val="DefaultParagraphFont"/>
    <w:qFormat/>
    <w:rsid w:val="00625e8e"/>
    <w:rPr/>
  </w:style>
  <w:style w:type="character" w:styleId="FollowedHyperlink">
    <w:name w:val="FollowedHyperlink"/>
    <w:rPr>
      <w:color w:val="800000"/>
      <w:u w:val="single"/>
    </w:rPr>
  </w:style>
  <w:style w:type="character" w:styleId="LineNumber">
    <w:name w:val="Line Number"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link w:val="32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autoRedefine/>
    <w:uiPriority w:val="39"/>
    <w:rsid w:val="00c01756"/>
    <w:pPr>
      <w:ind w:left="280" w:hanging="0"/>
      <w:jc w:val="center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spacing w:before="480" w:after="60"/>
      <w:ind w:hanging="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12" w:customStyle="1">
    <w:name w:val="Основной текст с отступом 3 Знак1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AEEE6-790A-4C0C-B51B-E1F7CFB9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Application>AlterOffice/2025.3.0.0$Linux_X86_64 LibreOffice_project/4ba31b6a4271509a884f95065d0a726e9cb2bdbb</Application>
  <AppVersion>15.0000</AppVersion>
  <Pages>14</Pages>
  <Words>1245</Words>
  <Characters>8550</Characters>
  <CharactersWithSpaces>9806</CharactersWithSpaces>
  <Paragraphs>221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2025-02-27T04:15:00Z</dcterms:created>
  <dc:creator>Быстров Олег Геннадьевич</dc:creator>
  <dc:description/>
  <dc:language>ru-RU</dc:language>
  <cp:lastModifiedBy>yakovlevaeo@corp.gidroogk.com</cp:lastModifiedBy>
  <cp:lastPrinted>2025-03-10T05:25:00Z</cp:lastPrinted>
  <dcterms:modified xsi:type="dcterms:W3CDTF">2026-08-18T11:44:24Z</dcterms:modified>
  <cp:revision>145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