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ind w:firstLine="708"/>
        <w:jc w:val="right"/>
        <w:rPr>
          <w:rFonts w:eastAsia="Calibri"/>
          <w:szCs w:val="26"/>
        </w:rPr>
      </w:pPr>
      <w:r>
        <w:rPr>
          <w:rFonts w:eastAsia="Calibri"/>
          <w:szCs w:val="26"/>
        </w:rPr>
        <w:t xml:space="preserve">                     </w:t>
      </w:r>
      <w:r>
        <w:rPr>
          <w:rFonts w:eastAsia="Calibri"/>
        </w:rPr>
        <w:t>«УТВЕРЖДАЮ»</w:t>
        <w:tab/>
      </w:r>
    </w:p>
    <w:p>
      <w:pPr>
        <w:pStyle w:val="Normal"/>
        <w:ind w:firstLine="708"/>
        <w:jc w:val="right"/>
        <w:rPr>
          <w:rFonts w:eastAsia="Calibri"/>
        </w:rPr>
      </w:pPr>
      <w:r>
        <w:rPr>
          <w:rFonts w:eastAsia="Calibri"/>
        </w:rPr>
        <w:t xml:space="preserve">Главный инженер </w:t>
      </w:r>
    </w:p>
    <w:p>
      <w:pPr>
        <w:pStyle w:val="Normal"/>
        <w:ind w:firstLine="708"/>
        <w:jc w:val="right"/>
        <w:rPr>
          <w:rFonts w:eastAsia="Calibri"/>
        </w:rPr>
      </w:pPr>
      <w:r>
        <w:rPr>
          <w:rFonts w:eastAsia="Calibri"/>
        </w:rPr>
        <w:t>Западных электрических сетей</w:t>
      </w:r>
    </w:p>
    <w:p>
      <w:pPr>
        <w:pStyle w:val="Normal"/>
        <w:ind w:firstLine="708"/>
        <w:jc w:val="right"/>
        <w:rPr>
          <w:rFonts w:eastAsia="Calibri"/>
        </w:rPr>
      </w:pPr>
      <w:r>
        <w:rPr>
          <w:rFonts w:eastAsia="Calibri"/>
        </w:rPr>
        <w:t>ПАО «Якутскэнерго»</w:t>
      </w:r>
    </w:p>
    <w:p>
      <w:pPr>
        <w:pStyle w:val="Normal"/>
        <w:ind w:firstLine="708"/>
        <w:jc w:val="right"/>
        <w:rPr>
          <w:rFonts w:eastAsia="Calibri"/>
        </w:rPr>
      </w:pPr>
      <w:r>
        <w:rPr>
          <w:rFonts w:eastAsia="Calibri"/>
        </w:rPr>
        <w:t>_____________Ж.Н. Доржиев</w:t>
      </w:r>
    </w:p>
    <w:p>
      <w:pPr>
        <w:pStyle w:val="Normal"/>
        <w:ind w:firstLine="708"/>
        <w:jc w:val="right"/>
        <w:rPr>
          <w:rFonts w:eastAsia="Calibri"/>
        </w:rPr>
      </w:pPr>
      <w:r>
        <w:rPr>
          <w:rFonts w:eastAsia="Calibri"/>
        </w:rPr>
        <w:t>«_____» ____________20___г.</w:t>
      </w:r>
    </w:p>
    <w:p>
      <w:pPr>
        <w:pStyle w:val="Normal"/>
        <w:ind w:firstLine="708"/>
        <w:jc w:val="right"/>
        <w:rPr>
          <w:rFonts w:eastAsia="Calibri"/>
        </w:rPr>
      </w:pPr>
      <w:r>
        <w:rPr>
          <w:rFonts w:eastAsia="Calibri"/>
        </w:rPr>
      </w:r>
    </w:p>
    <w:p>
      <w:pPr>
        <w:pStyle w:val="Normal"/>
        <w:ind w:firstLine="708"/>
        <w:jc w:val="right"/>
        <w:rPr>
          <w:rFonts w:eastAsia="Calibri"/>
        </w:rPr>
      </w:pPr>
      <w:r>
        <w:rPr>
          <w:rFonts w:eastAsia="Calibri"/>
        </w:rPr>
      </w:r>
    </w:p>
    <w:p>
      <w:pPr>
        <w:pStyle w:val="Normal"/>
        <w:ind w:firstLine="708"/>
        <w:jc w:val="right"/>
        <w:rPr>
          <w:rFonts w:eastAsia="Calibri"/>
        </w:rPr>
      </w:pPr>
      <w:r>
        <w:rPr>
          <w:rFonts w:eastAsia="Calibri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before="0" w:after="120"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ОКПД2 26.51.43.113 Поставка испытательного комплекса Диатранс для измерения электрических характеристик масел в рамках инвестиционного проекта N508-2164</w:t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  <w:id w:val="2005298526"/>
      </w:sdtPr>
      <w:sdtContent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r>
            <w:rPr>
              <w:vanish/>
            </w:rPr>
            <w:t>1.</w:t>
          </w:r>
          <w:r>
            <w:rPr>
              <w:rFonts w:eastAsia="" w:cs="" w:ascii="Calibri" w:hAnsi="Calibri" w:asciiTheme="minorHAnsi" w:cstheme="minorBidi" w:eastAsiaTheme="minorEastAsia" w:hAnsiTheme="minorHAnsi"/>
              <w:b w:val="false"/>
              <w:bCs w:val="false"/>
            </w:rPr>
            <w:tab/>
          </w:r>
          <w:r>
            <w:rPr/>
            <w:t>Общие сведения</w:t>
            <w:tab/>
          </w:r>
          <w:r>
            <w:rPr>
              <w:rFonts w:eastAsia="" w:cs="" w:ascii="Calibri" w:hAnsi="Calibri" w:asciiTheme="minorHAnsi" w:cstheme="minorBidi" w:eastAsiaTheme="minorEastAsia" w:hAnsiTheme="minorHAnsi"/>
            </w:rPr>
            <w:t>1</w:t>
          </w:r>
        </w:p>
        <w:p>
          <w:pPr>
            <w:pStyle w:val="TOC4"/>
            <w:tabs>
              <w:tab w:val="clear" w:pos="57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r>
            <w:rPr>
              <w:iCs/>
              <w:vanish/>
              <w:sz w:val="24"/>
              <w:szCs w:val="24"/>
            </w:rPr>
            <w:t>1.1.</w:t>
          </w:r>
          <w:r>
            <w:rPr>
              <w:rFonts w:eastAsia="" w:cs="" w:ascii="Calibri" w:hAnsi="Calibri" w:asciiTheme="minorHAnsi" w:cstheme="minorBidi" w:eastAsiaTheme="minorEastAsia" w:hAnsiTheme="minorHAnsi"/>
              <w:sz w:val="24"/>
              <w:szCs w:val="24"/>
            </w:rPr>
            <w:tab/>
          </w:r>
          <w:r>
            <w:rPr>
              <w:sz w:val="24"/>
              <w:szCs w:val="24"/>
            </w:rPr>
            <w:t>Обозначения и сокращения</w:t>
            <w:tab/>
          </w:r>
          <w:r>
            <w:rPr>
              <w:rFonts w:eastAsia="" w:cs="" w:cstheme="minorBidi" w:eastAsiaTheme="minorEastAsia"/>
              <w:sz w:val="24"/>
              <w:szCs w:val="24"/>
            </w:rPr>
            <w:t>1.1</w:t>
          </w:r>
        </w:p>
        <w:p>
          <w:pPr>
            <w:pStyle w:val="TOC4"/>
            <w:tabs>
              <w:tab w:val="clear" w:pos="57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r>
            <w:rPr>
              <w:iCs/>
              <w:vanish/>
              <w:sz w:val="24"/>
              <w:szCs w:val="24"/>
            </w:rPr>
            <w:t>1.2.</w:t>
          </w:r>
          <w:r>
            <w:rPr>
              <w:rFonts w:eastAsia="" w:cs="" w:ascii="Calibri" w:hAnsi="Calibri" w:asciiTheme="minorHAnsi" w:cstheme="minorBidi" w:eastAsiaTheme="minorEastAsia" w:hAnsiTheme="minorHAnsi"/>
              <w:sz w:val="24"/>
              <w:szCs w:val="24"/>
            </w:rPr>
            <w:tab/>
          </w:r>
          <w:r>
            <w:rPr>
              <w:sz w:val="24"/>
              <w:szCs w:val="24"/>
            </w:rPr>
            <w:t>Наименование закупаемой продукции</w:t>
            <w:tab/>
            <w:t>1.2</w:t>
          </w:r>
        </w:p>
        <w:p>
          <w:pPr>
            <w:pStyle w:val="TOC4"/>
            <w:tabs>
              <w:tab w:val="clear" w:pos="57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r>
            <w:rPr>
              <w:iCs/>
              <w:vanish/>
              <w:sz w:val="24"/>
              <w:szCs w:val="24"/>
            </w:rPr>
            <w:t>1.3.</w:t>
          </w:r>
          <w:r>
            <w:rPr>
              <w:rFonts w:eastAsia="" w:cs="" w:ascii="Calibri" w:hAnsi="Calibri" w:asciiTheme="minorHAnsi" w:cstheme="minorBidi" w:eastAsiaTheme="minorEastAsia" w:hAnsiTheme="minorHAnsi"/>
              <w:sz w:val="24"/>
              <w:szCs w:val="24"/>
            </w:rPr>
            <w:tab/>
          </w:r>
          <w:r>
            <w:rPr>
              <w:sz w:val="24"/>
              <w:szCs w:val="24"/>
            </w:rPr>
            <w:t xml:space="preserve">Цель использования закупаемой продукции </w:t>
            <w:tab/>
            <w:t>1.3</w:t>
          </w:r>
        </w:p>
        <w:p>
          <w:pPr>
            <w:pStyle w:val="TOC4"/>
            <w:tabs>
              <w:tab w:val="clear" w:pos="57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r>
            <w:rPr>
              <w:rFonts w:eastAsia="" w:cs="" w:cstheme="minorBidi" w:eastAsiaTheme="minorEastAsia" w:ascii="Calibri" w:hAnsi="Calibri"/>
              <w:sz w:val="24"/>
              <w:szCs w:val="24"/>
            </w:rPr>
          </w:r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</w:t>
          </w:r>
          <w:r>
            <w:rPr>
              <w:b/>
              <w:bCs/>
              <w:sz w:val="24"/>
              <w:szCs w:val="24"/>
            </w:rPr>
            <w:t>Требование к продукции……………………………………………………………………...2</w:t>
          </w:r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        </w:t>
          </w:r>
          <w:r>
            <w:rPr>
              <w:sz w:val="24"/>
              <w:szCs w:val="24"/>
            </w:rPr>
            <w:t>Перечень и объем закупаемой продукции……………………………………………..2.1</w:t>
          </w:r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  </w:t>
          </w:r>
          <w:r>
            <w:rPr>
              <w:sz w:val="24"/>
              <w:szCs w:val="24"/>
            </w:rPr>
            <w:t>Требования к объемам и срокам поставки……………………………………………..2.2</w:t>
          </w:r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  </w:t>
          </w:r>
          <w:r>
            <w:rPr>
              <w:sz w:val="24"/>
              <w:szCs w:val="24"/>
            </w:rPr>
            <w:t>Требования к качеству оборудования…………………………………………………..2.3</w:t>
          </w:r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r>
            <w:rPr>
              <w:vanish/>
            </w:rPr>
            <w:t>2.</w:t>
          </w:r>
        </w:p>
        <w:p>
          <w:pPr>
            <w:pStyle w:val="TOC4"/>
            <w:tabs>
              <w:tab w:val="clear" w:pos="57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r>
            <w:rPr>
              <w:iCs/>
              <w:vanish/>
              <w:sz w:val="24"/>
              <w:szCs w:val="24"/>
            </w:rPr>
            <w:t>2.1.</w:t>
          </w:r>
        </w:p>
      </w:sdtContent>
    </w:sdt>
    <w:p>
      <w:pPr>
        <w:pStyle w:val="Heading3"/>
        <w:rPr/>
      </w:pPr>
      <w:r>
        <w:rPr/>
        <w:t xml:space="preserve">          </w:t>
      </w:r>
      <w:r>
        <w:rPr/>
        <w:t>Приложение №1 к ТТ</w:t>
      </w:r>
    </w:p>
    <w:p>
      <w:pPr>
        <w:pStyle w:val="Heading3"/>
        <w:rPr/>
      </w:pPr>
      <w:r>
        <w:rPr/>
        <w:t xml:space="preserve">          </w:t>
      </w:r>
      <w:r>
        <w:rPr/>
        <w:t>Приложение №2 к ТТ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2"/>
        </w:numPr>
        <w:ind w:left="426" w:hanging="360"/>
        <w:jc w:val="center"/>
        <w:rPr>
          <w:caps/>
        </w:rPr>
      </w:pPr>
      <w:bookmarkStart w:id="0" w:name="_Toc75446566"/>
      <w:bookmarkStart w:id="1" w:name="_Toc51339692"/>
      <w:bookmarkEnd w:id="0"/>
      <w:bookmarkEnd w:id="1"/>
      <w:r>
        <w:rPr/>
        <w:t>Общие сведения</w:t>
      </w:r>
    </w:p>
    <w:p>
      <w:pPr>
        <w:pStyle w:val="Heading4"/>
        <w:numPr>
          <w:ilvl w:val="1"/>
          <w:numId w:val="8"/>
        </w:numPr>
        <w:tabs>
          <w:tab w:val="clear" w:pos="0"/>
        </w:tabs>
        <w:ind w:left="284" w:hanging="360"/>
        <w:rPr/>
      </w:pPr>
      <w:bookmarkStart w:id="2" w:name="_Toc46743505"/>
      <w:bookmarkStart w:id="3" w:name="_Toc75446567"/>
      <w:bookmarkEnd w:id="2"/>
      <w:bookmarkEnd w:id="3"/>
      <w:r>
        <mc:AlternateContent>
          <mc:Choice Requires="wps">
            <w:drawing>
              <wp:anchor behindDoc="0" distT="0" distB="13335" distL="113665" distR="136525" simplePos="0" locked="0" layoutInCell="0" allowOverlap="1" relativeHeight="2">
                <wp:simplePos x="0" y="0"/>
                <wp:positionH relativeFrom="margin">
                  <wp:posOffset>-461645</wp:posOffset>
                </wp:positionH>
                <wp:positionV relativeFrom="paragraph">
                  <wp:posOffset>352425</wp:posOffset>
                </wp:positionV>
                <wp:extent cx="6676390" cy="1764665"/>
                <wp:effectExtent l="0" t="635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6560" cy="1764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550" w:type="pct"/>
                              <w:jc w:val="left"/>
                              <w:tblInd w:w="812" w:type="dxa"/>
                              <w:tblLayout w:type="fixed"/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  <w:tblLook w:val="00a0" w:noHBand="0" w:noVBand="0" w:firstColumn="1" w:lastRow="0" w:lastColumn="0" w:firstRow="1"/>
                            </w:tblPr>
                            <w:tblGrid>
                              <w:gridCol w:w="1126"/>
                              <w:gridCol w:w="2314"/>
                              <w:gridCol w:w="6128"/>
                            </w:tblGrid>
                            <w:tr>
                              <w:trPr>
                                <w:trHeight w:val="399" w:hRule="atLeast"/>
                              </w:trPr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2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Сокращение</w:t>
                                  </w:r>
                                </w:p>
                              </w:tc>
                              <w:tc>
                                <w:tcPr>
                                  <w:tcW w:w="6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Расшифровка сокращения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9" w:hRule="atLeast"/>
                              </w:trPr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ЗЭС</w:t>
                                  </w:r>
                                </w:p>
                              </w:tc>
                              <w:tc>
                                <w:tcPr>
                                  <w:tcW w:w="6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Западные электрические сети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9" w:hRule="atLeast"/>
                              </w:trPr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 ИЗПИ</w:t>
                                  </w:r>
                                </w:p>
                              </w:tc>
                              <w:tc>
                                <w:tcPr>
                                  <w:tcW w:w="6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Служба изоляции защиты от перенапряжения и измерений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9" w:hRule="atLeast"/>
                              </w:trPr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РФ</w:t>
                                  </w:r>
                                </w:p>
                              </w:tc>
                              <w:tc>
                                <w:tcPr>
                                  <w:tcW w:w="6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Российская Федерация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9" w:hRule="atLeast"/>
                              </w:trPr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000000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14" w:type="dxa"/>
                                  <w:tcBorders>
                                    <w:top w:val="single" w:sz="4" w:space="0" w:color="000000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СИ</w:t>
                                  </w:r>
                                </w:p>
                              </w:tc>
                              <w:tc>
                                <w:tcPr>
                                  <w:tcW w:w="6128" w:type="dxa"/>
                                  <w:tcBorders>
                                    <w:top w:val="single" w:sz="4" w:space="0" w:color="000000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Средство измерения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9" w:hRule="atLeast"/>
                              </w:trPr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31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ТОиР</w:t>
                                  </w:r>
                                </w:p>
                              </w:tc>
                              <w:tc>
                                <w:tcPr>
                                  <w:tcW w:w="612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Техническое обслуживание и ремонт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3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-36.35pt;margin-top:27.75pt;width:525.65pt;height:138.9pt;mso-wrap-style:none;v-text-anchor:middle;mso-position-horizontal-relative:margin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550" w:type="pct"/>
                        <w:jc w:val="left"/>
                        <w:tblInd w:w="812" w:type="dxa"/>
                        <w:tblLayout w:type="fixed"/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  <w:tblLook w:val="00a0" w:noHBand="0" w:noVBand="0" w:firstColumn="1" w:lastRow="0" w:lastColumn="0" w:firstRow="1"/>
                      </w:tblPr>
                      <w:tblGrid>
                        <w:gridCol w:w="1126"/>
                        <w:gridCol w:w="2314"/>
                        <w:gridCol w:w="6128"/>
                      </w:tblGrid>
                      <w:tr>
                        <w:trPr>
                          <w:trHeight w:val="399" w:hRule="atLeast"/>
                        </w:trPr>
                        <w:tc>
                          <w:tcPr>
                            <w:tcW w:w="1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№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2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Сокращение</w:t>
                            </w:r>
                          </w:p>
                        </w:tc>
                        <w:tc>
                          <w:tcPr>
                            <w:tcW w:w="6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Расшифровка сокращения</w:t>
                            </w:r>
                          </w:p>
                        </w:tc>
                      </w:tr>
                      <w:tr>
                        <w:trPr>
                          <w:trHeight w:val="399" w:hRule="atLeast"/>
                        </w:trPr>
                        <w:tc>
                          <w:tcPr>
                            <w:tcW w:w="1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ЗЭС</w:t>
                            </w:r>
                          </w:p>
                        </w:tc>
                        <w:tc>
                          <w:tcPr>
                            <w:tcW w:w="6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Западные электрические сети</w:t>
                            </w:r>
                          </w:p>
                        </w:tc>
                      </w:tr>
                      <w:tr>
                        <w:trPr>
                          <w:trHeight w:val="399" w:hRule="atLeast"/>
                        </w:trPr>
                        <w:tc>
                          <w:tcPr>
                            <w:tcW w:w="1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 ИЗПИ</w:t>
                            </w:r>
                          </w:p>
                        </w:tc>
                        <w:tc>
                          <w:tcPr>
                            <w:tcW w:w="6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Служба изоляции защиты от перенапряжения и измерений</w:t>
                            </w:r>
                          </w:p>
                        </w:tc>
                      </w:tr>
                      <w:tr>
                        <w:trPr>
                          <w:trHeight w:val="399" w:hRule="atLeast"/>
                        </w:trPr>
                        <w:tc>
                          <w:tcPr>
                            <w:tcW w:w="1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РФ</w:t>
                            </w:r>
                          </w:p>
                        </w:tc>
                        <w:tc>
                          <w:tcPr>
                            <w:tcW w:w="6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Российская Федерация</w:t>
                            </w:r>
                          </w:p>
                        </w:tc>
                      </w:tr>
                      <w:tr>
                        <w:trPr>
                          <w:trHeight w:val="399" w:hRule="atLeast"/>
                        </w:trPr>
                        <w:tc>
                          <w:tcPr>
                            <w:tcW w:w="1126" w:type="dxa"/>
                            <w:tcBorders>
                              <w:top w:val="single" w:sz="4" w:space="0" w:color="000000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14" w:type="dxa"/>
                            <w:tcBorders>
                              <w:top w:val="single" w:sz="4" w:space="0" w:color="000000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СИ</w:t>
                            </w:r>
                          </w:p>
                        </w:tc>
                        <w:tc>
                          <w:tcPr>
                            <w:tcW w:w="6128" w:type="dxa"/>
                            <w:tcBorders>
                              <w:top w:val="single" w:sz="4" w:space="0" w:color="000000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Средство измерения</w:t>
                            </w:r>
                          </w:p>
                        </w:tc>
                      </w:tr>
                      <w:tr>
                        <w:trPr>
                          <w:trHeight w:val="399" w:hRule="atLeast"/>
                        </w:trPr>
                        <w:tc>
                          <w:tcPr>
                            <w:tcW w:w="112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31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ТОиР</w:t>
                            </w:r>
                          </w:p>
                        </w:tc>
                        <w:tc>
                          <w:tcPr>
                            <w:tcW w:w="612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Техническое обслуживание и ремонт</w:t>
                            </w:r>
                          </w:p>
                        </w:tc>
                      </w:tr>
                    </w:tbl>
                    <w:p>
                      <w:pPr>
                        <w:pStyle w:val="Style3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/>
        <w:t>Обозначения и сокращения</w:t>
      </w:r>
    </w:p>
    <w:p>
      <w:pPr>
        <w:pStyle w:val="Heading4"/>
        <w:numPr>
          <w:ilvl w:val="1"/>
          <w:numId w:val="8"/>
        </w:numPr>
        <w:tabs>
          <w:tab w:val="clear" w:pos="0"/>
        </w:tabs>
        <w:ind w:left="0" w:hanging="0"/>
        <w:rPr/>
      </w:pPr>
      <w:r>
        <w:rPr>
          <w:rFonts w:eastAsia="Times New Roman"/>
          <w:lang w:val="ru-RU"/>
        </w:rPr>
        <w:t>Наименование закупаемой продукции</w:t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eastAsia="x-none"/>
        </w:rPr>
        <w:t xml:space="preserve">    </w:t>
      </w:r>
      <w:r>
        <w:rPr>
          <w:sz w:val="24"/>
          <w:szCs w:val="24"/>
          <w:lang w:eastAsia="x-none"/>
        </w:rPr>
        <w:t>Диатранс — испытательный комплекс для измерения электрических характеристик масел</w:t>
      </w:r>
      <w:r>
        <w:rPr>
          <w:sz w:val="24"/>
          <w:szCs w:val="24"/>
          <w:lang w:val="x-none" w:eastAsia="x-none"/>
        </w:rPr>
        <w:t>, внесен в Госреестр под № 44621-10 (или аналог, являющийся средством измерений, внесенным в Государственный реестр средств измерений РФ).</w:t>
      </w:r>
    </w:p>
    <w:p>
      <w:pPr>
        <w:pStyle w:val="ListParagraph"/>
        <w:numPr>
          <w:ilvl w:val="1"/>
          <w:numId w:val="8"/>
        </w:numPr>
        <w:ind w:left="284" w:hanging="284"/>
        <w:jc w:val="both"/>
        <w:rPr>
          <w:rFonts w:cs="Calibri"/>
          <w:b/>
        </w:rPr>
      </w:pPr>
      <w:bookmarkStart w:id="4" w:name="_Toc46743507"/>
      <w:bookmarkStart w:id="5" w:name="_Toc75446569"/>
      <w:r>
        <w:rPr>
          <w:b/>
        </w:rPr>
        <w:t xml:space="preserve">Цель </w:t>
      </w:r>
      <w:bookmarkEnd w:id="4"/>
      <w:bookmarkEnd w:id="5"/>
      <w:r>
        <w:rPr>
          <w:b/>
        </w:rPr>
        <w:t xml:space="preserve">использования закупаемой продукции </w:t>
      </w:r>
    </w:p>
    <w:p>
      <w:pPr>
        <w:pStyle w:val="Normal"/>
        <w:jc w:val="both"/>
        <w:rPr/>
      </w:pPr>
      <w:r>
        <w:rPr>
          <w:sz w:val="24"/>
          <w:szCs w:val="24"/>
        </w:rPr>
        <w:t>Переносной испытательный комплекс, позволяющий проводить измерения электрических характеристик масел в диапазоне от температуры окружающей среды до 90 °С как в лабораторных, так и в полевых условиях. Применение герметичной цилиндрической ячейки с вертикально расположенными электродами облегчило процедуру ее промывки и дало возможность не производить разборку ячейки после испытания каждой пробы масла.</w:t>
      </w:r>
    </w:p>
    <w:p>
      <w:pPr>
        <w:pStyle w:val="Normal"/>
        <w:jc w:val="both"/>
        <w:rPr/>
      </w:pPr>
      <w:r>
        <w:rPr>
          <w:sz w:val="24"/>
          <w:szCs w:val="24"/>
        </w:rPr>
        <w:tab/>
        <w:t>В малообъемном термостате с электронной системой управления нагрев проб происходит в автоматическом режиме от температуры окружающей среды (20 °С) до температуры 90 °С за 30 – 35 минут. Поддержание заданной температуры обеспечивается с точностью ± 0.5 градуса.</w:t>
      </w:r>
    </w:p>
    <w:p>
      <w:pPr>
        <w:pStyle w:val="Normal"/>
        <w:jc w:val="both"/>
        <w:rPr/>
      </w:pPr>
      <w:r>
        <w:rPr>
          <w:sz w:val="24"/>
          <w:szCs w:val="24"/>
        </w:rPr>
        <w:tab/>
        <w:t>Принципиально важной характеристикой любой испытательной установки является безопасность проведения работ. Эта задача решена путем применения в испытательном комплексе экранированного блока высокого напряжения (БВН-2П) со встроенным эталонным конденсатором. Все элементы БВН-2П размещены в металлическом корпусе, а используемый высоковольтный трансформатор имеет мощность не более 20 Вт. Мощность трансформатора достаточна для его работы на емкостную нагрузку до 500 пФ и в то же время не представляет опасности для персонала. Ввод высокого напряжения в термостат осуществляется кабелем. Предусмотрена блокировка от включения высокого напряжения в несобранной схеме. Благодаря перечисленным выше техническим решениям испытательный комплекс не требует его размещения на специально огороженном испытательном поле и может быть оперативно собран на любом рабочем столе.</w:t>
      </w:r>
    </w:p>
    <w:p>
      <w:pPr>
        <w:pStyle w:val="ListParagraph"/>
        <w:tabs>
          <w:tab w:val="clear" w:pos="720"/>
          <w:tab w:val="left" w:pos="563" w:leader="none"/>
          <w:tab w:val="left" w:pos="567" w:leader="none"/>
        </w:tabs>
        <w:ind w:left="0" w:hanging="0"/>
        <w:jc w:val="both"/>
        <w:rPr/>
      </w:pPr>
      <w:r>
        <w:rPr/>
        <w:tab/>
        <w:t>Соблюдение требований РД 34.45-51.300-97 «Объем и нормы испытаний электрооборудования».</w:t>
      </w:r>
    </w:p>
    <w:p>
      <w:pPr>
        <w:pStyle w:val="Heading1"/>
        <w:numPr>
          <w:ilvl w:val="0"/>
          <w:numId w:val="2"/>
        </w:numPr>
        <w:ind w:left="426" w:hanging="426"/>
        <w:jc w:val="center"/>
        <w:rPr>
          <w:caps/>
          <w:lang w:val="ru-RU"/>
        </w:rPr>
      </w:pPr>
      <w:bookmarkStart w:id="6" w:name="_Toc51339693"/>
      <w:bookmarkStart w:id="7" w:name="_Toc75446573"/>
      <w:bookmarkEnd w:id="6"/>
      <w:bookmarkEnd w:id="7"/>
      <w:r>
        <w:rPr/>
        <w:t>Требования к продукции</w:t>
      </w:r>
    </w:p>
    <w:p>
      <w:pPr>
        <w:pStyle w:val="Heading3"/>
        <w:numPr>
          <w:ilvl w:val="1"/>
          <w:numId w:val="2"/>
        </w:numPr>
        <w:rPr/>
      </w:pPr>
      <w:r>
        <w:rPr/>
        <w:t>Перечень и объем закупаемой продукции</w:t>
      </w:r>
    </w:p>
    <w:p>
      <w:pPr>
        <w:pStyle w:val="Heading3"/>
        <w:rPr/>
      </w:pPr>
      <w:bookmarkStart w:id="8" w:name="_Toc51339695"/>
      <w:bookmarkStart w:id="9" w:name="_Toc75446576"/>
      <w:r>
        <w:rPr/>
        <w:t xml:space="preserve">Таблица </w:t>
      </w:r>
      <w:r>
        <w:rPr>
          <w:lang w:val="ru-RU"/>
        </w:rPr>
        <w:t>1.</w:t>
      </w:r>
      <w:r>
        <w:rPr/>
        <w:t xml:space="preserve"> Перечень </w:t>
      </w:r>
      <w:bookmarkEnd w:id="8"/>
      <w:bookmarkEnd w:id="9"/>
      <w:r>
        <w:rPr/>
        <w:t>и объем закупаемой продукции</w:t>
      </w:r>
    </w:p>
    <w:tbl>
      <w:tblPr>
        <w:tblW w:w="10233" w:type="dxa"/>
        <w:jc w:val="left"/>
        <w:tblInd w:w="217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28"/>
        <w:gridCol w:w="3880"/>
        <w:gridCol w:w="1276"/>
        <w:gridCol w:w="708"/>
        <w:gridCol w:w="1557"/>
        <w:gridCol w:w="1983"/>
      </w:tblGrid>
      <w:tr>
        <w:trPr>
          <w:trHeight w:val="574" w:hRule="atLeast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bookmarkStart w:id="10" w:name="_Toc75446577"/>
            <w:bookmarkEnd w:id="10"/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88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ОКПД2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</w:tr>
      <w:tr>
        <w:trPr/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4"/>
                <w:szCs w:val="24"/>
              </w:rPr>
              <w:t xml:space="preserve">Диатранс — испытательный комплекс для измерения электрических характеристик масел </w:t>
            </w:r>
            <w:r>
              <w:rPr>
                <w:iCs/>
                <w:color w:val="C9211E"/>
                <w:sz w:val="24"/>
                <w:szCs w:val="24"/>
              </w:rPr>
              <w:t>или аналог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шт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26.51.45.190.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Установлено преимущество Российского производства</w:t>
            </w:r>
          </w:p>
        </w:tc>
      </w:tr>
    </w:tbl>
    <w:p>
      <w:pPr>
        <w:pStyle w:val="Heading3"/>
        <w:ind w:left="432" w:hanging="0"/>
        <w:rPr>
          <w:highlight w:val="yellow"/>
          <w:lang w:val="ru-RU"/>
        </w:rPr>
      </w:pPr>
      <w:r>
        <w:rPr>
          <w:highlight w:val="yellow"/>
          <w:lang w:val="ru-RU"/>
        </w:rPr>
      </w:r>
    </w:p>
    <w:p>
      <w:pPr>
        <w:pStyle w:val="Heading3"/>
        <w:rPr/>
      </w:pPr>
      <w:bookmarkStart w:id="11" w:name="_Toc75446575"/>
      <w:r>
        <w:rPr>
          <w:lang w:val="ru-RU"/>
        </w:rPr>
        <w:t xml:space="preserve">2.2.  </w:t>
      </w:r>
      <w:bookmarkEnd w:id="11"/>
      <w:r>
        <w:rPr/>
        <w:t>Требования к объемам и срокам поставки</w:t>
      </w:r>
      <w:bookmarkStart w:id="12" w:name="_Toc501251261"/>
      <w:bookmarkStart w:id="13" w:name="_GoBack"/>
      <w:bookmarkEnd w:id="12"/>
      <w:bookmarkEnd w:id="13"/>
      <w:r>
        <w:rPr/>
        <w:t xml:space="preserve">              </w:t>
      </w:r>
    </w:p>
    <w:p>
      <w:pPr>
        <w:pStyle w:val="Heading3"/>
        <w:rPr>
          <w:lang w:val="ru-RU"/>
        </w:rPr>
      </w:pPr>
      <w:r>
        <w:rPr/>
        <w:t xml:space="preserve">Таблица </w:t>
      </w:r>
      <w:r>
        <w:rPr>
          <w:lang w:val="ru-RU"/>
        </w:rPr>
        <w:t>2</w:t>
      </w:r>
      <w:r>
        <w:rPr/>
        <w:t xml:space="preserve">. </w:t>
      </w:r>
      <w:bookmarkStart w:id="14" w:name="_Hlk50465284"/>
      <w:r>
        <w:rPr/>
        <w:t xml:space="preserve">Требования по срокам </w:t>
      </w:r>
      <w:bookmarkEnd w:id="14"/>
      <w:r>
        <w:rPr>
          <w:lang w:val="ru-RU"/>
        </w:rPr>
        <w:t>поставки продукции</w:t>
      </w:r>
    </w:p>
    <w:tbl>
      <w:tblPr>
        <w:tblW w:w="9781" w:type="dxa"/>
        <w:jc w:val="left"/>
        <w:tblInd w:w="24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8"/>
        <w:gridCol w:w="2982"/>
        <w:gridCol w:w="2973"/>
        <w:gridCol w:w="2977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0"/>
              <w:keepNext w:val="false"/>
              <w:widowControl w:val="false"/>
              <w:spacing w:before="0" w:after="4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0"/>
              <w:keepNext w:val="false"/>
              <w:widowControl w:val="false"/>
              <w:spacing w:before="0" w:after="4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</w:tr>
      <w:tr>
        <w:trPr>
          <w:trHeight w:val="759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color w:val="000000"/>
                <w:sz w:val="24"/>
                <w:szCs w:val="24"/>
              </w:rPr>
              <w:t>Диатранс — испытательный комплекс для измерения электрических характеристик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заключения договора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15" w:name="_Toc46743510"/>
            <w:bookmarkEnd w:id="15"/>
            <w:r>
              <w:rPr>
                <w:sz w:val="22"/>
                <w:szCs w:val="22"/>
              </w:rPr>
              <w:t>В течение 90 календарных дней с даты заключения договора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964" w:footer="0" w:bottom="567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ListParagraph"/>
        <w:numPr>
          <w:ilvl w:val="1"/>
          <w:numId w:val="3"/>
        </w:numPr>
        <w:spacing w:before="0" w:after="120"/>
        <w:ind w:left="426" w:hanging="426"/>
        <w:contextualSpacing/>
        <w:jc w:val="both"/>
        <w:rPr>
          <w:b/>
          <w:bCs/>
        </w:rPr>
      </w:pPr>
      <w:r>
        <w:rPr>
          <w:b/>
          <w:bCs/>
        </w:rPr>
        <w:t xml:space="preserve">Требования к качеству </w:t>
      </w:r>
      <w:r>
        <w:rPr>
          <w:b/>
        </w:rPr>
        <w:t>оборудования</w:t>
      </w:r>
      <w:r>
        <w:rPr>
          <w:b/>
          <w:bCs/>
        </w:rPr>
        <w:t xml:space="preserve"> </w:t>
      </w:r>
    </w:p>
    <w:p>
      <w:pPr>
        <w:pStyle w:val="Normal"/>
        <w:tabs>
          <w:tab w:val="clear" w:pos="720"/>
          <w:tab w:val="left" w:pos="567" w:leader="none"/>
        </w:tabs>
        <w:spacing w:before="0" w:after="12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3. Требования к продукции</w:t>
      </w:r>
    </w:p>
    <w:tbl>
      <w:tblPr>
        <w:tblStyle w:val="affff7"/>
        <w:tblW w:w="1516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4"/>
        <w:gridCol w:w="2789"/>
        <w:gridCol w:w="4356"/>
        <w:gridCol w:w="1845"/>
        <w:gridCol w:w="3434"/>
        <w:gridCol w:w="1809"/>
      </w:tblGrid>
      <w:tr>
        <w:trPr/>
        <w:tc>
          <w:tcPr>
            <w:tcW w:w="9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78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35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52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78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435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4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34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311" w:right="-158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firstLine="142"/>
              <w:contextualSpacing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71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в отношении продукции представлена в Приложении № 1, Приложении №2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1.2.</w:t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Требования по безопасности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Поставляемое приборы должны соответствовать требованиям ГОСТ 12.2.007.0-75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1.3.</w:t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Требования к новизне товара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Продукция должна быть новой, ранее не использованной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71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iCs/>
                <w:sz w:val="22"/>
                <w:szCs w:val="20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0"/>
                <w:lang w:val="ru-RU" w:eastAsia="ru-RU" w:bidi="ar-SA"/>
              </w:rPr>
              <w:t>Требования к используемым материалам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4356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contextualSpacing/>
              <w:jc w:val="both"/>
              <w:rPr>
                <w:sz w:val="22"/>
                <w:szCs w:val="20"/>
              </w:rPr>
            </w:pPr>
            <w:r>
              <w:rPr>
                <w:rFonts w:eastAsia="Times New Roman" w:cs="Times New Roman"/>
                <w:kern w:val="0"/>
                <w:sz w:val="22"/>
                <w:szCs w:val="20"/>
                <w:lang w:val="ru-RU" w:eastAsia="ru-RU" w:bidi="ar-SA"/>
              </w:rPr>
              <w:t>Предлагаемые приборы должны соответствовать содержанию опросных листов.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contextualSpacing/>
              <w:jc w:val="both"/>
              <w:rPr>
                <w:sz w:val="22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0"/>
                <w:lang w:val="ru-RU" w:eastAsia="ru-RU" w:bidi="ar-SA"/>
              </w:rPr>
              <w:t>В случае, если Участником предлагаются эквиваленты требуемого Заказчику оборудования или его составных частей, в составе своего предложения, он должен в обязательном порядке предоставить подробное техническое описание предлагаемого к поставке эквивалента, в объеме, не менее установленных в документации о закупке требований.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71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 Поставщиком на центральный склад ЗЭС ПАО «Якутскэнерго», Республика Саха (Якутия), г. Мирный, Ленинградский пр., 5/2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432" w:hanging="551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22"/>
                <w:szCs w:val="22"/>
                <w:lang w:val="ru-RU" w:eastAsia="ru-RU" w:bidi="ar-SA"/>
              </w:rPr>
              <w:t>Требования к отгрузке и упаковке товара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Поставщик обеспечивает упаковку Товара, способную предотвратить повреждение Товара или его порчу во время перевозки к конечному пункту назначения. Упаковка должна выдерживать, без каких-либо ограничений, интенсивную подъемно-транспортную обработку и воздействие осадков во время перевозки, а также открытое хранение (с соблюдением требований ГОСТ 23216-78, а также ГОСТ 15846-2002).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432" w:hanging="551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Требования к маркировке товара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Маркировка – по ГОСТ Р 52565-2006. Транспортная маркировка грузовых мест проводится по ГОСТ 14192-96 и содержит основные, дополнительные и информационные надписи и манипуляционные знаки.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Отправленное оборудование должно иметь следующие сопроводительные документы: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транспортная накладная или иной документ, ее заменяющий – 1 экз.;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спецификация с техническими характеристиками – 1 экз.;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упаковочный лист – 1 экз.;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свидетельство о поверке прибора на бумажном носителе - 2 экз.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ind w:left="424" w:hanging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424" w:hanging="284"/>
              <w:contextualSpacing/>
              <w:jc w:val="left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декларация о соответствии – 1 экз.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 комплект должны входить паспорт, инструкции по эксплуатации оборудования, свидетельство о поверке.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 документации, передаваемой вместе с Оборудованием, должна содержаться информация, в которой должно быть указано: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наименование Поставщика;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гарантийные обязательства Поставщика;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наименование изготовителя (в случае, если поставщик и изготовитель не совпадают), в том числе составных частей товара;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гарантийные обязательства изготовителей, если поставщик и изготовитель не совпадают (в том числе гарантийные обязательства изготовителей составных частей, если о них указано в документации изготовителя Оборудования);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информация о поверке прибора;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cs="Times New Roman"/>
                <w:iCs/>
                <w:kern w:val="0"/>
                <w:sz w:val="22"/>
                <w:szCs w:val="22"/>
                <w:lang w:val="ru-RU" w:eastAsia="ru-RU" w:bidi="ar-SA"/>
              </w:rPr>
              <w:t>номер и дата подписания договора, на основании которого осуществлена поставка Оборудования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71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4.1</w:t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Документы, передаваемые вместе с оборудованием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 комплекту поставленного оборудования прилагается следующая эксплуатационная документация: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ind w:left="566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cs="Times New Roman"/>
                <w:iCs/>
                <w:kern w:val="0"/>
                <w:sz w:val="22"/>
                <w:szCs w:val="22"/>
                <w:lang w:val="ru-RU" w:eastAsia="ru-RU" w:bidi="ar-SA"/>
              </w:rPr>
              <w:t>Руководство по эксплуатации;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ind w:left="566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cs="Times New Roman"/>
                <w:iCs/>
                <w:kern w:val="0"/>
                <w:sz w:val="22"/>
                <w:szCs w:val="22"/>
                <w:lang w:val="ru-RU" w:eastAsia="ru-RU" w:bidi="ar-SA"/>
              </w:rPr>
              <w:t>Технический паспорт;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ind w:left="566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cs="Times New Roman"/>
                <w:iCs/>
                <w:kern w:val="0"/>
                <w:sz w:val="22"/>
                <w:szCs w:val="22"/>
                <w:lang w:val="ru-RU" w:eastAsia="ru-RU" w:bidi="ar-SA"/>
              </w:rPr>
              <w:t>Гарантийный талон;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ind w:left="566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Свидетельство о поверке на каждый прибор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ind w:left="566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cs="Times New Roman"/>
                <w:iCs/>
                <w:kern w:val="0"/>
                <w:sz w:val="22"/>
                <w:szCs w:val="22"/>
                <w:lang w:val="ru-RU" w:eastAsia="ru-RU" w:bidi="ar-SA"/>
              </w:rPr>
              <w:t>Декларация соответствия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составе заявки представить подробные техническое описания оборудования в соответствии с Приложением № 1 к Техническим требованиям, а также представить руководства по эксплуатации, габаритные или монтажные чертежи.</w:t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71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contextualSpacing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5.1</w:t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4"/>
                <w:lang w:val="ru-RU" w:eastAsia="ru-RU" w:bidi="ar-SA"/>
              </w:rPr>
              <w:t>Требования к гарантиям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4"/>
                <w:lang w:val="ru-RU" w:eastAsia="ru-RU" w:bidi="ar-SA"/>
              </w:rPr>
              <w:t>Гарантийный срок эксплуатации  12 месяцев с момента ввода в эксплуатацию.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5.2</w:t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4"/>
                <w:lang w:val="ru-RU" w:eastAsia="ru-RU" w:bidi="ar-SA"/>
              </w:rPr>
              <w:t>Ответственность поставщика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случае обнаружения в течение Гарантийного срока недостатков, несоответствий и / или (дефектов) Товара Покупатель направляет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 рабочих дней с даты получения письменного уведомления Покупателя, направляет своего уполномоченного представителя для составления Акта о недостатках, несоответствиях и / или дефектах. Если к указанному в настоящем пункте сроку представитель Поставщика не прибудет, Акт о недостатках, несоответствиях и / или дефектах будет составлен Покупателем в одностороннем порядке и будет признан Сторонами действительным.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bookmarkStart w:id="16" w:name="_Toc125528945"/>
            <w:bookmarkStart w:id="17" w:name="_Toc125529082"/>
            <w:bookmarkStart w:id="18" w:name="_Toc126221527"/>
            <w:bookmarkStart w:id="19" w:name="_Toc126229670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  <w:bookmarkEnd w:id="16"/>
            <w:bookmarkEnd w:id="17"/>
            <w:bookmarkEnd w:id="18"/>
            <w:bookmarkEnd w:id="19"/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6.</w:t>
            </w:r>
          </w:p>
        </w:tc>
        <w:tc>
          <w:tcPr>
            <w:tcW w:w="71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6.1</w:t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составе заявки необходимо представить: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</w:t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567" w:right="964" w:gutter="0" w:header="680" w:top="1134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2"/>
        <w:rPr>
          <w:lang w:val="ru-RU"/>
        </w:rPr>
      </w:pPr>
      <w:bookmarkStart w:id="20" w:name="_Toc137563327"/>
      <w:bookmarkStart w:id="21" w:name="_Toc130974396"/>
      <w:bookmarkStart w:id="22" w:name="_Toc126229675"/>
      <w:bookmarkStart w:id="23" w:name="_Toc125528950"/>
      <w:r>
        <w:rPr/>
        <w:t>Приложение №</w:t>
      </w:r>
      <w:bookmarkEnd w:id="22"/>
      <w:bookmarkEnd w:id="23"/>
      <w:r>
        <w:rPr/>
        <w:t>1</w:t>
      </w:r>
      <w:bookmarkEnd w:id="20"/>
      <w:bookmarkEnd w:id="21"/>
      <w:r>
        <w:rPr>
          <w:lang w:val="ru-RU"/>
        </w:rPr>
        <w:t xml:space="preserve"> к ТТ</w:t>
      </w:r>
    </w:p>
    <w:p>
      <w:pPr>
        <w:pStyle w:val="Normal"/>
        <w:widowControl w:val="false"/>
        <w:tabs>
          <w:tab w:val="clear" w:pos="720"/>
          <w:tab w:val="left" w:pos="567" w:leader="none"/>
        </w:tabs>
        <w:jc w:val="center"/>
        <w:rPr>
          <w:iCs/>
          <w:sz w:val="22"/>
          <w:szCs w:val="22"/>
        </w:rPr>
      </w:pPr>
      <w:r>
        <w:rPr>
          <w:b w:val="false"/>
          <w:iCs/>
          <w:color w:val="000000"/>
          <w:sz w:val="24"/>
          <w:szCs w:val="24"/>
          <w:lang w:val="ru-RU"/>
        </w:rPr>
        <w:t>Диатранс — испытательный комплекс для измерения электрических характеристик масел</w:t>
      </w:r>
    </w:p>
    <w:tbl>
      <w:tblPr>
        <w:tblW w:w="102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0"/>
        <w:gridCol w:w="3694"/>
        <w:gridCol w:w="3945"/>
        <w:gridCol w:w="1901"/>
      </w:tblGrid>
      <w:tr>
        <w:trPr>
          <w:cantSplit w:val="true"/>
        </w:trPr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  <w:sz w:val="24"/>
                <w:szCs w:val="24"/>
              </w:rPr>
              <w:t xml:space="preserve">Требования к параметрам </w:t>
            </w:r>
            <w:r>
              <w:rPr>
                <w:sz w:val="24"/>
                <w:szCs w:val="24"/>
              </w:rPr>
              <w:t>оборудования</w:t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параметра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заказчика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Предложение участника</w:t>
            </w:r>
            <w:r>
              <w:rPr>
                <w:rStyle w:val="FootnoteReference"/>
                <w:sz w:val="24"/>
                <w:szCs w:val="24"/>
                <w:vertAlign w:val="superscript"/>
              </w:rPr>
              <w:footnoteReference w:id="2"/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311" w:hRule="atLeast"/>
          <w:cantSplit w:val="true"/>
        </w:trPr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  <w:sz w:val="24"/>
                <w:szCs w:val="24"/>
              </w:rPr>
              <w:t xml:space="preserve">Обязательные требования </w:t>
            </w:r>
            <w:r>
              <w:rPr>
                <w:rStyle w:val="FootnoteReference"/>
                <w:bCs/>
                <w:sz w:val="24"/>
                <w:szCs w:val="24"/>
                <w:vertAlign w:val="superscript"/>
              </w:rPr>
              <w:footnoteReference w:id="3"/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</w:r>
          </w:p>
        </w:tc>
        <w:tc>
          <w:tcPr>
            <w:tcW w:w="9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техническим параметрам, характеристикам, функциям оборудования:</w:t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Пределы измерения tgδ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0.0001...1 отн. ед.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погрешность Δtgδ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± (2x10</w:t>
            </w:r>
            <w:r>
              <w:rPr>
                <w:sz w:val="24"/>
                <w:szCs w:val="24"/>
                <w:vertAlign w:val="superscript"/>
              </w:rPr>
              <w:t>-4</w:t>
            </w:r>
            <w:r>
              <w:rPr>
                <w:sz w:val="24"/>
                <w:szCs w:val="24"/>
              </w:rPr>
              <w:t>+0,05•tgδx)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Пределы измерения Cx</w:t>
            </w:r>
          </w:p>
        </w:tc>
        <w:tc>
          <w:tcPr>
            <w:tcW w:w="3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25...5000 пФ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погрешность ΔCx</w:t>
            </w:r>
          </w:p>
        </w:tc>
        <w:tc>
          <w:tcPr>
            <w:tcW w:w="3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±1,0%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Выходное напряжение</w:t>
            </w:r>
          </w:p>
        </w:tc>
        <w:tc>
          <w:tcPr>
            <w:tcW w:w="3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 В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Пределы регулирования напряжения</w:t>
            </w:r>
          </w:p>
        </w:tc>
        <w:tc>
          <w:tcPr>
            <w:tcW w:w="3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Емкость эталонного конденсатора</w:t>
            </w:r>
          </w:p>
        </w:tc>
        <w:tc>
          <w:tcPr>
            <w:tcW w:w="3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пФ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рабочих температур, °С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-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до + 40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Потребляемая мощность, ВА, не более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 Вт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Питание прибора от сети частотой 50 Гц, В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факторам:</w:t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sz w:val="24"/>
                <w:szCs w:val="24"/>
                <w:lang w:val="x-none" w:eastAsia="x-none"/>
              </w:rPr>
            </w:pPr>
            <w:bookmarkStart w:id="24" w:name="_Toc186210421"/>
            <w:r>
              <w:rPr>
                <w:rFonts w:eastAsia="Calibri"/>
                <w:sz w:val="24"/>
                <w:szCs w:val="24"/>
                <w:lang w:val="x-none" w:eastAsia="x-none"/>
              </w:rPr>
              <w:t>Климатическое исполнение и категория размещения</w:t>
            </w:r>
            <w:bookmarkEnd w:id="24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заводом изготовителем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sz w:val="24"/>
                <w:szCs w:val="24"/>
                <w:lang w:val="x-none" w:eastAsia="x-none"/>
              </w:rPr>
            </w:pPr>
            <w:bookmarkStart w:id="25" w:name="_Toc186210422"/>
            <w:r>
              <w:rPr>
                <w:rFonts w:eastAsia="Calibri"/>
                <w:sz w:val="24"/>
                <w:szCs w:val="24"/>
                <w:lang w:val="x-none" w:eastAsia="x-none"/>
              </w:rPr>
              <w:t>Температура окружающего воздуха,  ºС</w:t>
            </w:r>
            <w:bookmarkEnd w:id="25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-5 до + 40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экономическим параметрам поставляемого оборудования:</w:t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0" w:hanging="0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26" w:name="_Toc186210423"/>
            <w:r>
              <w:rPr>
                <w:rFonts w:eastAsia="Calibri"/>
                <w:bCs/>
                <w:sz w:val="24"/>
                <w:szCs w:val="24"/>
              </w:rPr>
              <w:t>Наработка на отказ</w:t>
            </w:r>
            <w:bookmarkEnd w:id="26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0" w:hanging="0"/>
              <w:outlineLvl w:val="0"/>
              <w:rPr>
                <w:rFonts w:eastAsia="Calibri"/>
                <w:b/>
                <w:sz w:val="24"/>
                <w:szCs w:val="24"/>
                <w:lang w:val="x-none" w:eastAsia="x-none"/>
              </w:rPr>
            </w:pPr>
            <w:bookmarkStart w:id="27" w:name="_Toc186210424"/>
            <w:r>
              <w:rPr>
                <w:rFonts w:eastAsia="Calibri"/>
                <w:sz w:val="24"/>
                <w:szCs w:val="24"/>
                <w:lang w:val="x-none" w:eastAsia="x-none"/>
              </w:rPr>
              <w:t>Назначенный срок службы</w:t>
            </w:r>
            <w:r>
              <w:rPr>
                <w:rFonts w:eastAsia="Calibri"/>
                <w:sz w:val="24"/>
                <w:szCs w:val="24"/>
                <w:lang w:eastAsia="x-none"/>
              </w:rPr>
              <w:t>, не менее</w:t>
            </w:r>
            <w:bookmarkEnd w:id="27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заводом изготовителем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33"/>
              <w:outlineLvl w:val="0"/>
              <w:rPr>
                <w:rFonts w:eastAsia="Calibri"/>
                <w:sz w:val="24"/>
                <w:szCs w:val="24"/>
                <w:lang w:eastAsia="x-none"/>
              </w:rPr>
            </w:pPr>
            <w:bookmarkStart w:id="28" w:name="_Toc186210425"/>
            <w:r>
              <w:rPr>
                <w:rFonts w:eastAsia="Calibri"/>
                <w:sz w:val="24"/>
                <w:szCs w:val="24"/>
                <w:lang w:eastAsia="x-none"/>
              </w:rPr>
              <w:t>Периодичность выполнения и объем ремонтов</w:t>
            </w:r>
            <w:bookmarkEnd w:id="28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Должна быть предоставлена информация с требованиями по техническому обслуживанию и ремонту (периодичность, объём ТОиР).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sz w:val="24"/>
                <w:szCs w:val="24"/>
                <w:lang w:eastAsia="x-none"/>
              </w:rPr>
            </w:pPr>
            <w:bookmarkStart w:id="29" w:name="_Toc186210426"/>
            <w:r>
              <w:rPr>
                <w:rFonts w:eastAsia="Calibri"/>
                <w:sz w:val="24"/>
                <w:szCs w:val="24"/>
                <w:lang w:eastAsia="x-none"/>
              </w:rPr>
              <w:t>Периодичность выполнения и объем ТО</w:t>
            </w:r>
            <w:bookmarkEnd w:id="29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Должна быть предоставлена информация с требованиями по техническому обслуживанию и ремонту (периодичность, объём ТОиР).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маркировке, упаковке, транспортировке, условиям хранения:</w:t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30" w:name="_Toc186210427"/>
            <w:r>
              <w:rPr>
                <w:rFonts w:eastAsia="Calibri"/>
                <w:bCs/>
                <w:sz w:val="24"/>
                <w:szCs w:val="24"/>
              </w:rPr>
              <w:t>Маркировка, упаковка и консервация (да, нет)</w:t>
            </w:r>
            <w:bookmarkEnd w:id="30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jc w:val="both"/>
              <w:rPr/>
            </w:pPr>
            <w:r>
              <w:rPr>
                <w:bCs/>
                <w:sz w:val="24"/>
                <w:szCs w:val="24"/>
              </w:rPr>
              <w:t>Все органы управления и контроля должны иметь четкие надписи с указанием их назначения в соответствии со схемами.</w:t>
            </w:r>
          </w:p>
          <w:p>
            <w:pPr>
              <w:pStyle w:val="Normal"/>
              <w:widowControl w:val="false"/>
              <w:ind w:firstLine="709"/>
              <w:rPr/>
            </w:pPr>
            <w:r>
              <w:rPr>
                <w:sz w:val="24"/>
                <w:szCs w:val="24"/>
              </w:rPr>
              <w:t>Пульт управления и генератор высоковольтный должны иметь следующие данные: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ind w:left="709" w:hanging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товарный знак предприятия-изготовителя или его наименование;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ind w:left="709" w:hanging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ind w:left="709" w:hanging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ind w:left="709" w:hanging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заводской номер;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ind w:left="709" w:hanging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условное обозначение степени защиты;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год выпуска.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 должен быть упакован на предприятии-изготовителе согласно требованиям, предусмотренным конструкторской документацией.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должна обеспечивать защиту изделий от механических повреждений при транспортировке и хранении.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0" w:hanging="0"/>
              <w:outlineLvl w:val="0"/>
              <w:rPr>
                <w:rFonts w:eastAsia="Calibri"/>
                <w:bCs/>
                <w:sz w:val="24"/>
                <w:szCs w:val="24"/>
                <w:lang w:val="x-none" w:eastAsia="x-none"/>
              </w:rPr>
            </w:pPr>
            <w:bookmarkStart w:id="31" w:name="_Toc186210428"/>
            <w:r>
              <w:rPr>
                <w:rFonts w:eastAsia="Calibri"/>
                <w:bCs/>
                <w:sz w:val="24"/>
                <w:szCs w:val="24"/>
                <w:lang w:val="x-none" w:eastAsia="x-none"/>
              </w:rPr>
              <w:t>Условия транспортирования</w:t>
            </w:r>
            <w:bookmarkEnd w:id="31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условиями договора поставки.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b/>
                <w:sz w:val="24"/>
                <w:szCs w:val="24"/>
                <w:lang w:val="x-none" w:eastAsia="x-none"/>
              </w:rPr>
            </w:pPr>
            <w:bookmarkStart w:id="32" w:name="_Toc186210429"/>
            <w:r>
              <w:rPr>
                <w:rFonts w:eastAsia="Calibri"/>
                <w:bCs/>
                <w:sz w:val="24"/>
                <w:szCs w:val="24"/>
                <w:lang w:val="x-none" w:eastAsia="x-none"/>
              </w:rPr>
              <w:t xml:space="preserve">Срок хранения в упаковке изготовителя, отдельно хранящихся деталей, сборочных единиц, ЗИП </w:t>
            </w:r>
            <w:r>
              <w:rPr>
                <w:rFonts w:eastAsia="Calibri"/>
                <w:bCs/>
                <w:i/>
                <w:sz w:val="24"/>
                <w:szCs w:val="24"/>
                <w:lang w:eastAsia="x-none"/>
              </w:rPr>
              <w:t>(в случае, если Поставщик является производителем)</w:t>
            </w:r>
            <w:bookmarkEnd w:id="32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</w:rPr>
            </w:pPr>
            <w:r>
              <w:rPr>
                <w:sz w:val="24"/>
              </w:rPr>
              <w:t>Гарантийный срок хранения – не менее 12 месяцев с момента поставки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sz w:val="24"/>
                <w:szCs w:val="24"/>
                <w:lang w:val="x-none" w:eastAsia="x-none"/>
              </w:rPr>
            </w:pPr>
            <w:bookmarkStart w:id="33" w:name="_Toc186210430"/>
            <w:r>
              <w:rPr>
                <w:rFonts w:eastAsia="Calibri"/>
                <w:sz w:val="24"/>
                <w:szCs w:val="24"/>
                <w:lang w:val="x-none" w:eastAsia="x-none"/>
              </w:rPr>
              <w:t>Наличие сертификатов соответствия ГОСТ, на поставляемое оборудование</w:t>
            </w:r>
            <w:bookmarkEnd w:id="33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 должен быть внесен в Государственный реестр средств измерений РФ</w:t>
            </w:r>
          </w:p>
          <w:p>
            <w:pPr>
              <w:pStyle w:val="Normal"/>
              <w:widowControl w:val="false"/>
              <w:jc w:val="both"/>
              <w:rPr>
                <w:rFonts w:ascii="Times New Roman CYR" w:hAnsi="Times New Roman CYR" w:cs="Times New Roman CYR"/>
                <w:sz w:val="24"/>
                <w:szCs w:val="20"/>
              </w:rPr>
            </w:pPr>
            <w:r>
              <w:rPr>
                <w:sz w:val="24"/>
                <w:szCs w:val="24"/>
              </w:rPr>
              <w:t>Прибор должен быть утверждённого типа и иметь действующее свидетельство (сертификат) об утверждении типа СИ с его неотъемлемой частью – описанием типа СИ.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 поставляется с действующим свидетельством о первичной поверке, выданным организацией, аккредитованной в области обеспечения единства измерений в установленном в РФ порядке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sz w:val="24"/>
                <w:szCs w:val="24"/>
                <w:lang w:eastAsia="x-none"/>
              </w:rPr>
            </w:pPr>
            <w:bookmarkStart w:id="34" w:name="_Toc186210431"/>
            <w:r>
              <w:rPr>
                <w:rFonts w:eastAsia="Calibri"/>
                <w:sz w:val="24"/>
                <w:szCs w:val="24"/>
                <w:lang w:eastAsia="x-none"/>
              </w:rPr>
              <w:t>Наличие сервисного центра в РФ</w:t>
            </w:r>
            <w:bookmarkEnd w:id="34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35" w:name="_Toc186210432"/>
            <w:r>
              <w:rPr>
                <w:rFonts w:eastAsia="Calibri"/>
                <w:bCs/>
                <w:sz w:val="24"/>
                <w:szCs w:val="24"/>
              </w:rPr>
              <w:t>Срок гарантии на оборудование</w:t>
            </w:r>
            <w:bookmarkEnd w:id="35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</w:rPr>
              <w:t>Гарантийный срок эксплуатации - не менее 36 месяцев, со дня ввода в эксплуатацию покупателем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36" w:name="_Toc186210433"/>
            <w:r>
              <w:rPr>
                <w:rFonts w:eastAsia="Calibri"/>
                <w:bCs/>
                <w:sz w:val="24"/>
                <w:szCs w:val="24"/>
              </w:rPr>
              <w:t>Место поставки оборудования</w:t>
            </w:r>
            <w:bookmarkEnd w:id="36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678174, Российская Федерация, Республика Саха (Якутия), г. Мирный, Ленинградский пр-т, 5/2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0" w:hanging="0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37" w:name="_Toc186210434"/>
            <w:r>
              <w:rPr>
                <w:rFonts w:eastAsia="Calibri"/>
                <w:bCs/>
                <w:sz w:val="24"/>
                <w:szCs w:val="24"/>
              </w:rPr>
              <w:t>Объем поставки оборудования</w:t>
            </w:r>
            <w:bookmarkEnd w:id="37"/>
          </w:p>
        </w:tc>
        <w:tc>
          <w:tcPr>
            <w:tcW w:w="3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jc w:val="center"/>
              <w:rPr>
                <w:iCs/>
                <w:sz w:val="22"/>
                <w:szCs w:val="22"/>
              </w:rPr>
            </w:pPr>
            <w:r>
              <w:rPr>
                <w:b w:val="false"/>
                <w:iCs/>
                <w:color w:val="000000"/>
                <w:sz w:val="24"/>
                <w:szCs w:val="24"/>
                <w:lang w:val="ru-RU"/>
              </w:rPr>
              <w:t>Испытательный комплекс - Диатранс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0" w:hanging="0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38" w:name="_Toc186210435"/>
            <w:r>
              <w:rPr>
                <w:rFonts w:eastAsia="Calibri"/>
                <w:bCs/>
                <w:sz w:val="24"/>
                <w:szCs w:val="24"/>
              </w:rPr>
              <w:t>Объем комплектации</w:t>
            </w:r>
            <w:bookmarkEnd w:id="38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3621" w:type="dxa"/>
              <w:jc w:val="left"/>
              <w:tblInd w:w="6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2775"/>
              <w:gridCol w:w="845"/>
            </w:tblGrid>
            <w:tr>
              <w:trPr>
                <w:trHeight w:val="315" w:hRule="atLeast"/>
              </w:trPr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/>
                  </w:pPr>
                  <w:r>
                    <w:rPr>
                      <w:b/>
                      <w:sz w:val="20"/>
                      <w:szCs w:val="20"/>
                    </w:rPr>
                    <w:t>Кол-во, шт.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Термос со штативом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Герметичная цилиндрическая ячейка трехзажимного типа с запорной арматурой и датчиком температуры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Электрический нагреватель (ТЭН) с радиаторами и датчиком температуры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2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Электронный блок управления нагревом</w:t>
                  </w:r>
                </w:p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РИТМ-4</w:t>
                  </w:r>
                </w:p>
              </w:tc>
              <w:tc>
                <w:tcPr>
                  <w:tcW w:w="84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2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Блок высокого напряжения (БВН-2П) со встроенным эталонным конденсатором</w:t>
                  </w:r>
                </w:p>
              </w:tc>
              <w:tc>
                <w:tcPr>
                  <w:tcW w:w="84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2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Цифровой мегаомметр Е6-32</w:t>
                  </w:r>
                </w:p>
              </w:tc>
              <w:tc>
                <w:tcPr>
                  <w:tcW w:w="84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2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Электронный термометр с зондом</w:t>
                  </w:r>
                </w:p>
              </w:tc>
              <w:tc>
                <w:tcPr>
                  <w:tcW w:w="84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2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Сетевой стабилизатор напряжения</w:t>
                  </w:r>
                </w:p>
              </w:tc>
              <w:tc>
                <w:tcPr>
                  <w:tcW w:w="84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2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МЕП-6ИС — мост переменного тока высоковольтный</w:t>
                  </w:r>
                </w:p>
              </w:tc>
              <w:tc>
                <w:tcPr>
                  <w:tcW w:w="84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2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Комплект проводов и кабелей</w:t>
                  </w:r>
                </w:p>
              </w:tc>
              <w:tc>
                <w:tcPr>
                  <w:tcW w:w="84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2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Руководство по эксплуатации</w:t>
                  </w:r>
                </w:p>
              </w:tc>
              <w:tc>
                <w:tcPr>
                  <w:tcW w:w="84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2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Паспорт</w:t>
                  </w:r>
                </w:p>
              </w:tc>
              <w:tc>
                <w:tcPr>
                  <w:tcW w:w="84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2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Свидетельство о поверке</w:t>
                  </w:r>
                </w:p>
              </w:tc>
              <w:tc>
                <w:tcPr>
                  <w:tcW w:w="84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0" w:hanging="0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39" w:name="_Toc186210436_Копия_2"/>
            <w:r>
              <w:rPr>
                <w:rFonts w:eastAsia="Calibri"/>
                <w:bCs/>
                <w:sz w:val="24"/>
                <w:szCs w:val="24"/>
              </w:rPr>
              <w:t>Условия поставки</w:t>
            </w:r>
            <w:bookmarkEnd w:id="39"/>
          </w:p>
        </w:tc>
        <w:tc>
          <w:tcPr>
            <w:tcW w:w="3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Условия транспортировки оборудования, погрузка – разгрузка (силами и средствами Поставщика)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0" w:hanging="0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40" w:name="_Toc186210437"/>
            <w:r>
              <w:rPr>
                <w:rFonts w:eastAsia="Calibri"/>
                <w:bCs/>
                <w:sz w:val="24"/>
                <w:szCs w:val="24"/>
              </w:rPr>
              <w:t>Импортозамещение</w:t>
            </w:r>
            <w:bookmarkEnd w:id="40"/>
          </w:p>
        </w:tc>
        <w:tc>
          <w:tcPr>
            <w:tcW w:w="3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и комплектующие заграничных производителей допускается применять только в случае отсутствия аналогов, произведенных в РФ, отвечающих всем техническим требованиям, предъявляемым к ним Заказчиком.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Heading2"/>
        <w:spacing w:before="120" w:after="60"/>
        <w:rPr>
          <w:lang w:val="ru-RU"/>
        </w:rPr>
      </w:pPr>
      <w:r>
        <w:rPr>
          <w:lang w:val="ru-RU"/>
        </w:rPr>
        <w:t xml:space="preserve">Начальник С ИЗПИ                                                                                               В.К. Молчанов </w:t>
      </w:r>
    </w:p>
    <w:sectPr>
      <w:headerReference w:type="default" r:id="rId6"/>
      <w:headerReference w:type="first" r:id="rId7"/>
      <w:footnotePr>
        <w:numFmt w:val="decimal"/>
      </w:footnotePr>
      <w:type w:val="nextPage"/>
      <w:pgSz w:w="11906" w:h="16838"/>
      <w:pgMar w:left="1134" w:right="851" w:gutter="0" w:header="680" w:top="964" w:footer="0" w:bottom="56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 CYR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rPr>
          <w:sz w:val="16"/>
          <w:szCs w:val="16"/>
        </w:rPr>
      </w:pPr>
      <w:r>
        <w:rPr>
          <w:rStyle w:val="Style13"/>
        </w:rPr>
        <w:footnoteRef/>
      </w:r>
      <w:r>
        <w:rPr/>
        <w:t xml:space="preserve"> </w:t>
      </w:r>
      <w:r>
        <w:rPr>
          <w:sz w:val="16"/>
          <w:szCs w:val="16"/>
        </w:rPr>
        <w:t>Не допускается Участникам конкурентных процедур в предложении ограничиваться типовыми фразами («готовы выполнить все в соответствии с ТТ», «со всем согласны» и т.д.) или копированием конкретных требований из ТТ, необходимо самостоятельно заполнить все ячейки с описанием предлагаемых характеристик оборудования, технологий выполнения работ, значений, величин и т.д.</w:t>
      </w:r>
    </w:p>
  </w:footnote>
  <w:footnote w:id="3">
    <w:p>
      <w:pPr>
        <w:pStyle w:val="FootnoteText"/>
        <w:widowControl w:val="false"/>
        <w:rPr>
          <w:sz w:val="16"/>
          <w:szCs w:val="16"/>
        </w:rPr>
      </w:pPr>
      <w:r>
        <w:rPr>
          <w:rStyle w:val="Style13"/>
        </w:rPr>
        <w:footnoteRef/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указываются только значения, установленные ГОСТ или другими НТД.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720"/>
      </w:pPr>
      <w:rPr>
        <w:sz w:val="24"/>
        <w:b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876" w:hanging="45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  <w:rPr>
        <w:b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2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584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3168" w:hanging="720"/>
      </w:pPr>
      <w:rPr>
        <w:b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39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97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8784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008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1592" w:hanging="1800"/>
      </w:pPr>
      <w:rPr/>
    </w:lvl>
  </w:abstractNum>
  <w:abstractNum w:abstractNumId="9"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10"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qFormat/>
    <w:rsid w:val="00353a27"/>
    <w:pPr>
      <w:numPr>
        <w:ilvl w:val="2"/>
        <w:numId w:val="1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qFormat/>
    <w:rsid w:val="00ea61a8"/>
    <w:pPr>
      <w:outlineLvl w:val="1"/>
    </w:pPr>
    <w:rPr/>
  </w:style>
  <w:style w:type="paragraph" w:styleId="Heading3">
    <w:name w:val="Heading 3"/>
    <w:basedOn w:val="Normal"/>
    <w:link w:val="31"/>
    <w:autoRedefine/>
    <w:qFormat/>
    <w:rsid w:val="00960931"/>
    <w:pPr>
      <w:keepNext w:val="true"/>
      <w:tabs>
        <w:tab w:val="clear" w:pos="720"/>
        <w:tab w:val="left" w:pos="0" w:leader="none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c18ef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24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23"/>
    <w:qFormat/>
    <w:locked/>
    <w:rsid w:val="00d22f6d"/>
    <w:rPr>
      <w:sz w:val="28"/>
    </w:rPr>
  </w:style>
  <w:style w:type="character" w:styleId="Style4" w:customStyle="1">
    <w:name w:val="Текст сноски Знак"/>
    <w:uiPriority w:val="99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i/>
      <w:shd w:fill="FFFF99" w:val="clear"/>
    </w:rPr>
  </w:style>
  <w:style w:type="character" w:styleId="Style8" w:customStyle="1">
    <w:name w:val="Подподпункт Знак"/>
    <w:qFormat/>
    <w:locked/>
    <w:rsid w:val="0025139e"/>
    <w:rPr>
      <w:sz w:val="26"/>
      <w:szCs w:val="26"/>
    </w:rPr>
  </w:style>
  <w:style w:type="character" w:styleId="31" w:customStyle="1">
    <w:name w:val="Заголовок 3 Знак1"/>
    <w:qFormat/>
    <w:rsid w:val="00960931"/>
    <w:rPr>
      <w:rFonts w:eastAsia="Calibri"/>
      <w:b/>
      <w:sz w:val="24"/>
      <w:szCs w:val="24"/>
      <w:lang w:val="x-none" w:eastAsia="x-none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5" w:customStyle="1">
    <w:name w:val="УРОВЕНЬ_1. Знак"/>
    <w:link w:val="113"/>
    <w:qFormat/>
    <w:rsid w:val="004a17ae"/>
    <w:rPr>
      <w:rFonts w:eastAsia="Calibri"/>
      <w:caps/>
      <w:sz w:val="28"/>
      <w:szCs w:val="28"/>
      <w:lang w:eastAsia="en-US"/>
    </w:rPr>
  </w:style>
  <w:style w:type="character" w:styleId="16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36"/>
    <w:qFormat/>
    <w:rsid w:val="00c36f30"/>
    <w:rPr>
      <w:sz w:val="16"/>
      <w:szCs w:val="16"/>
    </w:rPr>
  </w:style>
  <w:style w:type="character" w:styleId="Style12" w:customStyle="1">
    <w:name w:val="Ссылка указателя"/>
    <w:qFormat/>
    <w:rPr/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55z0" w:customStyle="1">
    <w:name w:val="WW8Num55z0"/>
    <w:qFormat/>
    <w:rPr/>
  </w:style>
  <w:style w:type="character" w:styleId="WW8Num55z1" w:customStyle="1">
    <w:name w:val="WW8Num55z1"/>
    <w:qFormat/>
    <w:rPr>
      <w:b/>
      <w:i w:val="false"/>
    </w:rPr>
  </w:style>
  <w:style w:type="character" w:styleId="Style13" w:customStyle="1">
    <w:name w:val="Символ сноски"/>
    <w:qFormat/>
    <w:rPr>
      <w:vertAlign w:val="superscript"/>
    </w:rPr>
  </w:style>
  <w:style w:type="character" w:styleId="WW8Num58z0" w:customStyle="1">
    <w:name w:val="WW8Num58z0"/>
    <w:qFormat/>
    <w:rPr/>
  </w:style>
  <w:style w:type="character" w:styleId="WW8Num14z0" w:customStyle="1">
    <w:name w:val="WW8Num14z0"/>
    <w:qFormat/>
    <w:rPr>
      <w:rFonts w:ascii="Times New Roman" w:hAnsi="Times New Roman" w:cs="Times New Roman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Style14" w:customStyle="1">
    <w:name w:val="Символ концевой сноски"/>
    <w:qFormat/>
    <w:rPr>
      <w:vertAlign w:val="superscript"/>
    </w:rPr>
  </w:style>
  <w:style w:type="character" w:styleId="Style15" w:customStyle="1">
    <w:name w:val="Символы концевой сноски"/>
    <w:qFormat/>
    <w:rPr/>
  </w:style>
  <w:style w:type="character" w:styleId="Style16" w:customStyle="1">
    <w:name w:val="Маркеры"/>
    <w:qFormat/>
    <w:rPr>
      <w:rFonts w:ascii="OpenSymbol" w:hAnsi="OpenSymbol" w:eastAsia="OpenSymbol" w:cs="OpenSymbol"/>
    </w:rPr>
  </w:style>
  <w:style w:type="character" w:styleId="17" w:customStyle="1">
    <w:name w:val="Строгий1"/>
    <w:qFormat/>
    <w:rPr>
      <w:b/>
      <w:bCs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uiPriority w:val="99"/>
    <w:qFormat/>
    <w:rsid w:val="00d561d9"/>
    <w:pPr/>
    <w:rPr/>
  </w:style>
  <w:style w:type="paragraph" w:styleId="18" w:customStyle="1">
    <w:name w:val="Шапка 1"/>
    <w:basedOn w:val="Normal"/>
    <w:qFormat/>
    <w:rsid w:val="00d561d9"/>
    <w:pPr>
      <w:pBdr>
        <w:bottom w:val="thickThinSmallGap" w:sz="24" w:space="1" w:color="000001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1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1"/>
      </w:pBdr>
      <w:spacing w:before="240" w:after="360"/>
      <w:jc w:val="center"/>
    </w:pPr>
    <w:rPr>
      <w:b/>
      <w:sz w:val="24"/>
      <w:szCs w:val="24"/>
    </w:rPr>
  </w:style>
  <w:style w:type="paragraph" w:styleId="19" w:customStyle="1">
    <w:name w:val="Название1"/>
    <w:basedOn w:val="Normal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3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1"/>
    <w:qFormat/>
    <w:rsid w:val="0076353a"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10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autoRedefine/>
    <w:uiPriority w:val="39"/>
    <w:rsid w:val="00c01756"/>
    <w:pPr>
      <w:tabs>
        <w:tab w:val="clear" w:pos="720"/>
        <w:tab w:val="left" w:pos="570" w:leader="none"/>
        <w:tab w:val="right" w:pos="9911" w:leader="dot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link w:val="22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uiPriority w:val="39"/>
    <w:qFormat/>
    <w:rsid w:val="00d22f6d"/>
    <w:pPr>
      <w:keepLines/>
      <w:numPr>
        <w:ilvl w:val="0"/>
        <w:numId w:val="0"/>
      </w:numPr>
      <w:spacing w:before="480" w:after="60"/>
      <w:ind w:left="2127" w:hanging="687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8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1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qFormat/>
    <w:rsid w:val="0025139e"/>
    <w:pPr>
      <w:tabs>
        <w:tab w:val="left" w:pos="1134" w:leader="none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2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12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left" w:pos="0" w:leader="none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Text">
    <w:name w:val="Endnote Text"/>
    <w:basedOn w:val="Normal"/>
    <w:qFormat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3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1-3" w:customStyle="1">
    <w:name w:val="текст1-3"/>
    <w:basedOn w:val="Normal"/>
    <w:qFormat/>
    <w:pPr>
      <w:spacing w:lineRule="auto" w:line="288" w:before="0" w:after="60"/>
      <w:ind w:firstLine="709"/>
      <w:jc w:val="both"/>
    </w:pPr>
    <w:rPr>
      <w:rFonts w:ascii="Times New Roman CYR" w:hAnsi="Times New Roman CYR" w:cs="Times New Roman CYR"/>
      <w:sz w:val="24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WW8Num11" w:customStyle="1">
    <w:name w:val="WW8Num11"/>
    <w:qFormat/>
  </w:style>
  <w:style w:type="numbering" w:styleId="WW8Num55" w:customStyle="1">
    <w:name w:val="WW8Num55"/>
    <w:qFormat/>
  </w:style>
  <w:style w:type="numbering" w:styleId="WW8Num58" w:customStyle="1">
    <w:name w:val="WW8Num58"/>
    <w:qFormat/>
  </w:style>
  <w:style w:type="numbering" w:styleId="WW8Num14" w:customStyle="1">
    <w:name w:val="WW8Num1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1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1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EC898-B979-4EAA-9998-3D11BCFE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Application>AlterOffice/3.4.0.9$Linux_X86_64 LibreOffice_project/b8daf9e823b1a5463a2f48435ddc2e8696e7d4fc</Application>
  <AppVersion>15.0000</AppVersion>
  <Pages>11</Pages>
  <Words>1827</Words>
  <Characters>12596</Characters>
  <CharactersWithSpaces>14144</CharactersWithSpaces>
  <Paragraphs>338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2025-08-15T01:02:00Z</dcterms:created>
  <dc:creator>Быстров Олег Геннадьевич</dc:creator>
  <dc:description/>
  <dc:language>ru-RU</dc:language>
  <cp:lastModifiedBy>ezhovaa@Elektra.local</cp:lastModifiedBy>
  <cp:lastPrinted>2026-05-13T00:56:00Z</cp:lastPrinted>
  <dcterms:modified xsi:type="dcterms:W3CDTF">2026-08-13T09:15:59Z</dcterms:modified>
  <cp:revision>21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