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ind w:firstLine="708"/>
        <w:jc w:val="right"/>
        <w:rPr>
          <w:rFonts w:eastAsia="Calibri"/>
          <w:szCs w:val="26"/>
        </w:rPr>
      </w:pPr>
      <w:r>
        <w:rPr>
          <w:rFonts w:eastAsia="Calibri"/>
          <w:szCs w:val="26"/>
        </w:rPr>
        <w:t xml:space="preserve">                     </w:t>
      </w:r>
      <w:r>
        <w:rPr>
          <w:rFonts w:eastAsia="Calibri"/>
        </w:rPr>
        <w:t>«УТВЕРЖДАЮ»</w:t>
        <w:tab/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 xml:space="preserve">Главный инженер 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Западных электрических сетей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ПАО «Якутскэнерго»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_____________Ж.Н. Доржиев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  <w:t>«_____» ____________20___г.</w:t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firstLine="708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ОКПД2 26.51.43.113 Поставка микроомметра ПФИ24-10Р в рамках инвестиционного проекта N508-2164</w:t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Microsoft YaHei"/>
          <w:b/>
        </w:rPr>
      </w:pPr>
      <w:r>
        <w:rPr>
          <w:rFonts w:eastAsia="Microsoft YaHei"/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  <w:id w:val="1572517321"/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rPr>
              <w:vanish/>
            </w:rPr>
            <w:t>1.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b w:val="false"/>
              <w:bCs w:val="false"/>
            </w:rPr>
            <w:tab/>
          </w:r>
          <w:r>
            <w:rPr/>
            <w:t>Общие сведения</w:t>
            <w:tab/>
          </w:r>
          <w:r>
            <w:rPr>
              <w:rFonts w:eastAsia="新細明體" w:cs="Arial" w:ascii="Calibri" w:hAnsi="Calibri" w:asciiTheme="minorHAnsi" w:cstheme="minorBidi" w:eastAsiaTheme="minorEastAsia" w:hAnsiTheme="minorHAnsi"/>
            </w:rPr>
            <w:t>1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1.1.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>Обозначения и сокращения</w:t>
            <w:tab/>
          </w:r>
          <w:r>
            <w:rPr>
              <w:rFonts w:eastAsia="新細明體" w:cs="Arial" w:cstheme="minorBidi" w:eastAsiaTheme="minorEastAsia"/>
              <w:sz w:val="24"/>
              <w:szCs w:val="24"/>
            </w:rPr>
            <w:t>1.1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1.2.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>Наименование закупаемой продукции</w:t>
            <w:tab/>
            <w:t>1.2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1.3.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sz w:val="24"/>
              <w:szCs w:val="24"/>
            </w:rPr>
            <w:tab/>
          </w:r>
          <w:r>
            <w:rPr>
              <w:sz w:val="24"/>
              <w:szCs w:val="24"/>
            </w:rPr>
            <w:t xml:space="preserve">Цель использования закупаемой продукции </w:t>
            <w:tab/>
            <w:t>1.3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rFonts w:eastAsia="新細明體" w:cs="Arial" w:cstheme="minorBidi" w:eastAsiaTheme="minorEastAsia" w:ascii="Calibri" w:hAnsi="Calibri"/>
              <w:sz w:val="24"/>
              <w:szCs w:val="24"/>
            </w:rPr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</w:t>
          </w:r>
          <w:r>
            <w:rPr>
              <w:b/>
              <w:bCs/>
              <w:sz w:val="24"/>
              <w:szCs w:val="24"/>
            </w:rPr>
            <w:t>Требование к продукции……………………………………………………………………...2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Перечень и объем закупаемой продукции……………………………………………..2.1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Требования к объемам и срокам поставки……………………………………………..2.2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</w:t>
          </w:r>
          <w:r>
            <w:rPr>
              <w:sz w:val="24"/>
              <w:szCs w:val="24"/>
            </w:rPr>
            <w:t>Требования к качеству оборудования…………………………………………………..2.3</w:t>
          </w:r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rPr>
              <w:vanish/>
            </w:rPr>
            <w:t>2.</w:t>
          </w:r>
        </w:p>
        <w:p>
          <w:pPr>
            <w:pStyle w:val="TOC4"/>
            <w:tabs>
              <w:tab w:val="clear" w:pos="570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r>
            <w:rPr>
              <w:iCs/>
              <w:vanish/>
              <w:sz w:val="24"/>
              <w:szCs w:val="24"/>
            </w:rPr>
            <w:t>2.1.</w:t>
          </w:r>
        </w:p>
      </w:sdtContent>
    </w:sdt>
    <w:p>
      <w:pPr>
        <w:pStyle w:val="Heading3"/>
        <w:rPr/>
      </w:pPr>
      <w:r>
        <w:rPr/>
        <w:t xml:space="preserve">          </w:t>
      </w:r>
      <w:r>
        <w:rPr/>
        <w:t>Приложение №1 к ТТ</w:t>
      </w:r>
    </w:p>
    <w:p>
      <w:pPr>
        <w:pStyle w:val="Heading3"/>
        <w:rPr/>
      </w:pPr>
      <w:r>
        <w:rPr/>
        <w:t xml:space="preserve">          </w:t>
      </w:r>
      <w:r>
        <w:rPr/>
        <w:t>Приложение №2 к ТТ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2"/>
        </w:numPr>
        <w:ind w:left="426" w:hanging="360"/>
        <w:jc w:val="center"/>
        <w:rPr>
          <w:caps/>
        </w:rPr>
      </w:pPr>
      <w:bookmarkStart w:id="0" w:name="_Toc75446566"/>
      <w:bookmarkStart w:id="1" w:name="_Toc51339692"/>
      <w:bookmarkEnd w:id="0"/>
      <w:bookmarkEnd w:id="1"/>
      <w:r>
        <w:rPr/>
        <w:t>Общие сведения</w:t>
      </w:r>
    </w:p>
    <w:p>
      <w:pPr>
        <w:pStyle w:val="Heading4"/>
        <w:numPr>
          <w:ilvl w:val="1"/>
          <w:numId w:val="8"/>
        </w:numPr>
        <w:tabs>
          <w:tab w:val="clear" w:pos="0"/>
        </w:tabs>
        <w:ind w:left="284" w:hanging="360"/>
        <w:rPr/>
      </w:pPr>
      <w:bookmarkStart w:id="2" w:name="_Toc46743505"/>
      <w:bookmarkStart w:id="3" w:name="_Toc75446567"/>
      <w:bookmarkEnd w:id="2"/>
      <w:bookmarkEnd w:id="3"/>
      <w:r>
        <mc:AlternateContent>
          <mc:Choice Requires="wps">
            <w:drawing>
              <wp:anchor behindDoc="0" distT="0" distB="13335" distL="113665" distR="136525" simplePos="0" locked="0" layoutInCell="0" allowOverlap="1" relativeHeight="2">
                <wp:simplePos x="0" y="0"/>
                <wp:positionH relativeFrom="margin">
                  <wp:posOffset>-461645</wp:posOffset>
                </wp:positionH>
                <wp:positionV relativeFrom="paragraph">
                  <wp:posOffset>352425</wp:posOffset>
                </wp:positionV>
                <wp:extent cx="6676390" cy="1764665"/>
                <wp:effectExtent l="0" t="635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560" cy="176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550" w:type="pct"/>
                              <w:jc w:val="left"/>
                              <w:tblInd w:w="704" w:type="dxa"/>
                              <w:tblLayout w:type="fixed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val="00a0" w:noHBand="0" w:noVBand="0" w:firstColumn="1" w:lastRow="0" w:lastColumn="0" w:firstRow="1"/>
                            </w:tblPr>
                            <w:tblGrid>
                              <w:gridCol w:w="1126"/>
                              <w:gridCol w:w="2316"/>
                              <w:gridCol w:w="6126"/>
                            </w:tblGrid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п/п 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Сокращение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Расшифровка сокращения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ЗЭС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Западные электрические сети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 ИЗПИ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Служба изоляции защиты от перенапряжения и измерений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Российская Федерация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0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Средство измерения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ТОиР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Style35"/>
                                    <w:widowControl w:val="false"/>
                                    <w:ind w:left="357" w:hanging="357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Техническое обслуживание и ремонт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3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36.35pt;margin-top:27.75pt;width:525.65pt;height:138.9pt;mso-wrap-style:none;v-text-anchor:middle;mso-position-horizontal-relative:margin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550" w:type="pct"/>
                        <w:jc w:val="left"/>
                        <w:tblInd w:w="704" w:type="dxa"/>
                        <w:tblLayout w:type="fixed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val="00a0" w:noHBand="0" w:noVBand="0" w:firstColumn="1" w:lastRow="0" w:lastColumn="0" w:firstRow="1"/>
                      </w:tblPr>
                      <w:tblGrid>
                        <w:gridCol w:w="1126"/>
                        <w:gridCol w:w="2316"/>
                        <w:gridCol w:w="6126"/>
                      </w:tblGrid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п/п 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Сокращение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Расшифровка сокращения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ЗЭС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Западные электрические сети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 ИЗПИ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Служба изоляции защиты от перенапряжения и измерений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Российская Федерация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СИ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0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Средство измерения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11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ТОиР</w:t>
                            </w:r>
                          </w:p>
                        </w:tc>
                        <w:tc>
                          <w:tcPr>
                            <w:tcW w:w="61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Style35"/>
                              <w:widowControl w:val="false"/>
                              <w:ind w:left="357" w:hanging="357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Техническое обслуживание и ремонт</w:t>
                            </w:r>
                          </w:p>
                        </w:tc>
                      </w:tr>
                    </w:tbl>
                    <w:p>
                      <w:pPr>
                        <w:pStyle w:val="Style3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w:t>Обозначения и сокращения</w:t>
      </w:r>
    </w:p>
    <w:p>
      <w:pPr>
        <w:pStyle w:val="Heading4"/>
        <w:numPr>
          <w:ilvl w:val="1"/>
          <w:numId w:val="8"/>
        </w:numPr>
        <w:tabs>
          <w:tab w:val="clear" w:pos="0"/>
        </w:tabs>
        <w:ind w:left="0" w:hanging="0"/>
        <w:rPr/>
      </w:pPr>
      <w:r>
        <w:rPr>
          <w:rFonts w:eastAsia="Times New Roman"/>
          <w:lang w:val="ru-RU"/>
        </w:rPr>
        <w:t>Наименование закупаемой продукции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 xml:space="preserve">    </w:t>
      </w:r>
      <w:r>
        <w:rPr>
          <w:sz w:val="24"/>
          <w:szCs w:val="24"/>
          <w:lang w:val="x-none" w:eastAsia="x-none"/>
        </w:rPr>
        <w:t>Пр</w:t>
      </w:r>
      <w:r>
        <w:rPr>
          <w:b w:val="false"/>
          <w:bCs w:val="false"/>
          <w:sz w:val="24"/>
          <w:szCs w:val="24"/>
          <w:lang w:val="x-none" w:eastAsia="x-none"/>
        </w:rPr>
        <w:t xml:space="preserve">ибор </w:t>
      </w:r>
      <w:r>
        <w:rPr>
          <w:rFonts w:eastAsia="Calibri"/>
          <w:b w:val="false"/>
          <w:bCs w:val="false"/>
          <w:sz w:val="26"/>
          <w:szCs w:val="26"/>
          <w:lang w:val="x-none" w:eastAsia="x-none"/>
        </w:rPr>
        <w:t>микроомметр ПФИ24-10Р</w:t>
      </w:r>
      <w:r>
        <w:rPr>
          <w:b w:val="false"/>
          <w:bCs w:val="false"/>
          <w:sz w:val="24"/>
          <w:szCs w:val="24"/>
          <w:lang w:val="x-none" w:eastAsia="x-none"/>
        </w:rPr>
        <w:t xml:space="preserve"> дл</w:t>
      </w:r>
      <w:r>
        <w:rPr>
          <w:sz w:val="24"/>
          <w:szCs w:val="24"/>
          <w:lang w:val="x-none" w:eastAsia="x-none"/>
        </w:rPr>
        <w:t xml:space="preserve">я измерения электрического сопротивления постоянному току объектов, внесен в Госреестр под № </w:t>
      </w:r>
      <w:r>
        <w:rPr>
          <w:caps w:val="false"/>
          <w:smallCaps w:val="false"/>
          <w:color w:val="333333"/>
          <w:spacing w:val="0"/>
          <w:sz w:val="24"/>
          <w:szCs w:val="24"/>
          <w:lang w:val="x-none" w:eastAsia="x-none"/>
        </w:rPr>
        <w:t xml:space="preserve">  58471-14 </w:t>
      </w:r>
      <w:r>
        <w:rPr>
          <w:sz w:val="24"/>
          <w:szCs w:val="24"/>
          <w:lang w:val="x-none" w:eastAsia="x-none"/>
        </w:rPr>
        <w:t>(или аналог, являющийся средством измерений, внесенным в Государственный реестр средств измерений РФ).</w:t>
      </w:r>
    </w:p>
    <w:p>
      <w:pPr>
        <w:pStyle w:val="ListParagraph"/>
        <w:numPr>
          <w:ilvl w:val="1"/>
          <w:numId w:val="8"/>
        </w:numPr>
        <w:ind w:left="284" w:hanging="284"/>
        <w:jc w:val="both"/>
        <w:rPr>
          <w:rFonts w:cs="Calibri"/>
          <w:b/>
        </w:rPr>
      </w:pPr>
      <w:bookmarkStart w:id="4" w:name="_Toc46743507"/>
      <w:bookmarkStart w:id="5" w:name="_Toc75446569"/>
      <w:r>
        <w:rPr>
          <w:b/>
        </w:rPr>
        <w:t xml:space="preserve">Цель </w:t>
      </w:r>
      <w:bookmarkEnd w:id="4"/>
      <w:bookmarkEnd w:id="5"/>
      <w:r>
        <w:rPr>
          <w:b/>
        </w:rPr>
        <w:t xml:space="preserve">использования закупаемой продукции </w:t>
      </w:r>
    </w:p>
    <w:p>
      <w:pPr>
        <w:pStyle w:val="Normal"/>
        <w:jc w:val="both"/>
        <w:rPr/>
      </w:pPr>
      <w:r>
        <w:rPr>
          <w:sz w:val="24"/>
          <w:szCs w:val="24"/>
        </w:rPr>
        <w:t>Переносный цифровой измеритель сопротивлений ПФИ24-10Р (микроомметр) предназначен для измерения методом вольтметра-амперметра сопротивления постоянному току цепей, содержащих может быть значительную индуктивность. К таким цепям относятся, например, обмотки силовых трансформаторов и электродвигателей. Измеритель ПФИ24-10Р имеет функцию, обеспечивающую автоматическое исполнение стандартной процедуры размагничивания магнитопровода силового трансформатора плавно снижающимся током от 5 А до 0,1 А. Прибор подключается к объекту измерения по четыр</w:t>
      </w:r>
      <w:r>
        <w:rPr>
          <w:sz w:val="24"/>
          <w:szCs w:val="24"/>
        </w:rPr>
        <w:t>ё</w:t>
      </w:r>
      <w:r>
        <w:rPr>
          <w:sz w:val="24"/>
          <w:szCs w:val="24"/>
        </w:rPr>
        <w:t>хпроводной схеме.</w:t>
      </w:r>
    </w:p>
    <w:p>
      <w:pPr>
        <w:pStyle w:val="ListParagraph"/>
        <w:tabs>
          <w:tab w:val="clear" w:pos="720"/>
          <w:tab w:val="left" w:pos="563" w:leader="none"/>
          <w:tab w:val="left" w:pos="567" w:leader="none"/>
        </w:tabs>
        <w:ind w:left="0" w:hanging="0"/>
        <w:jc w:val="both"/>
        <w:rPr/>
      </w:pPr>
      <w:r>
        <w:rPr/>
        <w:t>Соблюдение требований РД 34.45-51.300-97 «Объем и нормы испытаний электрооборудования».</w:t>
      </w:r>
    </w:p>
    <w:p>
      <w:pPr>
        <w:pStyle w:val="Normal"/>
        <w:tabs>
          <w:tab w:val="clear" w:pos="720"/>
          <w:tab w:val="left" w:pos="851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"/>
        </w:numPr>
        <w:ind w:left="426" w:hanging="426"/>
        <w:jc w:val="center"/>
        <w:rPr>
          <w:caps/>
          <w:lang w:val="ru-RU"/>
        </w:rPr>
      </w:pPr>
      <w:bookmarkStart w:id="6" w:name="_Toc51339693"/>
      <w:bookmarkStart w:id="7" w:name="_Toc75446573"/>
      <w:bookmarkEnd w:id="6"/>
      <w:bookmarkEnd w:id="7"/>
      <w:r>
        <w:rPr/>
        <w:t>Требования к продукции</w:t>
      </w:r>
    </w:p>
    <w:p>
      <w:pPr>
        <w:pStyle w:val="Heading3"/>
        <w:numPr>
          <w:ilvl w:val="1"/>
          <w:numId w:val="2"/>
        </w:numPr>
        <w:rPr/>
      </w:pPr>
      <w:r>
        <w:rPr/>
        <w:t>Перечень и объем закупаемой продукции</w:t>
      </w:r>
    </w:p>
    <w:p>
      <w:pPr>
        <w:pStyle w:val="Heading3"/>
        <w:rPr/>
      </w:pPr>
      <w:bookmarkStart w:id="8" w:name="_Toc51339695"/>
      <w:bookmarkStart w:id="9" w:name="_Toc75446576"/>
      <w:r>
        <w:rPr/>
        <w:t xml:space="preserve">Таблица </w:t>
      </w:r>
      <w:r>
        <w:rPr>
          <w:lang w:val="ru-RU"/>
        </w:rPr>
        <w:t>1.</w:t>
      </w:r>
      <w:r>
        <w:rPr/>
        <w:t xml:space="preserve"> Перечень </w:t>
      </w:r>
      <w:bookmarkEnd w:id="8"/>
      <w:bookmarkEnd w:id="9"/>
      <w:r>
        <w:rPr/>
        <w:t>и объем закупаемой продукции</w:t>
      </w:r>
    </w:p>
    <w:tbl>
      <w:tblPr>
        <w:tblW w:w="10233" w:type="dxa"/>
        <w:jc w:val="left"/>
        <w:tblInd w:w="10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0"/>
        <w:gridCol w:w="3878"/>
        <w:gridCol w:w="1276"/>
        <w:gridCol w:w="708"/>
        <w:gridCol w:w="1557"/>
        <w:gridCol w:w="1983"/>
      </w:tblGrid>
      <w:tr>
        <w:trPr>
          <w:trHeight w:val="574" w:hRule="atLeast"/>
        </w:trPr>
        <w:tc>
          <w:tcPr>
            <w:tcW w:w="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bookmarkStart w:id="10" w:name="_Toc75446577"/>
            <w:bookmarkEnd w:id="10"/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8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ОКПД2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>
        <w:trPr/>
        <w:tc>
          <w:tcPr>
            <w:tcW w:w="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sz w:val="24"/>
                <w:szCs w:val="24"/>
              </w:rPr>
              <w:t>Измеритель ПФИ24-10Р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26.51.43.113</w:t>
              <w:tab/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Установлено преимущество Российского производства</w:t>
            </w:r>
          </w:p>
        </w:tc>
      </w:tr>
    </w:tbl>
    <w:p>
      <w:pPr>
        <w:pStyle w:val="Heading3"/>
        <w:ind w:left="432" w:hanging="0"/>
        <w:rPr>
          <w:highlight w:val="yellow"/>
          <w:lang w:val="ru-RU"/>
        </w:rPr>
      </w:pPr>
      <w:r>
        <w:rPr>
          <w:highlight w:val="yellow"/>
          <w:lang w:val="ru-RU"/>
        </w:rPr>
      </w:r>
    </w:p>
    <w:p>
      <w:pPr>
        <w:pStyle w:val="Heading3"/>
        <w:rPr/>
      </w:pPr>
      <w:bookmarkStart w:id="11" w:name="_Toc75446575"/>
      <w:r>
        <w:rPr>
          <w:lang w:val="ru-RU"/>
        </w:rPr>
        <w:t xml:space="preserve">2.2.  </w:t>
      </w:r>
      <w:bookmarkEnd w:id="11"/>
      <w:r>
        <w:rPr/>
        <w:t>Требования к объемам и срокам поставки</w:t>
      </w:r>
      <w:bookmarkStart w:id="12" w:name="_Toc501251261"/>
      <w:bookmarkStart w:id="13" w:name="_GoBack"/>
      <w:bookmarkEnd w:id="12"/>
      <w:bookmarkEnd w:id="13"/>
      <w:r>
        <w:rPr/>
        <w:t xml:space="preserve">              </w:t>
      </w:r>
    </w:p>
    <w:p>
      <w:pPr>
        <w:pStyle w:val="Heading3"/>
        <w:rPr>
          <w:lang w:val="ru-RU"/>
        </w:rPr>
      </w:pPr>
      <w:r>
        <w:rPr/>
        <w:t xml:space="preserve">Таблица </w:t>
      </w:r>
      <w:r>
        <w:rPr>
          <w:lang w:val="ru-RU"/>
        </w:rPr>
        <w:t>2</w:t>
      </w:r>
      <w:r>
        <w:rPr/>
        <w:t xml:space="preserve">. </w:t>
      </w:r>
      <w:bookmarkStart w:id="14" w:name="_Hlk50465284"/>
      <w:r>
        <w:rPr/>
        <w:t xml:space="preserve">Требования по срокам </w:t>
      </w:r>
      <w:bookmarkEnd w:id="14"/>
      <w:r>
        <w:rPr>
          <w:lang w:val="ru-RU"/>
        </w:rPr>
        <w:t>поставки продукции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981"/>
        <w:gridCol w:w="2973"/>
        <w:gridCol w:w="2977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0"/>
              <w:keepNext w:val="false"/>
              <w:widowControl w:val="false"/>
              <w:spacing w:before="0" w:after="4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0"/>
              <w:keepNext w:val="false"/>
              <w:widowControl w:val="false"/>
              <w:spacing w:before="0" w:after="4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>
        <w:trPr>
          <w:trHeight w:val="759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iCs/>
                <w:color w:val="000000"/>
                <w:sz w:val="24"/>
                <w:szCs w:val="24"/>
              </w:rPr>
              <w:t>Измеритель ПФИ24-10Р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15" w:name="_Toc46743510"/>
            <w:bookmarkEnd w:id="15"/>
            <w:r>
              <w:rPr>
                <w:sz w:val="22"/>
                <w:szCs w:val="22"/>
              </w:rPr>
              <w:t>В течение 90 календарных дней с даты заключения договора</w:t>
            </w:r>
          </w:p>
        </w:tc>
      </w:tr>
    </w:tbl>
    <w:p>
      <w:pPr>
        <w:pStyle w:val="Normal"/>
        <w:tabs>
          <w:tab w:val="clear" w:pos="720"/>
          <w:tab w:val="left" w:pos="567" w:leader="none"/>
        </w:tabs>
        <w:spacing w:before="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964" w:footer="0" w:bottom="567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20"/>
          <w:tab w:val="left" w:pos="567" w:leader="none"/>
        </w:tabs>
        <w:spacing w:before="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before="0" w:after="120"/>
        <w:ind w:left="426" w:hanging="426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качеству </w:t>
      </w:r>
      <w:r>
        <w:rPr>
          <w:b/>
        </w:rPr>
        <w:t>оборудования</w:t>
      </w:r>
      <w:r>
        <w:rPr>
          <w:b/>
          <w:bCs/>
        </w:rPr>
        <w:t xml:space="preserve"> </w:t>
      </w:r>
    </w:p>
    <w:p>
      <w:pPr>
        <w:pStyle w:val="Normal"/>
        <w:tabs>
          <w:tab w:val="clear" w:pos="720"/>
          <w:tab w:val="left" w:pos="567" w:leader="none"/>
        </w:tabs>
        <w:spacing w:before="0" w:after="12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3. Требования к продукции</w:t>
      </w:r>
    </w:p>
    <w:tbl>
      <w:tblPr>
        <w:tblStyle w:val="affff7"/>
        <w:tblW w:w="151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4"/>
        <w:gridCol w:w="2789"/>
        <w:gridCol w:w="4356"/>
        <w:gridCol w:w="1845"/>
        <w:gridCol w:w="3434"/>
        <w:gridCol w:w="1809"/>
      </w:tblGrid>
      <w:tr>
        <w:trPr/>
        <w:tc>
          <w:tcPr>
            <w:tcW w:w="9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7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5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52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5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11" w:right="-158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firstLine="142"/>
              <w:contextualSpacing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продукции представлена в Приложении № 1, Приложении №2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1.2.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Требования по безопасности 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Поставляемое приборы должны соответствовать требованиям ГОСТ 12.2.007.0-75 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1.3.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новизне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 использованной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2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0"/>
                <w:lang w:val="ru-RU" w:eastAsia="ru-RU" w:bidi="ar-SA"/>
              </w:rPr>
              <w:t>Требования к используемым материалам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4356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rFonts w:eastAsia="Times New Roman" w:cs="Times New Roman"/>
                <w:kern w:val="0"/>
                <w:sz w:val="22"/>
                <w:szCs w:val="20"/>
                <w:lang w:val="ru-RU" w:eastAsia="ru-RU" w:bidi="ar-SA"/>
              </w:rPr>
              <w:t>Предлагаемые приборы должны соответствовать содержанию опросных листов.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0"/>
                <w:lang w:val="ru-RU" w:eastAsia="ru-RU" w:bidi="ar-SA"/>
              </w:rPr>
              <w:t>В случае, если Участником предлагаются эквиваленты требуемого Заказчику оборудования или его составных частей, в составе своего предложения, он должен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 Поставщиком на центральный склад ЗЭС ПАО «Якутскэнерго», Республика Саха (Якутия), г. Мирный, Ленинградский пр., 5/2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32" w:hanging="551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2"/>
                <w:szCs w:val="22"/>
                <w:lang w:val="ru-RU" w:eastAsia="ru-RU" w:bidi="ar-SA"/>
              </w:rPr>
              <w:t>Требования к отгрузке и упаковке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432" w:hanging="551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маркировке товара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Маркировка – по ГОСТ Р 52565-2006.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Отправленное оборудование должно иметь следующие сопроводительные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транспортная накладная или иной документ, ее заменяющий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спецификация с техническими характеристиками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упаковочный лист – 1 экз.;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свидетельство о поверке прибора на бумажном носителе - 2 экз.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ind w:left="424" w:hanging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ind w:left="424" w:hanging="284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декларация о соответствии – 1 экз.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 комплект должны входить паспорт, инструкции по эксплуатации оборудования, свидетельство о поверке.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наименование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гарантийные обязательства Поставщика;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информация о поверке прибора;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424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4.1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 оборудованием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К комплекту поставленного оборудования прилагается следующая эксплуатационная документация: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Руководство по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Технический паспорт;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>Гарантийный талон;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Свидетельство о поверке на каждый прибор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566" w:hanging="284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rFonts w:cs="Times New Roman"/>
                <w:iCs/>
                <w:kern w:val="0"/>
                <w:sz w:val="22"/>
                <w:szCs w:val="22"/>
                <w:lang w:val="ru-RU" w:eastAsia="ru-RU" w:bidi="ar-SA"/>
              </w:rPr>
              <w:t xml:space="preserve">Декларация соответствия 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составе заявки представить подробные техническое описания оборудования в соответствии с Приложением № 1 к Техническим требованиям, а также представить руководства по эксплуатации, габаритные или монтажные чертежи.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Требования к гарантиям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Гарантийный срок эксплуатации  12 месяцев с момента ввода в эксплуатацию.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Ответственность поставщика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случае обнаружения в течение Гарантийного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2"/>
                <w:szCs w:val="22"/>
              </w:rPr>
            </w:pPr>
            <w:bookmarkStart w:id="16" w:name="_Toc125528945"/>
            <w:bookmarkStart w:id="17" w:name="_Toc125529082"/>
            <w:bookmarkStart w:id="18" w:name="_Toc126221527"/>
            <w:bookmarkStart w:id="19" w:name="_Toc126229670"/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  <w:bookmarkEnd w:id="16"/>
            <w:bookmarkEnd w:id="17"/>
            <w:bookmarkEnd w:id="18"/>
            <w:bookmarkEnd w:id="19"/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6.</w:t>
            </w:r>
          </w:p>
        </w:tc>
        <w:tc>
          <w:tcPr>
            <w:tcW w:w="71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6.1</w:t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составе заявки необходимо представить:</w:t>
            </w:r>
          </w:p>
        </w:tc>
        <w:tc>
          <w:tcPr>
            <w:tcW w:w="4356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 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</w:t>
            </w:r>
          </w:p>
        </w:tc>
        <w:tc>
          <w:tcPr>
            <w:tcW w:w="180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567" w:right="96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2"/>
        <w:rPr>
          <w:lang w:val="ru-RU"/>
        </w:rPr>
      </w:pPr>
      <w:bookmarkStart w:id="20" w:name="_Toc130974396"/>
      <w:bookmarkStart w:id="21" w:name="_Toc137563327"/>
      <w:bookmarkStart w:id="22" w:name="_Toc125528950"/>
      <w:bookmarkStart w:id="23" w:name="_Toc126229675"/>
      <w:r>
        <w:rPr/>
        <w:t>Приложение №</w:t>
      </w:r>
      <w:bookmarkEnd w:id="22"/>
      <w:bookmarkEnd w:id="23"/>
      <w:r>
        <w:rPr/>
        <w:t>1</w:t>
      </w:r>
      <w:bookmarkEnd w:id="20"/>
      <w:bookmarkEnd w:id="21"/>
      <w:r>
        <w:rPr>
          <w:lang w:val="ru-RU"/>
        </w:rPr>
        <w:t xml:space="preserve"> к ТТ</w:t>
      </w:r>
    </w:p>
    <w:p>
      <w:pPr>
        <w:pStyle w:val="Heading2"/>
        <w:rPr>
          <w:b w:val="false"/>
          <w:lang w:val="ru-RU"/>
        </w:rPr>
      </w:pPr>
      <w:r>
        <w:rPr>
          <w:b w:val="false"/>
          <w:lang w:val="ru-RU"/>
        </w:rPr>
        <w:t>Прибор Омметр ВИТОК (с комбинированным питанием) — омметр</w:t>
      </w:r>
    </w:p>
    <w:tbl>
      <w:tblPr>
        <w:tblW w:w="1021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3692"/>
        <w:gridCol w:w="3945"/>
        <w:gridCol w:w="1901"/>
      </w:tblGrid>
      <w:tr>
        <w:trPr>
          <w:cantSplit w:val="true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Требования к параметрам </w:t>
            </w:r>
            <w:r>
              <w:rPr>
                <w:sz w:val="24"/>
                <w:szCs w:val="24"/>
              </w:rPr>
              <w:t>оборудования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Предложение участника</w:t>
            </w:r>
            <w:r>
              <w:rPr>
                <w:rStyle w:val="FootnoteReference"/>
                <w:sz w:val="24"/>
                <w:szCs w:val="24"/>
                <w:vertAlign w:val="superscript"/>
              </w:rPr>
              <w:footnoteReference w:id="2"/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11" w:hRule="atLeast"/>
          <w:cantSplit w:val="true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 xml:space="preserve">Обязательные требования </w:t>
            </w:r>
            <w:r>
              <w:rPr>
                <w:rStyle w:val="FootnoteReference"/>
                <w:bCs/>
                <w:sz w:val="24"/>
                <w:szCs w:val="24"/>
                <w:vertAlign w:val="superscript"/>
              </w:rPr>
              <w:footnoteReference w:id="3"/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техническим параметрам, характеристикам, функциям оборудования: </w:t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измеряемых сопротивлений, Ом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10⁻⁶...2*10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Погрешность измерения сопротивления, %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±0,2%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ток, А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0,001...10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рабочих температур </w:t>
            </w:r>
            <w:r>
              <w:rPr>
                <w:sz w:val="24"/>
                <w:szCs w:val="24"/>
              </w:rPr>
              <w:t>при относительной влажности 98%</w:t>
            </w:r>
            <w:r>
              <w:rPr>
                <w:sz w:val="24"/>
                <w:szCs w:val="24"/>
              </w:rPr>
              <w:t>, °С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до + 40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Потребляемая мощность, ВА, не более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 прибора от сети частотой 50 Гц, В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4"/>
                <w:szCs w:val="24"/>
              </w:rPr>
              <w:t>Требования к конструкции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изготовлению и материалам оборудования:</w:t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24" w:name="_Toc186210419"/>
            <w:r>
              <w:rPr>
                <w:rFonts w:eastAsia="Calibri"/>
                <w:bCs/>
                <w:sz w:val="24"/>
                <w:szCs w:val="24"/>
              </w:rPr>
              <w:t>Габаритные размеры, мм</w:t>
            </w:r>
            <w:bookmarkEnd w:id="24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390x170x150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25" w:name="_Toc186210420"/>
            <w:r>
              <w:rPr>
                <w:rFonts w:eastAsia="Calibri"/>
                <w:bCs/>
                <w:sz w:val="24"/>
                <w:szCs w:val="24"/>
              </w:rPr>
              <w:t>Масса прибора, кг</w:t>
            </w:r>
            <w:bookmarkEnd w:id="25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7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факторам:</w:t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26" w:name="_Toc186210421"/>
            <w:r>
              <w:rPr>
                <w:rFonts w:eastAsia="Calibri"/>
                <w:sz w:val="24"/>
                <w:szCs w:val="24"/>
                <w:lang w:val="x-none" w:eastAsia="x-none"/>
              </w:rPr>
              <w:t>Климатическое исполнение и категория размещения</w:t>
            </w:r>
            <w:bookmarkEnd w:id="26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заводом изготовителем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27" w:name="_Toc186210422"/>
            <w:r>
              <w:rPr>
                <w:rFonts w:eastAsia="Calibri"/>
                <w:sz w:val="24"/>
                <w:szCs w:val="24"/>
                <w:lang w:val="x-none" w:eastAsia="x-none"/>
              </w:rPr>
              <w:t>Температура окружающего воздуха,  ºС</w:t>
            </w:r>
            <w:bookmarkEnd w:id="27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-20  до +40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экономическим параметрам поставляемого оборудования:</w:t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28" w:name="_Toc186210423"/>
            <w:r>
              <w:rPr>
                <w:rFonts w:eastAsia="Calibri"/>
                <w:bCs/>
                <w:sz w:val="24"/>
                <w:szCs w:val="24"/>
              </w:rPr>
              <w:t>Наработка на отказ</w:t>
            </w:r>
            <w:bookmarkEnd w:id="28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/>
                <w:sz w:val="24"/>
                <w:szCs w:val="24"/>
                <w:lang w:val="x-none" w:eastAsia="x-none"/>
              </w:rPr>
            </w:pPr>
            <w:bookmarkStart w:id="29" w:name="_Toc186210424"/>
            <w:r>
              <w:rPr>
                <w:rFonts w:eastAsia="Calibri"/>
                <w:sz w:val="24"/>
                <w:szCs w:val="24"/>
                <w:lang w:val="x-none" w:eastAsia="x-none"/>
              </w:rPr>
              <w:t>Назначенный срок службы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не менее</w:t>
            </w:r>
            <w:bookmarkEnd w:id="29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заводом изготовителем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33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30" w:name="_Toc186210425"/>
            <w:r>
              <w:rPr>
                <w:rFonts w:eastAsia="Calibri"/>
                <w:sz w:val="24"/>
                <w:szCs w:val="24"/>
                <w:lang w:eastAsia="x-none"/>
              </w:rPr>
              <w:t>Периодичность выполнения и объем ремонтов</w:t>
            </w:r>
            <w:bookmarkEnd w:id="30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Должна быть предоставлена информация с требованиями по техническому обслуживанию и ремонту (периодичность, объём ТОиР).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31" w:name="_Toc186210426"/>
            <w:r>
              <w:rPr>
                <w:rFonts w:eastAsia="Calibri"/>
                <w:sz w:val="24"/>
                <w:szCs w:val="24"/>
                <w:lang w:eastAsia="x-none"/>
              </w:rPr>
              <w:t>Периодичность выполнения и объем ТО</w:t>
            </w:r>
            <w:bookmarkEnd w:id="31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Должна быть предоставлена информация с требованиями по техническому обслуживанию и ремонту (периодичность, объём ТОиР).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маркировке, упаковке, транспортировке, условиям хранения:</w:t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2" w:name="_Toc186210427"/>
            <w:r>
              <w:rPr>
                <w:rFonts w:eastAsia="Calibri"/>
                <w:bCs/>
                <w:sz w:val="24"/>
                <w:szCs w:val="24"/>
              </w:rPr>
              <w:t>Маркировка, упаковка и консервация (да, нет)</w:t>
            </w:r>
            <w:bookmarkEnd w:id="32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/>
            </w:pPr>
            <w:r>
              <w:rPr>
                <w:bCs/>
                <w:sz w:val="24"/>
                <w:szCs w:val="24"/>
              </w:rPr>
              <w:t>Все органы управления и контроля должны иметь четкие надписи с указанием их назначения в соответствии со схемами.</w:t>
            </w:r>
          </w:p>
          <w:p>
            <w:pPr>
              <w:pStyle w:val="Normal"/>
              <w:widowControl w:val="false"/>
              <w:ind w:firstLine="709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Пульт управления и генератор высоковольтный должны иметь следующие данные: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товарный знак предприятия-изготовителя или его наименование;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наименование;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тип;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заводской номер;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ind w:left="709" w:hanging="709"/>
              <w:jc w:val="both"/>
              <w:rPr>
                <w:color w:val="C9211E"/>
              </w:rPr>
            </w:pPr>
            <w:r>
              <w:rPr>
                <w:color w:val="C9211E"/>
                <w:sz w:val="24"/>
                <w:szCs w:val="24"/>
              </w:rPr>
              <w:t>условное обозначение степени защиты;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год выпуска.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должен быть упакован на предприятии-изготовителе согласно требованиям, предусмотренным конструкторской документацией.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должна обеспечивать защиту изделий от механических повреждений при транспортировке и хранении.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  <w:lang w:val="x-none" w:eastAsia="x-none"/>
              </w:rPr>
            </w:pPr>
            <w:bookmarkStart w:id="33" w:name="_Toc186210428"/>
            <w:r>
              <w:rPr>
                <w:rFonts w:eastAsia="Calibri"/>
                <w:bCs/>
                <w:sz w:val="24"/>
                <w:szCs w:val="24"/>
                <w:lang w:val="x-none" w:eastAsia="x-none"/>
              </w:rPr>
              <w:t>Условия транспортирования</w:t>
            </w:r>
            <w:bookmarkEnd w:id="33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условиями договора поставки.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/>
                <w:sz w:val="24"/>
                <w:szCs w:val="24"/>
                <w:lang w:val="x-none" w:eastAsia="x-none"/>
              </w:rPr>
            </w:pPr>
            <w:bookmarkStart w:id="34" w:name="_Toc186210429"/>
            <w:r>
              <w:rPr>
                <w:rFonts w:eastAsia="Calibri"/>
                <w:bCs/>
                <w:sz w:val="24"/>
                <w:szCs w:val="24"/>
                <w:lang w:val="x-none" w:eastAsia="x-none"/>
              </w:rPr>
              <w:t xml:space="preserve">Срок хранения в упаковке изготовителя, отдельно хранящихся деталей, сборочных единиц, ЗИП </w:t>
            </w:r>
            <w:r>
              <w:rPr>
                <w:rFonts w:eastAsia="Calibri"/>
                <w:bCs/>
                <w:i/>
                <w:sz w:val="24"/>
                <w:szCs w:val="24"/>
                <w:lang w:eastAsia="x-none"/>
              </w:rPr>
              <w:t>(в случае, если Поставщик является производителем)</w:t>
            </w:r>
            <w:bookmarkEnd w:id="34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Гарантийный срок хранения – не менее 12 месяцев с момента поставки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val="x-none" w:eastAsia="x-none"/>
              </w:rPr>
            </w:pPr>
            <w:bookmarkStart w:id="35" w:name="_Toc186210430"/>
            <w:r>
              <w:rPr>
                <w:rFonts w:eastAsia="Calibri"/>
                <w:sz w:val="24"/>
                <w:szCs w:val="24"/>
                <w:lang w:val="x-none" w:eastAsia="x-none"/>
              </w:rPr>
              <w:t>Наличие сертификатов соответствия ГОСТ, на поставляемое оборудование</w:t>
            </w:r>
            <w:bookmarkEnd w:id="35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должен быть внесен в Государственный реестр средств измерений РФ</w:t>
            </w:r>
          </w:p>
          <w:p>
            <w:pPr>
              <w:pStyle w:val="Normal"/>
              <w:widowControl w:val="false"/>
              <w:jc w:val="both"/>
              <w:rPr>
                <w:rFonts w:ascii="Times New Roman CYR" w:hAnsi="Times New Roman CYR" w:cs="Times New Roman CYR"/>
                <w:sz w:val="24"/>
                <w:szCs w:val="20"/>
              </w:rPr>
            </w:pPr>
            <w:r>
              <w:rPr>
                <w:sz w:val="24"/>
                <w:szCs w:val="24"/>
              </w:rPr>
              <w:t>Прибор должен быть утверждённого типа и иметь действующее свидетельство (сертификат) об утверждении типа СИ с его неотъемлемой частью – описанием типа СИ.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поставляется с действующим свидетельством о первичной поверке, выданным организацией, аккредитованной в области обеспечения единства измерений в установленном в РФ порядке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sz w:val="24"/>
                <w:szCs w:val="24"/>
                <w:lang w:eastAsia="x-none"/>
              </w:rPr>
            </w:pPr>
            <w:bookmarkStart w:id="36" w:name="_Toc186210431"/>
            <w:r>
              <w:rPr>
                <w:rFonts w:eastAsia="Calibri"/>
                <w:sz w:val="24"/>
                <w:szCs w:val="24"/>
                <w:lang w:eastAsia="x-none"/>
              </w:rPr>
              <w:t>Наличие сервисного центра в РФ</w:t>
            </w:r>
            <w:bookmarkEnd w:id="36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7" w:name="_Toc186210432"/>
            <w:r>
              <w:rPr>
                <w:rFonts w:eastAsia="Calibri"/>
                <w:bCs/>
                <w:sz w:val="24"/>
                <w:szCs w:val="24"/>
              </w:rPr>
              <w:t>Срок гарантии на оборудование</w:t>
            </w:r>
            <w:bookmarkEnd w:id="37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</w:rPr>
              <w:t>Гарантийный срок эксплуатации - не менее 36 месяцев, со дня ввода в эксплуатацию покупателем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33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8" w:name="_Toc186210433"/>
            <w:r>
              <w:rPr>
                <w:rFonts w:eastAsia="Calibri"/>
                <w:bCs/>
                <w:sz w:val="24"/>
                <w:szCs w:val="24"/>
              </w:rPr>
              <w:t>Место поставки оборудования</w:t>
            </w:r>
            <w:bookmarkEnd w:id="38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678174, Российская Федерация, Республика Саха (Якутия), г. Мирный, Ленинградский пр-т, 5/2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39" w:name="_Toc186210434"/>
            <w:r>
              <w:rPr>
                <w:rFonts w:eastAsia="Calibri"/>
                <w:bCs/>
                <w:sz w:val="24"/>
                <w:szCs w:val="24"/>
              </w:rPr>
              <w:t>Объем поставки оборудования</w:t>
            </w:r>
            <w:bookmarkEnd w:id="39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Омметр Виток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40" w:name="_Toc186210435"/>
            <w:r>
              <w:rPr>
                <w:rFonts w:eastAsia="Calibri"/>
                <w:bCs/>
                <w:sz w:val="24"/>
                <w:szCs w:val="24"/>
              </w:rPr>
              <w:t>Объем комплектации</w:t>
            </w:r>
            <w:bookmarkEnd w:id="40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95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2842"/>
              <w:gridCol w:w="848"/>
            </w:tblGrid>
            <w:tr>
              <w:trPr>
                <w:trHeight w:val="315" w:hRule="atLeast"/>
              </w:trPr>
              <w:tc>
                <w:tcPr>
                  <w:tcW w:w="2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b/>
                      <w:sz w:val="20"/>
                      <w:szCs w:val="20"/>
                    </w:rPr>
                    <w:t>Кол-во, шт.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Омметр ВИТОК (с комбинированным питанием)</w:t>
                  </w: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Руководство по эксплуатации</w:t>
                  </w: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2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Входной кабель по ДЗ Гибкие входные соединительные провода — для ПФИ24-10Р (10м)</w:t>
                  </w:r>
                </w:p>
              </w:tc>
              <w:tc>
                <w:tcPr>
                  <w:tcW w:w="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41" w:name="_Toc186210436"/>
            <w:r>
              <w:rPr>
                <w:rFonts w:eastAsia="Calibri"/>
                <w:bCs/>
                <w:sz w:val="24"/>
                <w:szCs w:val="24"/>
              </w:rPr>
              <w:t>Условия поставки</w:t>
            </w:r>
            <w:bookmarkEnd w:id="41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Условия транспортировки оборудования, погрузка – разгрузка (силами и средствами Поставщика)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spacing w:before="120" w:after="60"/>
              <w:ind w:left="0" w:hanging="0"/>
              <w:outlineLvl w:val="0"/>
              <w:rPr>
                <w:rFonts w:eastAsia="Calibri"/>
                <w:bCs/>
                <w:sz w:val="24"/>
                <w:szCs w:val="24"/>
              </w:rPr>
            </w:pPr>
            <w:bookmarkStart w:id="42" w:name="_Toc186210437"/>
            <w:r>
              <w:rPr>
                <w:rFonts w:eastAsia="Calibri"/>
                <w:bCs/>
                <w:sz w:val="24"/>
                <w:szCs w:val="24"/>
              </w:rPr>
              <w:t>Импортозамещение</w:t>
            </w:r>
            <w:bookmarkEnd w:id="42"/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Heading2"/>
        <w:spacing w:before="120" w:after="60"/>
        <w:rPr>
          <w:lang w:val="ru-RU"/>
        </w:rPr>
      </w:pPr>
      <w:r>
        <w:rPr>
          <w:lang w:val="ru-RU"/>
        </w:rPr>
        <w:t xml:space="preserve">Начальник С ИЗПИ                                                                                               В.К. Молчанов </w:t>
      </w:r>
    </w:p>
    <w:sectPr>
      <w:headerReference w:type="default" r:id="rId6"/>
      <w:headerReference w:type="first" r:id="rId7"/>
      <w:footnotePr>
        <w:numFmt w:val="decimal"/>
      </w:footnotePr>
      <w:type w:val="nextPage"/>
      <w:pgSz w:w="11906" w:h="16838"/>
      <w:pgMar w:left="1134" w:right="851" w:gutter="0" w:header="680" w:top="96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>
          <w:sz w:val="16"/>
          <w:szCs w:val="16"/>
        </w:rPr>
      </w:pPr>
      <w:r>
        <w:rPr>
          <w:rStyle w:val="Style13"/>
        </w:rPr>
        <w:footnoteRef/>
      </w:r>
      <w:r>
        <w:rPr/>
        <w:t xml:space="preserve"> </w:t>
      </w:r>
      <w:r>
        <w:rPr>
          <w:sz w:val="16"/>
          <w:szCs w:val="16"/>
        </w:rPr>
        <w:t>Не допускается Участникам конкурентных процедур в предложении ограничиваться типовыми фразами («готовы выполнить все в соответствии с ТТ», «со всем согласны» и т.д.) или копированием конкретных требований из ТТ, необходимо самостоятельно заполнить все ячейки с описанием предлагаемых характеристик оборудования, технологий выполнения работ, значений, величин и т.д.</w:t>
      </w:r>
    </w:p>
  </w:footnote>
  <w:footnote w:id="3">
    <w:p>
      <w:pPr>
        <w:pStyle w:val="FootnoteText"/>
        <w:widowControl w:val="false"/>
        <w:rPr>
          <w:sz w:val="16"/>
          <w:szCs w:val="16"/>
        </w:rPr>
      </w:pPr>
      <w:r>
        <w:rPr>
          <w:rStyle w:val="Style13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указываются только значения, установленные ГОСТ или другими НТД.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sz w:val="24"/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876" w:hanging="45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b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584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3168" w:hanging="720"/>
      </w:pPr>
      <w:rPr>
        <w:b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9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97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78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008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592" w:hanging="1800"/>
      </w:pPr>
      <w:rPr/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rsid w:val="00353a27"/>
    <w:pPr>
      <w:numPr>
        <w:ilvl w:val="2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outlineLvl w:val="1"/>
    </w:pPr>
    <w:rPr/>
  </w:style>
  <w:style w:type="paragraph" w:styleId="Heading3">
    <w:name w:val="Heading 3"/>
    <w:basedOn w:val="Normal"/>
    <w:link w:val="31"/>
    <w:autoRedefine/>
    <w:qFormat/>
    <w:rsid w:val="00960931"/>
    <w:pPr>
      <w:keepNext w:val="true"/>
      <w:tabs>
        <w:tab w:val="clear" w:pos="720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c18e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24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i/>
      <w:shd w:fill="FFFF99" w:val="clear"/>
    </w:rPr>
  </w:style>
  <w:style w:type="character" w:styleId="Style8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960931"/>
    <w:rPr>
      <w:rFonts w:eastAsia="Calibri"/>
      <w:b/>
      <w:sz w:val="24"/>
      <w:szCs w:val="24"/>
      <w:lang w:val="x-none" w:eastAsia="x-none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36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>
      <w:b/>
      <w:i w:val="false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WW8Num58z0" w:customStyle="1">
    <w:name w:val="WW8Num58z0"/>
    <w:qFormat/>
    <w:rPr/>
  </w:style>
  <w:style w:type="character" w:styleId="WW8Num14z0" w:customStyle="1">
    <w:name w:val="WW8Num14z0"/>
    <w:qFormat/>
    <w:rPr>
      <w:rFonts w:ascii="Times New Roman" w:hAnsi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Style15" w:customStyle="1">
    <w:name w:val="Символы концевой сноски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17" w:customStyle="1">
    <w:name w:val="Строгий1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uiPriority w:val="99"/>
    <w:qFormat/>
    <w:rsid w:val="00d561d9"/>
    <w:pPr/>
    <w:rPr/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1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tabs>
        <w:tab w:val="clear" w:pos="720"/>
        <w:tab w:val="left" w:pos="57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link w:val="22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  <w:ind w:left="2127" w:hanging="687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2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0" w:leader="none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1-3" w:customStyle="1">
    <w:name w:val="текст1-3"/>
    <w:basedOn w:val="Normal"/>
    <w:qFormat/>
    <w:pPr>
      <w:spacing w:lineRule="auto" w:line="288" w:before="0" w:after="60"/>
      <w:ind w:firstLine="709"/>
      <w:jc w:val="both"/>
    </w:pPr>
    <w:rPr>
      <w:rFonts w:ascii="Times New Roman CYR" w:hAnsi="Times New Roman CYR" w:cs="Times New Roman CYR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11" w:customStyle="1">
    <w:name w:val="WW8Num11"/>
    <w:qFormat/>
  </w:style>
  <w:style w:type="numbering" w:styleId="WW8Num55" w:customStyle="1">
    <w:name w:val="WW8Num55"/>
    <w:qFormat/>
  </w:style>
  <w:style w:type="numbering" w:styleId="WW8Num58" w:customStyle="1">
    <w:name w:val="WW8Num58"/>
    <w:qFormat/>
  </w:style>
  <w:style w:type="numbering" w:styleId="WW8Num14" w:customStyle="1">
    <w:name w:val="WW8Num1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C898-B979-4EAA-9998-3D11BCFE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Application>AlterOffice/3.4.0.9$Linux_X86_64 LibreOffice_project/b8daf9e823b1a5463a2f48435ddc2e8696e7d4fc</Application>
  <AppVersion>15.0000</AppVersion>
  <Pages>11</Pages>
  <Words>1623</Words>
  <Characters>11248</Characters>
  <CharactersWithSpaces>12622</CharactersWithSpaces>
  <Paragraphs>311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2025-08-15T01:02:00Z</dcterms:created>
  <dc:creator>Быстров Олег Геннадьевич</dc:creator>
  <dc:description/>
  <dc:language>ru-RU</dc:language>
  <cp:lastModifiedBy>ezhovaa@Elektra.local</cp:lastModifiedBy>
  <cp:lastPrinted>2026-05-13T00:56:00Z</cp:lastPrinted>
  <dcterms:modified xsi:type="dcterms:W3CDTF">2026-08-13T09:15:25Z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