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rPr>
          <w:sz w:val="22"/>
          <w:szCs w:val="22"/>
          <w:lang w:val="en-US"/>
        </w:rPr>
      </w:pPr>
      <w:r>
        <w:rPr>
          <w:sz w:val="22"/>
          <w:szCs w:val="22"/>
          <w:lang w:val="en-US"/>
        </w:rPr>
      </w:r>
    </w:p>
    <w:p>
      <w:pPr>
        <w:pStyle w:val="Normal"/>
        <w:keepNext w:val="true"/>
        <w:keepLines/>
        <w:jc w:val="right"/>
        <w:rPr>
          <w:b/>
          <w:bCs/>
          <w:sz w:val="24"/>
          <w:szCs w:val="24"/>
        </w:rPr>
      </w:pPr>
      <w:r>
        <w:rPr>
          <w:b/>
          <w:bCs/>
          <w:sz w:val="24"/>
          <w:szCs w:val="24"/>
        </w:rPr>
        <w:t>Приложение № 1</w:t>
      </w:r>
    </w:p>
    <w:p>
      <w:pPr>
        <w:pStyle w:val="Normal"/>
        <w:keepNext w:val="true"/>
        <w:keepLines/>
        <w:rPr>
          <w:sz w:val="22"/>
          <w:szCs w:val="22"/>
        </w:rPr>
      </w:pPr>
      <w:r>
        <w:rPr>
          <w:sz w:val="22"/>
          <w:szCs w:val="22"/>
        </w:rPr>
      </w:r>
    </w:p>
    <w:p>
      <w:pPr>
        <w:pStyle w:val="Normal"/>
        <w:keepNext w:val="true"/>
        <w:keepLines/>
        <w:rPr>
          <w:sz w:val="22"/>
          <w:szCs w:val="22"/>
        </w:rPr>
      </w:pPr>
      <w:r>
        <w:rPr>
          <w:sz w:val="22"/>
          <w:szCs w:val="22"/>
        </w:rPr>
      </w:r>
    </w:p>
    <w:p>
      <w:pPr>
        <w:pStyle w:val="Normal"/>
        <w:keepNext w:val="true"/>
        <w:keepLines/>
        <w:rPr/>
      </w:pPr>
      <w:r>
        <w:rPr/>
      </w:r>
    </w:p>
    <w:p>
      <w:pPr>
        <w:pStyle w:val="Normal"/>
        <w:keepNext w:val="true"/>
        <w:keepLines/>
        <w:jc w:val="center"/>
        <w:rPr>
          <w:rFonts w:eastAsia="Calibri"/>
          <w:b/>
        </w:rPr>
      </w:pPr>
      <w:r>
        <w:rPr>
          <w:rFonts w:eastAsia="Calibri"/>
          <w:b/>
        </w:rPr>
        <w:t>Технические требования на поставку МТР</w:t>
      </w:r>
    </w:p>
    <w:p>
      <w:pPr>
        <w:pStyle w:val="Normal"/>
        <w:keepNext w:val="true"/>
        <w:keepLines/>
        <w:jc w:val="center"/>
        <w:rPr>
          <w:rFonts w:eastAsia="Calibri"/>
          <w:b/>
          <w:sz w:val="28"/>
          <w:szCs w:val="28"/>
        </w:rPr>
      </w:pPr>
      <w:r>
        <w:rPr>
          <w:rFonts w:eastAsia="Calibri"/>
          <w:b/>
          <w:sz w:val="28"/>
          <w:szCs w:val="28"/>
        </w:rPr>
      </w:r>
    </w:p>
    <w:p>
      <w:pPr>
        <w:pStyle w:val="19"/>
        <w:numPr>
          <w:ilvl w:val="0"/>
        </w:numPr>
        <w:spacing w:before="0" w:after="0"/>
        <w:ind w:left="0" w:hanging="0"/>
        <w:jc w:val="center"/>
        <w:outlineLvl w:val="9"/>
        <w:rPr>
          <w:sz w:val="28"/>
          <w:szCs w:val="28"/>
        </w:rPr>
      </w:pPr>
      <w:r>
        <w:rPr>
          <w:rFonts w:ascii="Times New Roman" w:hAnsi="Times New Roman"/>
          <w:b/>
          <w:bCs/>
          <w:i w:val="false"/>
          <w:strike w:val="false"/>
          <w:dstrike w:val="false"/>
          <w:outline w:val="false"/>
          <w:shadow w:val="false"/>
          <w:sz w:val="28"/>
          <w:szCs w:val="28"/>
          <w:u w:val="none"/>
          <w:em w:val="none"/>
        </w:rPr>
        <w:t>ОКПД2 22.19.10.000 Поставка резинотехнических изделий в рамках  ремонтной  программы для филиалов АО «ДРСК» «Амурские электрические сети», «Приморские электрические сети»,«Хабаровские электрические сети»,  «Электрические сети Еврейской автономной области», «Южно-Якутские электрические сети»</w:t>
      </w:r>
    </w:p>
    <w:p>
      <w:pPr>
        <w:pStyle w:val="19"/>
        <w:numPr>
          <w:ilvl w:val="0"/>
        </w:numPr>
        <w:spacing w:before="0" w:after="0"/>
        <w:ind w:left="0" w:hanging="0"/>
        <w:jc w:val="center"/>
        <w:outlineLvl w:val="9"/>
        <w:rPr>
          <w:sz w:val="28"/>
          <w:szCs w:val="28"/>
        </w:rPr>
      </w:pPr>
      <w:r>
        <w:rPr>
          <w:sz w:val="28"/>
          <w:szCs w:val="28"/>
        </w:rPr>
      </w:r>
    </w:p>
    <w:p>
      <w:pPr>
        <w:pStyle w:val="19"/>
        <w:numPr>
          <w:ilvl w:val="0"/>
        </w:numPr>
        <w:spacing w:before="0" w:after="0"/>
        <w:ind w:left="0" w:hanging="0"/>
        <w:jc w:val="center"/>
        <w:outlineLvl w:val="9"/>
        <w:rPr>
          <w:sz w:val="28"/>
          <w:szCs w:val="28"/>
        </w:rPr>
      </w:pPr>
      <w:r>
        <w:rPr>
          <w:rFonts w:ascii="Times New Roman" w:hAnsi="Times New Roman"/>
          <w:b/>
          <w:bCs/>
          <w:i w:val="false"/>
          <w:strike w:val="false"/>
          <w:dstrike w:val="false"/>
          <w:outline w:val="false"/>
          <w:shadow w:val="false"/>
          <w:sz w:val="28"/>
          <w:szCs w:val="28"/>
          <w:u w:val="none"/>
          <w:em w:val="none"/>
        </w:rPr>
        <w:t>Лот № 12601-РЕМ ПРОД-2027-ДРСК</w:t>
      </w:r>
    </w:p>
    <w:p>
      <w:pPr>
        <w:pStyle w:val="Normal"/>
        <w:jc w:val="center"/>
        <w:rPr>
          <w:b/>
          <w:bCs/>
          <w:sz w:val="28"/>
          <w:szCs w:val="28"/>
        </w:rPr>
      </w:pPr>
      <w:r>
        <w:rPr>
          <w:b/>
          <w:bCs/>
          <w:sz w:val="28"/>
          <w:szCs w:val="28"/>
        </w:rPr>
      </w:r>
    </w:p>
    <w:p>
      <w:pPr>
        <w:pStyle w:val="Normal"/>
        <w:jc w:val="center"/>
        <w:rPr>
          <w:b/>
          <w:i/>
          <w:i/>
        </w:rPr>
      </w:pPr>
      <w:r>
        <w:rPr>
          <w:b/>
          <w:i/>
        </w:rPr>
      </w:r>
      <w:r>
        <w:br w:type="page"/>
      </w:r>
    </w:p>
    <w:p>
      <w:pPr>
        <w:pStyle w:val="Normal"/>
        <w:ind w:left="426" w:hanging="0"/>
        <w:rPr>
          <w:rFonts w:eastAsia="Calibri"/>
          <w:i/>
          <w:i/>
          <w:sz w:val="24"/>
          <w:szCs w:val="24"/>
          <w:lang w:eastAsia="en-US"/>
        </w:rPr>
      </w:pPr>
      <w:r>
        <w:rPr>
          <w:b/>
          <w:sz w:val="24"/>
          <w:szCs w:val="24"/>
        </w:rPr>
        <w:t xml:space="preserve">1. Наименование продукции: </w:t>
      </w:r>
      <w:r>
        <w:rPr>
          <w:rFonts w:eastAsia="Calibri"/>
          <w:b w:val="false"/>
          <w:bCs w:val="false"/>
          <w:i w:val="false"/>
          <w:iCs w:val="false"/>
          <w:sz w:val="24"/>
          <w:szCs w:val="24"/>
          <w:lang w:eastAsia="en-US"/>
        </w:rPr>
        <w:t>Резинотехнические изделия</w:t>
      </w:r>
    </w:p>
    <w:p>
      <w:pPr>
        <w:pStyle w:val="Normal"/>
        <w:ind w:left="426" w:hanging="0"/>
        <w:rPr>
          <w:b/>
          <w:sz w:val="24"/>
          <w:szCs w:val="24"/>
        </w:rPr>
      </w:pPr>
      <w:r>
        <w:rPr>
          <w:b/>
          <w:sz w:val="24"/>
          <w:szCs w:val="24"/>
        </w:rPr>
        <w:t>2. Требования к продукции</w:t>
      </w:r>
    </w:p>
    <w:p>
      <w:pPr>
        <w:pStyle w:val="Normal"/>
        <w:ind w:left="426" w:hanging="0"/>
        <w:rPr>
          <w:sz w:val="24"/>
          <w:szCs w:val="24"/>
          <w:u w:val="single"/>
        </w:rPr>
      </w:pPr>
      <w:r>
        <w:rPr>
          <w:sz w:val="24"/>
          <w:szCs w:val="24"/>
          <w:u w:val="single"/>
        </w:rPr>
        <w:t>2.1. Требования к объёмам и срокам поставки продукции</w:t>
      </w:r>
    </w:p>
    <w:p>
      <w:pPr>
        <w:pStyle w:val="Heading2"/>
        <w:keepNext w:val="false"/>
        <w:numPr>
          <w:ilvl w:val="0"/>
          <w:numId w:val="0"/>
        </w:numPr>
        <w:spacing w:before="0" w:after="0"/>
        <w:ind w:left="149" w:hanging="149"/>
        <w:rPr>
          <w:sz w:val="24"/>
          <w:szCs w:val="24"/>
        </w:rPr>
      </w:pPr>
      <w:r>
        <w:rPr>
          <w:b/>
          <w:sz w:val="24"/>
          <w:szCs w:val="24"/>
        </w:rPr>
        <w:t xml:space="preserve">          </w:t>
      </w:r>
      <w:r>
        <w:rPr>
          <w:b w:val="false"/>
          <w:bCs w:val="false"/>
          <w:sz w:val="24"/>
          <w:szCs w:val="24"/>
        </w:rPr>
        <w:t>Таблица</w:t>
      </w:r>
      <w:r>
        <w:rPr>
          <w:b/>
          <w:sz w:val="24"/>
          <w:szCs w:val="24"/>
        </w:rPr>
        <w:t xml:space="preserve"> </w:t>
      </w:r>
      <w:r>
        <w:rPr>
          <w:sz w:val="24"/>
          <w:szCs w:val="24"/>
        </w:rPr>
        <w:t xml:space="preserve">2.1.1. Перечень и объем закупаемой продукции </w:t>
      </w:r>
    </w:p>
    <w:p>
      <w:pPr>
        <w:pStyle w:val="Normal"/>
        <w:numPr>
          <w:ilvl w:val="0"/>
          <w:numId w:val="0"/>
        </w:numPr>
        <w:spacing w:before="0" w:after="0"/>
        <w:ind w:left="149" w:hanging="149"/>
        <w:rPr>
          <w:sz w:val="24"/>
          <w:szCs w:val="24"/>
        </w:rPr>
      </w:pPr>
      <w:r>
        <w:rPr>
          <w:sz w:val="24"/>
          <w:szCs w:val="24"/>
        </w:rPr>
      </w:r>
    </w:p>
    <w:tbl>
      <w:tblPr>
        <w:tblW w:w="14884"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708"/>
        <w:gridCol w:w="11623"/>
        <w:gridCol w:w="1277"/>
        <w:gridCol w:w="1275"/>
      </w:tblGrid>
      <w:tr>
        <w:trPr/>
        <w:tc>
          <w:tcPr>
            <w:tcW w:w="1488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sz w:val="24"/>
                <w:szCs w:val="24"/>
              </w:rPr>
              <w:t>Требование Заказчика</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rFonts w:ascii="Times New Roman" w:hAnsi="Times New Roman"/>
                <w:sz w:val="24"/>
                <w:szCs w:val="24"/>
              </w:rPr>
            </w:pPr>
            <w:r>
              <w:rPr>
                <w:b/>
                <w:sz w:val="24"/>
                <w:szCs w:val="24"/>
              </w:rPr>
              <w:t>№</w:t>
            </w:r>
          </w:p>
          <w:p>
            <w:pPr>
              <w:pStyle w:val="Normal"/>
              <w:widowControl w:val="false"/>
              <w:jc w:val="center"/>
              <w:rPr>
                <w:rFonts w:ascii="Times New Roman" w:hAnsi="Times New Roman"/>
                <w:sz w:val="24"/>
                <w:szCs w:val="24"/>
              </w:rPr>
            </w:pPr>
            <w:r>
              <w:rPr>
                <w:b/>
                <w:sz w:val="24"/>
                <w:szCs w:val="24"/>
              </w:rPr>
              <w:t>п/п</w:t>
            </w:r>
          </w:p>
        </w:tc>
        <w:tc>
          <w:tcPr>
            <w:tcW w:w="116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rPr>
            </w:pPr>
            <w:r>
              <w:rPr>
                <w:b/>
                <w:sz w:val="24"/>
                <w:szCs w:val="24"/>
              </w:rPr>
              <w:t>Наименование, марка</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rPr>
            </w:pPr>
            <w:r>
              <w:rPr>
                <w:b/>
                <w:sz w:val="24"/>
                <w:szCs w:val="24"/>
              </w:rPr>
              <w:t>Ед. измер.</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rPr>
            </w:pPr>
            <w:r>
              <w:rPr>
                <w:b/>
                <w:sz w:val="24"/>
                <w:szCs w:val="24"/>
              </w:rPr>
              <w:t>Кол-во</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sz w:val="24"/>
                <w:szCs w:val="24"/>
              </w:rPr>
              <w:t>1</w:t>
            </w:r>
          </w:p>
        </w:tc>
        <w:tc>
          <w:tcPr>
            <w:tcW w:w="116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sz w:val="24"/>
                <w:szCs w:val="24"/>
              </w:rPr>
              <w:t>2</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sz w:val="24"/>
                <w:szCs w:val="24"/>
              </w:rPr>
              <w:t>3</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sz w:val="24"/>
                <w:szCs w:val="24"/>
              </w:rPr>
              <w:t>4</w:t>
            </w:r>
          </w:p>
        </w:tc>
      </w:tr>
      <w:tr>
        <w:trPr/>
        <w:tc>
          <w:tcPr>
            <w:tcW w:w="1488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bCs/>
                <w:i/>
                <w:iCs/>
                <w:sz w:val="24"/>
                <w:szCs w:val="24"/>
              </w:rPr>
              <w:t>1.1. Филиал</w:t>
            </w:r>
            <w:r>
              <w:rPr>
                <w:b/>
                <w:bCs/>
                <w:i/>
                <w:iCs/>
                <w:strike w:val="false"/>
                <w:dstrike w:val="false"/>
                <w:outline w:val="false"/>
                <w:shadow w:val="false"/>
                <w:sz w:val="24"/>
                <w:szCs w:val="24"/>
                <w:u w:val="none"/>
                <w:em w:val="none"/>
              </w:rPr>
              <w:t xml:space="preserve"> АО «ДРСК» «Амурские электрические сети».</w:t>
            </w:r>
          </w:p>
        </w:tc>
      </w:tr>
      <w:tr>
        <w:trPr/>
        <w:tc>
          <w:tcPr>
            <w:tcW w:w="708" w:type="dxa"/>
            <w:tcBorders>
              <w:top w:val="single" w:sz="4" w:space="0" w:color="000000"/>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1Н-I-МБС-Т1 8мм ГОСТ 7338</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24</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2Н-I-МБС-М 3мм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3</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2Н-I-МБС-М 5мм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4</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2Н-I-МБС-С 10мм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62</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5</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10мм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27</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6</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10х1000х3000мм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7</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12мм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40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8</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2мм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9</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3мм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17</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10</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4мм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5мм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18,945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6мм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65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13</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8мм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87</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14</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полоса 12х30мм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15</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техническая 2H-1-МБС-С 4мм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50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16</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 ТМКЩ-С-6</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17</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2.0мм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18</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3.0мм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19</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6.0мм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72</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20</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8.0мм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60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21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2Н-1-МБС-С-12</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30</w:t>
            </w:r>
          </w:p>
        </w:tc>
      </w:tr>
      <w:tr>
        <w:trPr>
          <w:trHeight w:val="293" w:hRule="atLeast"/>
        </w:trPr>
        <w:tc>
          <w:tcPr>
            <w:tcW w:w="14883" w:type="dxa"/>
            <w:gridSpan w:val="4"/>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bCs/>
                <w:i/>
                <w:iCs/>
                <w:sz w:val="24"/>
                <w:szCs w:val="24"/>
              </w:rPr>
              <w:t>1.2. Филиал АО «ДРСК» «Приморские электрические сети»</w:t>
            </w:r>
          </w:p>
        </w:tc>
      </w:tr>
      <w:tr>
        <w:trPr>
          <w:trHeight w:val="344" w:hRule="atLeast"/>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10мм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225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10х1000х3000мм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37,5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3</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10х1200х2000мм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80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4</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20мм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45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5</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2мм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13</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6</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30мм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7</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3мм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19</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8</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4мм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27</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9</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5мм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149</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10</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5х1000х3000мм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6мм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281,5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8мм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225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13</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8х1000х3000мм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93,5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14</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полоса 8х20мм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6</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15</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рулон 8х800х5000мм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16</w:t>
            </w:r>
          </w:p>
        </w:tc>
      </w:tr>
      <w:tr>
        <w:trPr/>
        <w:tc>
          <w:tcPr>
            <w:tcW w:w="14883" w:type="dxa"/>
            <w:gridSpan w:val="4"/>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bCs/>
                <w:i/>
                <w:iCs/>
                <w:sz w:val="24"/>
                <w:szCs w:val="24"/>
              </w:rPr>
              <w:t>1.3.Филиал АО «ДРСК» «Хабаровские электрические сети» (СП ЦЭС)</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2Н-I-МБС-М 10мм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2Н-I-МБС-С 1мм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3</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2мм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4</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3мм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4</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5</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4мм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7</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6</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5мм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7</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полоса 12х30мм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8</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полоса 20х30мм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sz w:val="24"/>
                <w:szCs w:val="24"/>
              </w:rPr>
              <w:t>9</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2.0мм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sz w:val="24"/>
                <w:szCs w:val="24"/>
              </w:rPr>
              <w:t>10</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3.0мм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sz w:val="24"/>
                <w:szCs w:val="24"/>
              </w:rPr>
              <w:t>11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6.0мм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sz w:val="24"/>
                <w:szCs w:val="24"/>
              </w:rPr>
              <w:t>12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8.0мм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sz w:val="24"/>
                <w:szCs w:val="24"/>
              </w:rPr>
              <w:t>13</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2Н-1-МБС-С-12</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20</w:t>
            </w:r>
          </w:p>
        </w:tc>
      </w:tr>
      <w:tr>
        <w:trPr/>
        <w:tc>
          <w:tcPr>
            <w:tcW w:w="14883" w:type="dxa"/>
            <w:gridSpan w:val="4"/>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bCs/>
                <w:i/>
                <w:iCs/>
                <w:sz w:val="24"/>
                <w:szCs w:val="24"/>
              </w:rPr>
              <w:t>1.4. Филиал АО «ДРСК» «Хабаровские электрические сети» (СП СЭС)</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2Н-I-МБС-С 10мм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74</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5мм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3</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5х1000х3000мм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4</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8мм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12</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5</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полоса 8х20мм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6</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техническая 2H-1-МБС-С 4мм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45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7</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техническая 2H-I-МБС-С 5мм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15,5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8</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2.0мм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5,4</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9</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3.0мм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49,1</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10</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6.0мм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39</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8.0мм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89,6</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2Н-1-МБС-С-12</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12</w:t>
            </w:r>
          </w:p>
        </w:tc>
      </w:tr>
      <w:tr>
        <w:trPr>
          <w:trHeight w:val="381" w:hRule="atLeast"/>
        </w:trPr>
        <w:tc>
          <w:tcPr>
            <w:tcW w:w="14883" w:type="dxa"/>
            <w:gridSpan w:val="4"/>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b/>
                <w:bCs/>
                <w:i/>
                <w:i/>
                <w:iCs/>
                <w:sz w:val="24"/>
                <w:szCs w:val="24"/>
              </w:rPr>
            </w:pPr>
            <w:r>
              <w:rPr>
                <w:b/>
                <w:bCs/>
                <w:i/>
                <w:iCs/>
                <w:color w:val="000000"/>
                <w:sz w:val="24"/>
                <w:szCs w:val="24"/>
              </w:rPr>
              <w:t>1.5</w:t>
            </w:r>
            <w:r>
              <w:rPr>
                <w:b/>
                <w:bCs/>
                <w:i/>
                <w:iCs/>
                <w:strike w:val="false"/>
                <w:dstrike w:val="false"/>
                <w:outline w:val="false"/>
                <w:shadow w:val="false"/>
                <w:color w:val="000000"/>
                <w:sz w:val="24"/>
                <w:szCs w:val="24"/>
                <w:u w:val="none"/>
                <w:em w:val="none"/>
              </w:rPr>
              <w:t xml:space="preserve"> Филиал АО «ДРСК» «Электрические сети Еврейской Автономной области»</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color w:val="000000"/>
                <w:sz w:val="24"/>
                <w:szCs w:val="24"/>
              </w:rPr>
            </w:pPr>
            <w:r>
              <w:rPr>
                <w:color w:val="000000"/>
                <w:sz w:val="24"/>
                <w:szCs w:val="24"/>
              </w:rPr>
              <w:t>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12мм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35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color w:val="000000"/>
                <w:sz w:val="24"/>
                <w:szCs w:val="24"/>
              </w:rPr>
            </w:pPr>
            <w:r>
              <w:rPr>
                <w:color w:val="000000"/>
                <w:sz w:val="24"/>
                <w:szCs w:val="24"/>
              </w:rPr>
              <w:t>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4мм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color w:val="000000"/>
                <w:sz w:val="24"/>
                <w:szCs w:val="24"/>
              </w:rPr>
            </w:pPr>
            <w:r>
              <w:rPr>
                <w:color w:val="000000"/>
                <w:sz w:val="24"/>
                <w:szCs w:val="24"/>
              </w:rPr>
              <w:t>3</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5мм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7</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color w:val="000000"/>
                <w:sz w:val="24"/>
                <w:szCs w:val="24"/>
              </w:rPr>
            </w:pPr>
            <w:r>
              <w:rPr>
                <w:color w:val="000000"/>
                <w:sz w:val="24"/>
                <w:szCs w:val="24"/>
              </w:rPr>
              <w:t>4</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8мм ГОСТ 12855</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58</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color w:val="000000"/>
                <w:sz w:val="24"/>
                <w:szCs w:val="24"/>
              </w:rPr>
            </w:pPr>
            <w:r>
              <w:rPr>
                <w:color w:val="000000"/>
                <w:sz w:val="24"/>
                <w:szCs w:val="24"/>
              </w:rPr>
              <w:t>5</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трансформаторная УМ полоса 8х20мм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3</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color w:val="000000"/>
                <w:sz w:val="24"/>
                <w:szCs w:val="24"/>
              </w:rPr>
            </w:pPr>
            <w:r>
              <w:rPr>
                <w:color w:val="000000"/>
                <w:sz w:val="24"/>
                <w:szCs w:val="24"/>
              </w:rPr>
              <w:t>6</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техническая 2H-1-МБС-С 4мм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10</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color w:val="000000"/>
                <w:sz w:val="24"/>
                <w:szCs w:val="24"/>
              </w:rPr>
            </w:pPr>
            <w:r>
              <w:rPr>
                <w:color w:val="000000"/>
                <w:sz w:val="24"/>
                <w:szCs w:val="24"/>
              </w:rPr>
              <w:t>7</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6.0мм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25</w:t>
            </w:r>
          </w:p>
        </w:tc>
      </w:tr>
      <w:tr>
        <w:trPr/>
        <w:tc>
          <w:tcPr>
            <w:tcW w:w="14883" w:type="dxa"/>
            <w:gridSpan w:val="4"/>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b/>
                <w:bCs/>
                <w:i/>
                <w:iCs/>
                <w:color w:val="000000"/>
                <w:sz w:val="24"/>
                <w:szCs w:val="24"/>
              </w:rPr>
              <w:t>1.6. Филиал АО «ДРСК» «</w:t>
            </w:r>
            <w:r>
              <w:rPr>
                <w:b/>
                <w:bCs/>
                <w:i/>
                <w:iCs/>
                <w:strike w:val="false"/>
                <w:dstrike w:val="false"/>
                <w:outline w:val="false"/>
                <w:shadow w:val="false"/>
                <w:color w:val="auto"/>
                <w:sz w:val="24"/>
                <w:szCs w:val="24"/>
                <w:u w:val="none"/>
                <w:em w:val="none"/>
              </w:rPr>
              <w:t>Южно-Якутские Электрические Сети</w:t>
            </w:r>
            <w:r>
              <w:rPr>
                <w:b/>
                <w:bCs/>
                <w:i/>
                <w:iCs/>
                <w:color w:val="000000"/>
                <w:sz w:val="24"/>
                <w:szCs w:val="24"/>
              </w:rPr>
              <w:t>»</w:t>
            </w:r>
          </w:p>
        </w:tc>
      </w:tr>
      <w:tr>
        <w:trPr/>
        <w:tc>
          <w:tcPr>
            <w:tcW w:w="708" w:type="dxa"/>
            <w:tcBorders>
              <w:top w:val="single" w:sz="4" w:space="0" w:color="000000"/>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1</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2Н-I-МБС-М 10мм</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52</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2</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2Н-I-МБС-М 3мм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14</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3</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2Н-I-МБС-М 5мм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34</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4</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резиновая техническая 2Н-I-МБС-С 10мм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78</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color w:val="000000"/>
                <w:sz w:val="24"/>
                <w:szCs w:val="24"/>
              </w:rPr>
              <w:t>5</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Пластина техническая 2H-I-МБС-С 5мм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8,5</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sz w:val="24"/>
                <w:szCs w:val="24"/>
              </w:rPr>
              <w:t>6</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6.0мм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93,6</w:t>
            </w:r>
          </w:p>
        </w:tc>
      </w:tr>
      <w:tr>
        <w:trPr/>
        <w:tc>
          <w:tcPr>
            <w:tcW w:w="708" w:type="dxa"/>
            <w:tcBorders>
              <w:left w:val="single" w:sz="4" w:space="0" w:color="000000"/>
              <w:bottom w:val="single" w:sz="4" w:space="0" w:color="000000"/>
              <w:right w:val="single" w:sz="4" w:space="0" w:color="000000"/>
            </w:tcBorders>
          </w:tcPr>
          <w:p>
            <w:pPr>
              <w:pStyle w:val="Style36"/>
              <w:widowControl w:val="false"/>
              <w:jc w:val="center"/>
              <w:rPr>
                <w:rFonts w:ascii="Times New Roman" w:hAnsi="Times New Roman"/>
                <w:sz w:val="24"/>
                <w:szCs w:val="24"/>
              </w:rPr>
            </w:pPr>
            <w:r>
              <w:rPr>
                <w:sz w:val="24"/>
                <w:szCs w:val="24"/>
              </w:rPr>
              <w:t>7</w:t>
            </w:r>
          </w:p>
        </w:tc>
        <w:tc>
          <w:tcPr>
            <w:tcW w:w="11623" w:type="dxa"/>
            <w:tcBorders>
              <w:left w:val="single" w:sz="4" w:space="0" w:color="000000"/>
              <w:bottom w:val="single" w:sz="4" w:space="0" w:color="000000"/>
              <w:right w:val="single" w:sz="4" w:space="0" w:color="000000"/>
            </w:tcBorders>
            <w:shd w:color="auto" w:fill="auto" w:val="clear"/>
            <w:vAlign w:val="center"/>
          </w:tcPr>
          <w:p>
            <w:pPr>
              <w:pStyle w:val="Style36"/>
              <w:jc w:val="left"/>
              <w:rPr>
                <w:sz w:val="24"/>
                <w:szCs w:val="24"/>
              </w:rPr>
            </w:pPr>
            <w:r>
              <w:rPr>
                <w:sz w:val="24"/>
                <w:szCs w:val="24"/>
              </w:rPr>
              <w:t>Техпластина резиновая 2Н-1-МБС-С 8.0мм</w:t>
            </w:r>
          </w:p>
        </w:tc>
        <w:tc>
          <w:tcPr>
            <w:tcW w:w="1277"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кг</w:t>
            </w:r>
          </w:p>
        </w:tc>
        <w:tc>
          <w:tcPr>
            <w:tcW w:w="1275" w:type="dxa"/>
            <w:tcBorders>
              <w:left w:val="single" w:sz="4" w:space="0" w:color="000000"/>
              <w:bottom w:val="single" w:sz="4" w:space="0" w:color="000000"/>
              <w:right w:val="single" w:sz="4" w:space="0" w:color="000000"/>
            </w:tcBorders>
            <w:vAlign w:val="center"/>
          </w:tcPr>
          <w:p>
            <w:pPr>
              <w:pStyle w:val="Style36"/>
              <w:jc w:val="right"/>
              <w:rPr>
                <w:sz w:val="24"/>
                <w:szCs w:val="24"/>
              </w:rPr>
            </w:pPr>
            <w:r>
              <w:rPr>
                <w:sz w:val="24"/>
                <w:szCs w:val="24"/>
              </w:rPr>
              <w:t>106,6</w:t>
            </w:r>
          </w:p>
        </w:tc>
      </w:tr>
    </w:tbl>
    <w:p>
      <w:pPr>
        <w:pStyle w:val="Normal"/>
        <w:rPr/>
      </w:pPr>
      <w:r>
        <w:rPr/>
      </w:r>
    </w:p>
    <w:p>
      <w:pPr>
        <w:pStyle w:val="Normal"/>
        <w:suppressAutoHyphens w:val="true"/>
        <w:spacing w:before="360" w:after="120"/>
        <w:ind w:right="-142" w:hanging="0"/>
        <w:rPr>
          <w:b/>
          <w:sz w:val="22"/>
          <w:szCs w:val="22"/>
        </w:rPr>
      </w:pPr>
      <w:r>
        <w:rPr>
          <w:b/>
          <w:sz w:val="22"/>
          <w:szCs w:val="22"/>
        </w:rPr>
        <w:t xml:space="preserve">        </w:t>
      </w:r>
      <w:r>
        <w:rPr>
          <w:sz w:val="24"/>
          <w:szCs w:val="24"/>
        </w:rPr>
        <w:t>2.1.2. Требования к срокам поставки продукции</w:t>
      </w:r>
    </w:p>
    <w:p>
      <w:pPr>
        <w:pStyle w:val="Normal"/>
        <w:suppressAutoHyphens w:val="true"/>
        <w:spacing w:before="120" w:after="120"/>
        <w:ind w:right="-142" w:hanging="0"/>
        <w:rPr>
          <w:sz w:val="24"/>
          <w:szCs w:val="24"/>
        </w:rPr>
      </w:pPr>
      <w:r>
        <w:rPr>
          <w:sz w:val="24"/>
          <w:szCs w:val="24"/>
        </w:rPr>
        <w:t xml:space="preserve">          </w:t>
      </w:r>
      <w:r>
        <w:rPr>
          <w:sz w:val="24"/>
          <w:szCs w:val="24"/>
        </w:rPr>
        <w:t>Таблица 2.1.2 Требования по срокам поставки</w:t>
      </w:r>
    </w:p>
    <w:tbl>
      <w:tblPr>
        <w:tblW w:w="15132" w:type="dxa"/>
        <w:jc w:val="left"/>
        <w:tblInd w:w="621" w:type="dxa"/>
        <w:tblLayout w:type="fixed"/>
        <w:tblCellMar>
          <w:top w:w="0" w:type="dxa"/>
          <w:left w:w="108" w:type="dxa"/>
          <w:bottom w:w="0" w:type="dxa"/>
          <w:right w:w="108" w:type="dxa"/>
        </w:tblCellMar>
        <w:tblLook w:val="04a0" w:noVBand="1" w:noHBand="0" w:lastColumn="0" w:firstColumn="1" w:lastRow="0" w:firstRow="1"/>
      </w:tblPr>
      <w:tblGrid>
        <w:gridCol w:w="959"/>
        <w:gridCol w:w="7153"/>
        <w:gridCol w:w="7020"/>
      </w:tblGrid>
      <w:tr>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2"/>
                <w:szCs w:val="22"/>
              </w:rPr>
              <w:t xml:space="preserve">№ </w:t>
            </w:r>
            <w:r>
              <w:rPr>
                <w:b/>
                <w:sz w:val="22"/>
                <w:szCs w:val="22"/>
              </w:rPr>
              <w:t>п/п</w:t>
            </w:r>
          </w:p>
        </w:tc>
        <w:tc>
          <w:tcPr>
            <w:tcW w:w="71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2"/>
                <w:szCs w:val="22"/>
              </w:rPr>
            </w:pPr>
            <w:r>
              <w:rPr>
                <w:b/>
                <w:sz w:val="22"/>
                <w:szCs w:val="22"/>
              </w:rPr>
              <w:t>Требования к началу срока поставки продукции</w:t>
            </w:r>
          </w:p>
        </w:tc>
        <w:tc>
          <w:tcPr>
            <w:tcW w:w="7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2"/>
                <w:szCs w:val="22"/>
              </w:rPr>
            </w:pPr>
            <w:r>
              <w:rPr>
                <w:b/>
                <w:sz w:val="22"/>
                <w:szCs w:val="22"/>
              </w:rPr>
              <w:t>Требования к окончанию срока поставки продукции</w:t>
            </w:r>
          </w:p>
        </w:tc>
      </w:tr>
      <w:tr>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
                <w:sz w:val="22"/>
                <w:szCs w:val="22"/>
              </w:rPr>
              <w:t>1</w:t>
            </w:r>
          </w:p>
        </w:tc>
        <w:tc>
          <w:tcPr>
            <w:tcW w:w="7153" w:type="dxa"/>
            <w:tcBorders>
              <w:top w:val="single" w:sz="4" w:space="0" w:color="000000"/>
              <w:left w:val="single" w:sz="4" w:space="0" w:color="000000"/>
              <w:bottom w:val="single" w:sz="4" w:space="0" w:color="000000"/>
              <w:right w:val="single" w:sz="4" w:space="0" w:color="000000"/>
            </w:tcBorders>
            <w:vAlign w:val="center"/>
          </w:tcPr>
          <w:p>
            <w:pPr>
              <w:pStyle w:val="Style31"/>
              <w:keepNext w:val="false"/>
              <w:widowControl w:val="false"/>
              <w:spacing w:before="40" w:after="0"/>
              <w:jc w:val="center"/>
              <w:rPr>
                <w:szCs w:val="22"/>
              </w:rPr>
            </w:pPr>
            <w:r>
              <w:rPr>
                <w:b/>
                <w:szCs w:val="22"/>
              </w:rPr>
              <w:t>2</w:t>
            </w:r>
          </w:p>
        </w:tc>
        <w:tc>
          <w:tcPr>
            <w:tcW w:w="7020" w:type="dxa"/>
            <w:tcBorders>
              <w:top w:val="single" w:sz="4" w:space="0" w:color="000000"/>
              <w:left w:val="single" w:sz="4" w:space="0" w:color="000000"/>
              <w:bottom w:val="single" w:sz="4" w:space="0" w:color="000000"/>
              <w:right w:val="single" w:sz="4" w:space="0" w:color="000000"/>
            </w:tcBorders>
            <w:vAlign w:val="center"/>
          </w:tcPr>
          <w:p>
            <w:pPr>
              <w:pStyle w:val="Style31"/>
              <w:keepNext w:val="false"/>
              <w:widowControl w:val="false"/>
              <w:spacing w:before="40" w:after="0"/>
              <w:jc w:val="center"/>
              <w:rPr>
                <w:szCs w:val="22"/>
              </w:rPr>
            </w:pPr>
            <w:r>
              <w:rPr>
                <w:b/>
                <w:szCs w:val="22"/>
              </w:rPr>
              <w:t>3</w:t>
            </w:r>
          </w:p>
        </w:tc>
      </w:tr>
      <w:tr>
        <w:trPr>
          <w:trHeight w:val="72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7"/>
              </w:numPr>
              <w:suppressAutoHyphens w:val="true"/>
              <w:rPr>
                <w:sz w:val="22"/>
                <w:szCs w:val="22"/>
              </w:rPr>
            </w:pPr>
            <w:r>
              <w:rPr>
                <w:sz w:val="22"/>
                <w:szCs w:val="22"/>
              </w:rPr>
              <w:t xml:space="preserve">     </w:t>
            </w:r>
            <w:r>
              <w:rPr>
                <w:sz w:val="22"/>
                <w:szCs w:val="22"/>
              </w:rPr>
              <w:t>1.</w:t>
            </w:r>
          </w:p>
        </w:tc>
        <w:tc>
          <w:tcPr>
            <w:tcW w:w="71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i/>
                <w:sz w:val="22"/>
                <w:szCs w:val="22"/>
              </w:rPr>
              <w:t>С 1</w:t>
            </w:r>
            <w:r>
              <w:rPr>
                <w:b/>
                <w:bCs/>
                <w:i/>
                <w:sz w:val="22"/>
                <w:szCs w:val="22"/>
              </w:rPr>
              <w:t>1</w:t>
            </w:r>
            <w:r>
              <w:rPr>
                <w:b/>
                <w:bCs/>
                <w:i/>
                <w:sz w:val="22"/>
                <w:szCs w:val="22"/>
              </w:rPr>
              <w:t>.01.202</w:t>
            </w:r>
            <w:r>
              <w:rPr>
                <w:b/>
                <w:bCs/>
                <w:i/>
                <w:sz w:val="22"/>
                <w:szCs w:val="22"/>
              </w:rPr>
              <w:t>7</w:t>
            </w:r>
            <w:r>
              <w:rPr>
                <w:b/>
                <w:bCs/>
                <w:i/>
                <w:sz w:val="22"/>
                <w:szCs w:val="22"/>
              </w:rPr>
              <w:t>г.</w:t>
            </w:r>
          </w:p>
        </w:tc>
        <w:tc>
          <w:tcPr>
            <w:tcW w:w="7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bCs/>
                <w:sz w:val="22"/>
                <w:szCs w:val="22"/>
              </w:rPr>
              <w:t>в течение 80 (восьмидесяти) календарных дней с даты заключения договора поставки</w:t>
            </w:r>
          </w:p>
        </w:tc>
      </w:tr>
    </w:tbl>
    <w:p>
      <w:pPr>
        <w:pStyle w:val="Normal"/>
        <w:suppressAutoHyphens w:val="true"/>
        <w:spacing w:before="120" w:after="120"/>
        <w:ind w:right="-142" w:hanging="0"/>
        <w:rPr>
          <w:sz w:val="24"/>
          <w:szCs w:val="24"/>
        </w:rPr>
      </w:pPr>
      <w:r>
        <w:rPr>
          <w:sz w:val="24"/>
          <w:szCs w:val="24"/>
        </w:rPr>
        <w:t xml:space="preserve">         </w:t>
      </w:r>
      <w:r>
        <w:rPr>
          <w:sz w:val="24"/>
          <w:szCs w:val="24"/>
        </w:rPr>
        <w:t xml:space="preserve">2.2. Технические требования к продукции </w:t>
      </w:r>
    </w:p>
    <w:p>
      <w:pPr>
        <w:pStyle w:val="Normal"/>
        <w:suppressAutoHyphens w:val="true"/>
        <w:spacing w:before="120" w:after="120"/>
        <w:ind w:right="-142" w:hanging="0"/>
        <w:rPr>
          <w:sz w:val="24"/>
          <w:szCs w:val="24"/>
        </w:rPr>
      </w:pPr>
      <w:r>
        <w:rPr>
          <w:sz w:val="24"/>
          <w:szCs w:val="24"/>
        </w:rPr>
        <w:t xml:space="preserve">        </w:t>
      </w:r>
      <w:r>
        <w:rPr>
          <w:sz w:val="24"/>
          <w:szCs w:val="24"/>
        </w:rPr>
        <w:t xml:space="preserve">Таблица 2.2.1. Технические требования к продукции </w:t>
      </w:r>
      <w:r>
        <w:rPr>
          <w:b/>
          <w:bCs/>
          <w:color w:val="000000"/>
          <w:sz w:val="24"/>
          <w:szCs w:val="24"/>
        </w:rPr>
        <w:t>Резинотехнические изделия</w:t>
      </w:r>
    </w:p>
    <w:p>
      <w:pPr>
        <w:pStyle w:val="Normal"/>
        <w:suppressAutoHyphens w:val="true"/>
        <w:spacing w:before="120" w:after="120"/>
        <w:ind w:right="-142" w:hanging="0"/>
        <w:rPr>
          <w:sz w:val="24"/>
          <w:szCs w:val="24"/>
        </w:rPr>
      </w:pPr>
      <w:r>
        <w:rPr>
          <w:sz w:val="22"/>
          <w:szCs w:val="22"/>
        </w:rPr>
        <w:t xml:space="preserve">         </w:t>
      </w:r>
    </w:p>
    <w:p>
      <w:pPr>
        <w:pStyle w:val="Normal"/>
        <w:rPr>
          <w:b/>
          <w:sz w:val="24"/>
          <w:szCs w:val="24"/>
        </w:rPr>
      </w:pPr>
      <w:bookmarkStart w:id="0" w:name="_Toc50125126"/>
      <w:bookmarkStart w:id="1" w:name="_Toc46743510"/>
      <w:r>
        <w:rPr>
          <w:sz w:val="24"/>
          <w:szCs w:val="24"/>
        </w:rPr>
        <w:t xml:space="preserve">        </w:t>
      </w:r>
      <w:bookmarkStart w:id="2" w:name="_Toc50125131"/>
      <w:bookmarkStart w:id="3" w:name="_Toc51339698"/>
      <w:bookmarkStart w:id="4" w:name="_Toc75446581"/>
      <w:bookmarkStart w:id="5" w:name="_Toc46743511"/>
      <w:bookmarkEnd w:id="0"/>
      <w:bookmarkEnd w:id="1"/>
      <w:r>
        <w:rPr>
          <w:sz w:val="24"/>
          <w:szCs w:val="24"/>
        </w:rPr>
        <w:t xml:space="preserve">  </w:t>
      </w:r>
      <w:r>
        <w:rPr>
          <w:b/>
          <w:sz w:val="24"/>
          <w:szCs w:val="24"/>
        </w:rPr>
        <w:t xml:space="preserve">2.3. Требования к </w:t>
      </w:r>
      <w:bookmarkEnd w:id="5"/>
      <w:r>
        <w:rPr>
          <w:b/>
          <w:sz w:val="24"/>
          <w:szCs w:val="24"/>
        </w:rPr>
        <w:t>качеству продукции</w:t>
      </w:r>
      <w:bookmarkEnd w:id="4"/>
    </w:p>
    <w:p>
      <w:pPr>
        <w:pStyle w:val="Heading1"/>
        <w:numPr>
          <w:ilvl w:val="0"/>
          <w:numId w:val="0"/>
        </w:numPr>
        <w:ind w:left="0" w:hanging="0"/>
        <w:rPr>
          <w:b/>
          <w:sz w:val="24"/>
          <w:szCs w:val="24"/>
        </w:rPr>
      </w:pPr>
      <w:r>
        <w:rPr>
          <w:b/>
          <w:sz w:val="24"/>
          <w:szCs w:val="24"/>
        </w:rPr>
        <w:t xml:space="preserve"> </w:t>
      </w:r>
      <w:bookmarkStart w:id="6" w:name="_Toc75446582"/>
      <w:r>
        <w:rPr>
          <w:b/>
          <w:sz w:val="24"/>
          <w:szCs w:val="24"/>
        </w:rPr>
        <w:t xml:space="preserve">          </w:t>
      </w:r>
      <w:r>
        <w:rPr>
          <w:b/>
          <w:sz w:val="24"/>
          <w:szCs w:val="24"/>
        </w:rPr>
        <w:t>Таблица 2.3.1. Требования к продукции</w:t>
      </w:r>
      <w:bookmarkEnd w:id="6"/>
      <w:r>
        <w:rPr>
          <w:b/>
          <w:sz w:val="24"/>
          <w:szCs w:val="24"/>
        </w:rPr>
        <w:t xml:space="preserve"> </w:t>
      </w:r>
      <w:bookmarkEnd w:id="2"/>
      <w:bookmarkEnd w:id="3"/>
    </w:p>
    <w:tbl>
      <w:tblPr>
        <w:tblStyle w:val="af0"/>
        <w:tblW w:w="15168" w:type="dxa"/>
        <w:jc w:val="left"/>
        <w:tblInd w:w="675" w:type="dxa"/>
        <w:tblLayout w:type="fixed"/>
        <w:tblCellMar>
          <w:top w:w="0" w:type="dxa"/>
          <w:left w:w="108" w:type="dxa"/>
          <w:bottom w:w="0" w:type="dxa"/>
          <w:right w:w="108" w:type="dxa"/>
        </w:tblCellMar>
        <w:tblLook w:val="04a0" w:noVBand="1" w:noHBand="0" w:lastColumn="0" w:firstColumn="1" w:lastRow="0" w:firstRow="1"/>
      </w:tblPr>
      <w:tblGrid>
        <w:gridCol w:w="567"/>
        <w:gridCol w:w="3543"/>
        <w:gridCol w:w="3969"/>
        <w:gridCol w:w="2268"/>
        <w:gridCol w:w="2694"/>
        <w:gridCol w:w="2126"/>
      </w:tblGrid>
      <w:tr>
        <w:trPr/>
        <w:tc>
          <w:tcPr>
            <w:tcW w:w="567" w:type="dxa"/>
            <w:vMerge w:val="restart"/>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 xml:space="preserve">№ </w:t>
            </w:r>
            <w:r>
              <w:rPr>
                <w:rFonts w:eastAsia="Times New Roman" w:cs="Times New Roman"/>
                <w:b/>
                <w:bCs/>
                <w:kern w:val="0"/>
                <w:sz w:val="20"/>
                <w:szCs w:val="20"/>
                <w:lang w:val="ru-RU" w:eastAsia="ru-RU" w:bidi="ar-SA"/>
              </w:rPr>
              <w:t>п/п</w:t>
            </w:r>
          </w:p>
        </w:tc>
        <w:tc>
          <w:tcPr>
            <w:tcW w:w="3543" w:type="dxa"/>
            <w:vMerge w:val="restart"/>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Наименование параметра</w:t>
            </w:r>
          </w:p>
        </w:tc>
        <w:tc>
          <w:tcPr>
            <w:tcW w:w="3969" w:type="dxa"/>
            <w:vMerge w:val="restart"/>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Требование заказчика</w:t>
            </w:r>
          </w:p>
        </w:tc>
        <w:tc>
          <w:tcPr>
            <w:tcW w:w="4962" w:type="dxa"/>
            <w:gridSpan w:val="2"/>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Способ подтверждения участником соответствия требованиям</w:t>
            </w:r>
          </w:p>
        </w:tc>
        <w:tc>
          <w:tcPr>
            <w:tcW w:w="2126" w:type="dxa"/>
            <w:vMerge w:val="restart"/>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Предложение участника по характеристикам и параметрам</w:t>
            </w:r>
          </w:p>
        </w:tc>
      </w:tr>
      <w:tr>
        <w:trPr/>
        <w:tc>
          <w:tcPr>
            <w:tcW w:w="567" w:type="dxa"/>
            <w:vMerge w:val="continue"/>
            <w:tcBorders/>
            <w:vAlign w:val="center"/>
          </w:tcPr>
          <w:p>
            <w:pPr>
              <w:pStyle w:val="Normal"/>
              <w:widowControl w:val="false"/>
              <w:suppressAutoHyphens w:val="true"/>
              <w:spacing w:before="0" w:after="0"/>
              <w:jc w:val="left"/>
              <w:rPr>
                <w:b/>
                <w:bCs/>
                <w:sz w:val="20"/>
                <w:szCs w:val="20"/>
              </w:rPr>
            </w:pPr>
            <w:r>
              <w:rPr>
                <w:b/>
                <w:bCs/>
                <w:sz w:val="20"/>
                <w:szCs w:val="20"/>
              </w:rPr>
            </w:r>
          </w:p>
        </w:tc>
        <w:tc>
          <w:tcPr>
            <w:tcW w:w="3543" w:type="dxa"/>
            <w:vMerge w:val="continue"/>
            <w:tcBorders/>
            <w:vAlign w:val="center"/>
          </w:tcPr>
          <w:p>
            <w:pPr>
              <w:pStyle w:val="Normal"/>
              <w:widowControl w:val="false"/>
              <w:suppressAutoHyphens w:val="true"/>
              <w:spacing w:before="0" w:after="0"/>
              <w:jc w:val="left"/>
              <w:rPr>
                <w:b/>
                <w:bCs/>
                <w:sz w:val="20"/>
                <w:szCs w:val="20"/>
              </w:rPr>
            </w:pPr>
            <w:r>
              <w:rPr>
                <w:b/>
                <w:bCs/>
                <w:sz w:val="20"/>
                <w:szCs w:val="20"/>
              </w:rPr>
            </w:r>
          </w:p>
        </w:tc>
        <w:tc>
          <w:tcPr>
            <w:tcW w:w="3969" w:type="dxa"/>
            <w:vMerge w:val="continue"/>
            <w:tcBorders/>
            <w:vAlign w:val="center"/>
          </w:tcPr>
          <w:p>
            <w:pPr>
              <w:pStyle w:val="Normal"/>
              <w:widowControl w:val="false"/>
              <w:suppressAutoHyphens w:val="true"/>
              <w:spacing w:before="0" w:after="0"/>
              <w:jc w:val="left"/>
              <w:rPr>
                <w:b/>
                <w:bCs/>
                <w:sz w:val="20"/>
                <w:szCs w:val="20"/>
              </w:rPr>
            </w:pPr>
            <w:r>
              <w:rPr>
                <w:b/>
                <w:bCs/>
                <w:sz w:val="20"/>
                <w:szCs w:val="20"/>
              </w:rPr>
            </w:r>
          </w:p>
        </w:tc>
        <w:tc>
          <w:tcPr>
            <w:tcW w:w="2268" w:type="dxa"/>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Согласие с требованием/ указание характеристик</w:t>
            </w:r>
          </w:p>
        </w:tc>
        <w:tc>
          <w:tcPr>
            <w:tcW w:w="2694" w:type="dxa"/>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Предоставление подтверждающего документа или иной способ подтверждения</w:t>
            </w:r>
          </w:p>
        </w:tc>
        <w:tc>
          <w:tcPr>
            <w:tcW w:w="2126" w:type="dxa"/>
            <w:vMerge w:val="continue"/>
            <w:tcBorders/>
            <w:vAlign w:val="center"/>
          </w:tcPr>
          <w:p>
            <w:pPr>
              <w:pStyle w:val="Normal"/>
              <w:widowControl w:val="false"/>
              <w:suppressAutoHyphens w:val="true"/>
              <w:spacing w:before="0" w:after="0"/>
              <w:jc w:val="left"/>
              <w:rPr>
                <w:b/>
                <w:bCs/>
                <w:sz w:val="20"/>
                <w:szCs w:val="20"/>
              </w:rPr>
            </w:pPr>
            <w:r>
              <w:rPr>
                <w:b/>
                <w:bCs/>
                <w:sz w:val="20"/>
                <w:szCs w:val="20"/>
              </w:rPr>
            </w:r>
          </w:p>
        </w:tc>
      </w:tr>
      <w:tr>
        <w:trPr/>
        <w:tc>
          <w:tcPr>
            <w:tcW w:w="567" w:type="dxa"/>
            <w:tcBorders/>
            <w:vAlign w:val="center"/>
          </w:tcPr>
          <w:p>
            <w:pPr>
              <w:pStyle w:val="Normal"/>
              <w:widowControl w:val="false"/>
              <w:suppressAutoHyphens w:val="true"/>
              <w:spacing w:before="60" w:after="0"/>
              <w:jc w:val="center"/>
              <w:rPr>
                <w:sz w:val="20"/>
                <w:szCs w:val="20"/>
              </w:rPr>
            </w:pPr>
            <w:r>
              <w:rPr>
                <w:rFonts w:eastAsia="Times New Roman" w:cs="Times New Roman"/>
                <w:b/>
                <w:kern w:val="0"/>
                <w:sz w:val="20"/>
                <w:szCs w:val="20"/>
                <w:lang w:val="ru-RU" w:eastAsia="ru-RU" w:bidi="ar-SA"/>
              </w:rPr>
              <w:t>1</w:t>
            </w:r>
          </w:p>
        </w:tc>
        <w:tc>
          <w:tcPr>
            <w:tcW w:w="3543" w:type="dxa"/>
            <w:tcBorders/>
            <w:vAlign w:val="center"/>
          </w:tcPr>
          <w:p>
            <w:pPr>
              <w:pStyle w:val="Normal"/>
              <w:widowControl w:val="false"/>
              <w:suppressAutoHyphens w:val="true"/>
              <w:spacing w:before="0" w:after="0"/>
              <w:jc w:val="center"/>
              <w:rPr>
                <w:b/>
                <w:sz w:val="20"/>
                <w:szCs w:val="20"/>
              </w:rPr>
            </w:pPr>
            <w:r>
              <w:rPr>
                <w:rFonts w:eastAsia="Times New Roman" w:cs="Times New Roman"/>
                <w:b/>
                <w:kern w:val="0"/>
                <w:sz w:val="20"/>
                <w:szCs w:val="20"/>
                <w:lang w:val="ru-RU" w:eastAsia="ru-RU" w:bidi="ar-SA"/>
              </w:rPr>
              <w:t>2</w:t>
            </w:r>
          </w:p>
        </w:tc>
        <w:tc>
          <w:tcPr>
            <w:tcW w:w="3969" w:type="dxa"/>
            <w:tcBorders/>
            <w:vAlign w:val="center"/>
          </w:tcPr>
          <w:p>
            <w:pPr>
              <w:pStyle w:val="Normal"/>
              <w:widowControl w:val="false"/>
              <w:suppressAutoHyphens w:val="true"/>
              <w:spacing w:before="0" w:after="0"/>
              <w:jc w:val="center"/>
              <w:rPr>
                <w:b/>
                <w:sz w:val="20"/>
                <w:szCs w:val="20"/>
              </w:rPr>
            </w:pPr>
            <w:r>
              <w:rPr>
                <w:rFonts w:eastAsia="Times New Roman" w:cs="Times New Roman"/>
                <w:b/>
                <w:kern w:val="0"/>
                <w:sz w:val="20"/>
                <w:szCs w:val="20"/>
                <w:lang w:val="ru-RU" w:eastAsia="ru-RU" w:bidi="ar-SA"/>
              </w:rPr>
              <w:t>3</w:t>
            </w:r>
          </w:p>
        </w:tc>
        <w:tc>
          <w:tcPr>
            <w:tcW w:w="2268" w:type="dxa"/>
            <w:tcBorders/>
            <w:vAlign w:val="center"/>
          </w:tcPr>
          <w:p>
            <w:pPr>
              <w:pStyle w:val="Normal"/>
              <w:widowControl w:val="false"/>
              <w:suppressAutoHyphens w:val="true"/>
              <w:spacing w:before="0" w:after="0"/>
              <w:jc w:val="center"/>
              <w:rPr>
                <w:b/>
                <w:sz w:val="20"/>
                <w:szCs w:val="20"/>
              </w:rPr>
            </w:pPr>
            <w:r>
              <w:rPr>
                <w:rFonts w:eastAsia="Times New Roman" w:cs="Times New Roman"/>
                <w:b/>
                <w:kern w:val="0"/>
                <w:sz w:val="20"/>
                <w:szCs w:val="20"/>
                <w:lang w:val="ru-RU" w:eastAsia="ru-RU" w:bidi="ar-SA"/>
              </w:rPr>
              <w:t>4</w:t>
            </w:r>
          </w:p>
        </w:tc>
        <w:tc>
          <w:tcPr>
            <w:tcW w:w="2694" w:type="dxa"/>
            <w:tcBorders/>
            <w:vAlign w:val="center"/>
          </w:tcPr>
          <w:p>
            <w:pPr>
              <w:pStyle w:val="Normal"/>
              <w:widowControl w:val="false"/>
              <w:suppressAutoHyphens w:val="true"/>
              <w:spacing w:before="0" w:after="0"/>
              <w:jc w:val="center"/>
              <w:rPr>
                <w:b/>
                <w:sz w:val="20"/>
                <w:szCs w:val="20"/>
              </w:rPr>
            </w:pPr>
            <w:r>
              <w:rPr>
                <w:rFonts w:eastAsia="Times New Roman" w:cs="Times New Roman"/>
                <w:b/>
                <w:kern w:val="0"/>
                <w:sz w:val="20"/>
                <w:szCs w:val="20"/>
                <w:lang w:val="ru-RU" w:eastAsia="ru-RU" w:bidi="ar-SA"/>
              </w:rPr>
              <w:t>5</w:t>
            </w:r>
          </w:p>
        </w:tc>
        <w:tc>
          <w:tcPr>
            <w:tcW w:w="2126" w:type="dxa"/>
            <w:tcBorders/>
            <w:vAlign w:val="center"/>
          </w:tcPr>
          <w:p>
            <w:pPr>
              <w:pStyle w:val="Normal"/>
              <w:widowControl w:val="false"/>
              <w:suppressAutoHyphens w:val="true"/>
              <w:spacing w:before="0" w:after="0"/>
              <w:jc w:val="center"/>
              <w:rPr>
                <w:b/>
                <w:sz w:val="20"/>
                <w:szCs w:val="20"/>
              </w:rPr>
            </w:pPr>
            <w:r>
              <w:rPr>
                <w:rFonts w:eastAsia="Times New Roman" w:cs="Times New Roman"/>
                <w:b/>
                <w:kern w:val="0"/>
                <w:sz w:val="20"/>
                <w:szCs w:val="20"/>
                <w:lang w:val="ru-RU" w:eastAsia="ru-RU" w:bidi="ar-SA"/>
              </w:rPr>
              <w:t>6</w:t>
            </w:r>
          </w:p>
        </w:tc>
      </w:tr>
      <w:tr>
        <w:trPr>
          <w:trHeight w:val="304" w:hRule="atLeast"/>
        </w:trPr>
        <w:tc>
          <w:tcPr>
            <w:tcW w:w="567" w:type="dxa"/>
            <w:tcBorders/>
            <w:vAlign w:val="center"/>
          </w:tcPr>
          <w:p>
            <w:pPr>
              <w:pStyle w:val="ListParagraph"/>
              <w:widowControl w:val="false"/>
              <w:numPr>
                <w:ilvl w:val="0"/>
                <w:numId w:val="6"/>
              </w:numPr>
              <w:suppressAutoHyphens w:val="true"/>
              <w:spacing w:before="60" w:after="0"/>
              <w:contextualSpacing/>
              <w:jc w:val="center"/>
              <w:rPr>
                <w:sz w:val="20"/>
                <w:szCs w:val="20"/>
              </w:rPr>
            </w:pPr>
            <w:r>
              <w:rPr>
                <w:sz w:val="20"/>
                <w:szCs w:val="20"/>
              </w:rPr>
            </w:r>
          </w:p>
        </w:tc>
        <w:tc>
          <w:tcPr>
            <w:tcW w:w="14600" w:type="dxa"/>
            <w:gridSpan w:val="5"/>
            <w:tcBorders/>
          </w:tcPr>
          <w:p>
            <w:pPr>
              <w:pStyle w:val="Normal"/>
              <w:widowControl w:val="false"/>
              <w:suppressAutoHyphens w:val="true"/>
              <w:spacing w:before="60" w:after="0"/>
              <w:jc w:val="left"/>
              <w:rPr>
                <w:b/>
                <w:sz w:val="20"/>
                <w:szCs w:val="20"/>
              </w:rPr>
            </w:pPr>
            <w:r>
              <w:rPr>
                <w:rFonts w:eastAsia="Times New Roman" w:cs="Times New Roman"/>
                <w:b/>
                <w:bCs/>
                <w:kern w:val="0"/>
                <w:sz w:val="20"/>
                <w:szCs w:val="20"/>
                <w:lang w:val="ru-RU" w:eastAsia="ru-RU" w:bidi="ar-SA"/>
              </w:rPr>
              <w:t>Требования к гарантиям, году выпуска продукции, гарантийному сроку эксплуатации</w:t>
            </w:r>
          </w:p>
        </w:tc>
      </w:tr>
      <w:tr>
        <w:trPr>
          <w:trHeight w:val="110" w:hRule="atLeast"/>
        </w:trPr>
        <w:tc>
          <w:tcPr>
            <w:tcW w:w="567" w:type="dxa"/>
            <w:tcBorders/>
            <w:vAlign w:val="center"/>
          </w:tcPr>
          <w:p>
            <w:pPr>
              <w:pStyle w:val="ListParagraph"/>
              <w:widowControl w:val="false"/>
              <w:numPr>
                <w:ilvl w:val="1"/>
                <w:numId w:val="6"/>
              </w:numPr>
              <w:suppressAutoHyphens w:val="true"/>
              <w:spacing w:before="60" w:after="0"/>
              <w:ind w:left="-117" w:firstLine="142"/>
              <w:contextualSpacing/>
              <w:jc w:val="center"/>
              <w:rPr>
                <w:sz w:val="20"/>
                <w:szCs w:val="20"/>
              </w:rPr>
            </w:pPr>
            <w:r>
              <w:rPr>
                <w:sz w:val="20"/>
                <w:szCs w:val="20"/>
              </w:rPr>
            </w:r>
          </w:p>
        </w:tc>
        <w:tc>
          <w:tcPr>
            <w:tcW w:w="3543" w:type="dxa"/>
            <w:tcBorders/>
          </w:tcPr>
          <w:p>
            <w:pPr>
              <w:pStyle w:val="Normal"/>
              <w:widowControl w:val="false"/>
              <w:suppressAutoHyphens w:val="true"/>
              <w:spacing w:before="0" w:after="0"/>
              <w:jc w:val="left"/>
              <w:rPr>
                <w:sz w:val="20"/>
                <w:szCs w:val="20"/>
              </w:rPr>
            </w:pPr>
            <w:r>
              <w:rPr>
                <w:sz w:val="20"/>
                <w:szCs w:val="20"/>
              </w:rPr>
            </w:r>
          </w:p>
          <w:p>
            <w:pPr>
              <w:pStyle w:val="Normal"/>
              <w:widowControl w:val="false"/>
              <w:suppressAutoHyphens w:val="true"/>
              <w:spacing w:before="0" w:after="0"/>
              <w:jc w:val="left"/>
              <w:rPr>
                <w:sz w:val="20"/>
                <w:szCs w:val="20"/>
              </w:rPr>
            </w:pPr>
            <w:r>
              <w:rPr>
                <w:rFonts w:eastAsia="Times New Roman" w:cs="Times New Roman"/>
                <w:kern w:val="0"/>
                <w:sz w:val="20"/>
                <w:szCs w:val="20"/>
                <w:lang w:val="ru-RU" w:eastAsia="ru-RU" w:bidi="ar-SA"/>
              </w:rPr>
              <w:t>Срок гарантии</w:t>
            </w:r>
          </w:p>
        </w:tc>
        <w:tc>
          <w:tcPr>
            <w:tcW w:w="3969" w:type="dxa"/>
            <w:tcBorders/>
          </w:tcPr>
          <w:p>
            <w:pPr>
              <w:pStyle w:val="Normal"/>
              <w:widowControl w:val="false"/>
              <w:suppressAutoHyphens w:val="true"/>
              <w:spacing w:before="0" w:after="0"/>
              <w:jc w:val="left"/>
              <w:rPr>
                <w:sz w:val="20"/>
                <w:szCs w:val="20"/>
              </w:rPr>
            </w:pPr>
            <w:r>
              <w:rPr>
                <w:rFonts w:eastAsia="Times New Roman" w:cs="Times New Roman"/>
                <w:kern w:val="0"/>
                <w:sz w:val="20"/>
                <w:szCs w:val="20"/>
                <w:lang w:val="ru-RU" w:eastAsia="ru-RU" w:bidi="ar-SA"/>
              </w:rPr>
              <w:t>Гарантийный срок на поставляемую продукцию должен соответствовать сроку, установленному изготовителем, но не менее 12 месяцев</w:t>
            </w:r>
            <w:r>
              <w:rPr>
                <w:rFonts w:eastAsia="Times New Roman" w:cs="Times New Roman"/>
                <w:color w:val="000000"/>
                <w:kern w:val="0"/>
                <w:sz w:val="20"/>
                <w:szCs w:val="20"/>
                <w:lang w:val="ru-RU" w:eastAsia="ru-RU" w:bidi="ar-SA"/>
              </w:rPr>
              <w:t>. Время начала исчисления гарантийного срока с момента подписания ТОРГ-12 или УПД.</w:t>
            </w:r>
          </w:p>
        </w:tc>
        <w:tc>
          <w:tcPr>
            <w:tcW w:w="2268" w:type="dxa"/>
            <w:tcBorders/>
          </w:tcPr>
          <w:p>
            <w:pPr>
              <w:pStyle w:val="Normal"/>
              <w:widowControl w:val="false"/>
              <w:suppressAutoHyphens w:val="true"/>
              <w:spacing w:before="0" w:after="0"/>
              <w:jc w:val="center"/>
              <w:rPr>
                <w:sz w:val="20"/>
                <w:szCs w:val="20"/>
              </w:rPr>
            </w:pPr>
            <w:r>
              <w:rPr>
                <w:rFonts w:eastAsia="Times New Roman" w:cs="Times New Roman"/>
                <w:i/>
                <w:iCs/>
                <w:kern w:val="0"/>
                <w:sz w:val="20"/>
                <w:szCs w:val="20"/>
                <w:lang w:val="ru-RU" w:eastAsia="ru-RU" w:bidi="ar-SA"/>
              </w:rPr>
              <w:t>Согласие с требованием</w:t>
            </w:r>
          </w:p>
        </w:tc>
        <w:tc>
          <w:tcPr>
            <w:tcW w:w="2694" w:type="dxa"/>
            <w:tcBorders/>
          </w:tcPr>
          <w:p>
            <w:pPr>
              <w:pStyle w:val="Normal"/>
              <w:widowControl w:val="false"/>
              <w:tabs>
                <w:tab w:val="clear" w:pos="708"/>
                <w:tab w:val="left" w:pos="426" w:leader="none"/>
              </w:tabs>
              <w:suppressAutoHyphens w:val="true"/>
              <w:spacing w:before="40" w:after="0"/>
              <w:jc w:val="center"/>
              <w:rPr>
                <w:sz w:val="20"/>
                <w:szCs w:val="20"/>
              </w:rPr>
            </w:pPr>
            <w:r>
              <w:rPr>
                <w:rFonts w:eastAsia="Times New Roman" w:cs="Times New Roman"/>
                <w:b/>
                <w:kern w:val="0"/>
                <w:sz w:val="20"/>
                <w:szCs w:val="20"/>
                <w:lang w:val="ru-RU" w:eastAsia="ru-RU" w:bidi="ar-SA"/>
              </w:rPr>
              <w:t>-//-</w:t>
            </w:r>
          </w:p>
        </w:tc>
        <w:tc>
          <w:tcPr>
            <w:tcW w:w="2126" w:type="dxa"/>
            <w:tcBorders/>
          </w:tcPr>
          <w:p>
            <w:pPr>
              <w:pStyle w:val="Style30"/>
              <w:keepNext w:val="false"/>
              <w:widowControl w:val="false"/>
              <w:numPr>
                <w:ilvl w:val="0"/>
                <w:numId w:val="0"/>
              </w:numPr>
              <w:suppressAutoHyphens w:val="true"/>
              <w:spacing w:before="0" w:after="0"/>
              <w:ind w:left="0" w:hanging="0"/>
              <w:jc w:val="left"/>
              <w:outlineLvl w:val="2"/>
              <w:rPr>
                <w:rFonts w:eastAsia="Times New Roman"/>
                <w:b w:val="false"/>
                <w:sz w:val="20"/>
                <w:szCs w:val="20"/>
                <w:highlight w:val="yellow"/>
                <w:lang w:val="ru-RU" w:eastAsia="ru-RU"/>
              </w:rPr>
            </w:pPr>
            <w:r>
              <w:rPr>
                <w:rFonts w:eastAsia="Times New Roman" w:cs="Times New Roman"/>
                <w:b w:val="false"/>
                <w:kern w:val="0"/>
                <w:sz w:val="20"/>
                <w:szCs w:val="20"/>
                <w:highlight w:val="yellow"/>
                <w:lang w:val="ru-RU" w:eastAsia="ru-RU" w:bidi="ar-SA"/>
              </w:rPr>
            </w:r>
          </w:p>
        </w:tc>
      </w:tr>
      <w:tr>
        <w:trPr/>
        <w:tc>
          <w:tcPr>
            <w:tcW w:w="567" w:type="dxa"/>
            <w:tcBorders/>
            <w:vAlign w:val="center"/>
          </w:tcPr>
          <w:p>
            <w:pPr>
              <w:pStyle w:val="ListParagraph"/>
              <w:widowControl w:val="false"/>
              <w:numPr>
                <w:ilvl w:val="1"/>
                <w:numId w:val="6"/>
              </w:numPr>
              <w:suppressAutoHyphens w:val="true"/>
              <w:spacing w:before="60" w:after="0"/>
              <w:ind w:left="-117" w:firstLine="142"/>
              <w:contextualSpacing/>
              <w:jc w:val="center"/>
              <w:rPr>
                <w:sz w:val="20"/>
                <w:szCs w:val="20"/>
              </w:rPr>
            </w:pPr>
            <w:r>
              <w:rPr>
                <w:sz w:val="20"/>
                <w:szCs w:val="20"/>
              </w:rPr>
            </w:r>
          </w:p>
        </w:tc>
        <w:tc>
          <w:tcPr>
            <w:tcW w:w="3543" w:type="dxa"/>
            <w:tcBorders/>
          </w:tcPr>
          <w:p>
            <w:pPr>
              <w:pStyle w:val="Normal"/>
              <w:widowControl w:val="false"/>
              <w:suppressAutoHyphens w:val="true"/>
              <w:spacing w:before="0" w:after="0"/>
              <w:jc w:val="left"/>
              <w:rPr>
                <w:sz w:val="20"/>
                <w:szCs w:val="20"/>
              </w:rPr>
            </w:pPr>
            <w:r>
              <w:rPr>
                <w:sz w:val="20"/>
                <w:szCs w:val="20"/>
              </w:rPr>
            </w:r>
          </w:p>
          <w:p>
            <w:pPr>
              <w:pStyle w:val="Normal"/>
              <w:widowControl w:val="false"/>
              <w:suppressAutoHyphens w:val="true"/>
              <w:spacing w:before="0" w:after="0"/>
              <w:jc w:val="left"/>
              <w:rPr>
                <w:sz w:val="20"/>
                <w:szCs w:val="20"/>
              </w:rPr>
            </w:pPr>
            <w:r>
              <w:rPr>
                <w:rFonts w:eastAsia="Times New Roman" w:cs="Times New Roman"/>
                <w:kern w:val="0"/>
                <w:sz w:val="20"/>
                <w:szCs w:val="20"/>
                <w:lang w:val="ru-RU" w:eastAsia="ru-RU" w:bidi="ar-SA"/>
              </w:rPr>
              <w:t>Требования к новизне продукции</w:t>
            </w:r>
          </w:p>
        </w:tc>
        <w:tc>
          <w:tcPr>
            <w:tcW w:w="3969" w:type="dxa"/>
            <w:tcBorders/>
          </w:tcPr>
          <w:p>
            <w:pPr>
              <w:pStyle w:val="Normal"/>
              <w:widowControl w:val="false"/>
              <w:suppressAutoHyphens w:val="true"/>
              <w:spacing w:before="0" w:after="0"/>
              <w:jc w:val="left"/>
              <w:rPr>
                <w:sz w:val="20"/>
                <w:szCs w:val="20"/>
              </w:rPr>
            </w:pPr>
            <w:r>
              <w:rPr>
                <w:rFonts w:eastAsia="Times New Roman" w:cs="Times New Roman"/>
                <w:bCs/>
                <w:kern w:val="0"/>
                <w:sz w:val="20"/>
                <w:szCs w:val="20"/>
                <w:lang w:val="ru-RU" w:eastAsia="ru-RU" w:bidi="ar-SA"/>
              </w:rPr>
              <w:t>Продукция должна быть новой, ранее неиспользованной, произведенной в 202</w:t>
            </w:r>
            <w:r>
              <w:rPr>
                <w:rFonts w:eastAsia="Times New Roman" w:cs="Times New Roman"/>
                <w:bCs/>
                <w:kern w:val="0"/>
                <w:sz w:val="20"/>
                <w:szCs w:val="20"/>
                <w:lang w:val="ru-RU" w:eastAsia="ru-RU" w:bidi="ar-SA"/>
              </w:rPr>
              <w:t>6</w:t>
            </w:r>
            <w:r>
              <w:rPr>
                <w:rFonts w:eastAsia="Times New Roman" w:cs="Times New Roman"/>
                <w:bCs/>
                <w:kern w:val="0"/>
                <w:sz w:val="20"/>
                <w:szCs w:val="20"/>
                <w:lang w:val="ru-RU" w:eastAsia="ru-RU" w:bidi="ar-SA"/>
              </w:rPr>
              <w:t>г.</w:t>
            </w:r>
          </w:p>
        </w:tc>
        <w:tc>
          <w:tcPr>
            <w:tcW w:w="2268" w:type="dxa"/>
            <w:tcBorders/>
          </w:tcPr>
          <w:p>
            <w:pPr>
              <w:pStyle w:val="Normal"/>
              <w:widowControl w:val="false"/>
              <w:suppressAutoHyphens w:val="true"/>
              <w:spacing w:before="0" w:after="0"/>
              <w:jc w:val="center"/>
              <w:rPr>
                <w:sz w:val="20"/>
                <w:szCs w:val="20"/>
              </w:rPr>
            </w:pPr>
            <w:r>
              <w:rPr>
                <w:rFonts w:eastAsia="Times New Roman" w:cs="Times New Roman"/>
                <w:i/>
                <w:iCs/>
                <w:kern w:val="0"/>
                <w:sz w:val="20"/>
                <w:szCs w:val="20"/>
                <w:lang w:val="ru-RU" w:eastAsia="ru-RU" w:bidi="ar-SA"/>
              </w:rPr>
              <w:t>Согласие с требованием</w:t>
            </w:r>
          </w:p>
        </w:tc>
        <w:tc>
          <w:tcPr>
            <w:tcW w:w="2694" w:type="dxa"/>
            <w:tcBorders/>
          </w:tcPr>
          <w:p>
            <w:pPr>
              <w:pStyle w:val="Normal"/>
              <w:widowControl w:val="false"/>
              <w:tabs>
                <w:tab w:val="clear" w:pos="708"/>
                <w:tab w:val="left" w:pos="426" w:leader="none"/>
              </w:tabs>
              <w:suppressAutoHyphens w:val="true"/>
              <w:spacing w:before="40" w:after="0"/>
              <w:jc w:val="center"/>
              <w:rPr>
                <w:sz w:val="20"/>
                <w:szCs w:val="20"/>
              </w:rPr>
            </w:pPr>
            <w:r>
              <w:rPr>
                <w:rFonts w:eastAsia="Times New Roman" w:cs="Times New Roman"/>
                <w:b/>
                <w:kern w:val="0"/>
                <w:sz w:val="20"/>
                <w:szCs w:val="20"/>
                <w:lang w:val="ru-RU" w:eastAsia="ru-RU" w:bidi="ar-SA"/>
              </w:rPr>
              <w:t>-//-</w:t>
            </w:r>
          </w:p>
        </w:tc>
        <w:tc>
          <w:tcPr>
            <w:tcW w:w="2126" w:type="dxa"/>
            <w:tcBorders/>
          </w:tcPr>
          <w:p>
            <w:pPr>
              <w:pStyle w:val="Style30"/>
              <w:keepNext w:val="false"/>
              <w:widowControl w:val="false"/>
              <w:numPr>
                <w:ilvl w:val="0"/>
                <w:numId w:val="0"/>
              </w:numPr>
              <w:suppressAutoHyphens w:val="true"/>
              <w:spacing w:before="0" w:after="0"/>
              <w:ind w:left="0" w:hanging="0"/>
              <w:jc w:val="left"/>
              <w:outlineLvl w:val="2"/>
              <w:rPr>
                <w:rFonts w:eastAsia="Times New Roman"/>
                <w:b w:val="false"/>
                <w:sz w:val="20"/>
                <w:szCs w:val="20"/>
                <w:highlight w:val="yellow"/>
                <w:lang w:val="ru-RU" w:eastAsia="ru-RU"/>
              </w:rPr>
            </w:pPr>
            <w:r>
              <w:rPr>
                <w:rFonts w:eastAsia="Times New Roman" w:cs="Times New Roman"/>
                <w:b w:val="false"/>
                <w:kern w:val="0"/>
                <w:sz w:val="20"/>
                <w:szCs w:val="20"/>
                <w:highlight w:val="yellow"/>
                <w:lang w:val="ru-RU" w:eastAsia="ru-RU" w:bidi="ar-SA"/>
              </w:rPr>
            </w:r>
          </w:p>
        </w:tc>
      </w:tr>
      <w:tr>
        <w:trPr/>
        <w:tc>
          <w:tcPr>
            <w:tcW w:w="567" w:type="dxa"/>
            <w:tcBorders/>
            <w:vAlign w:val="center"/>
          </w:tcPr>
          <w:p>
            <w:pPr>
              <w:pStyle w:val="Normal"/>
              <w:widowControl w:val="false"/>
              <w:suppressAutoHyphens w:val="true"/>
              <w:spacing w:before="60" w:after="0"/>
              <w:jc w:val="left"/>
              <w:rPr>
                <w:sz w:val="20"/>
                <w:szCs w:val="20"/>
              </w:rPr>
            </w:pPr>
            <w:r>
              <w:rPr>
                <w:rFonts w:eastAsia="Times New Roman" w:cs="Times New Roman"/>
                <w:b/>
                <w:kern w:val="0"/>
                <w:sz w:val="20"/>
                <w:szCs w:val="20"/>
                <w:lang w:val="ru-RU" w:eastAsia="ru-RU" w:bidi="ar-SA"/>
              </w:rPr>
              <w:t>2.</w:t>
            </w:r>
          </w:p>
        </w:tc>
        <w:tc>
          <w:tcPr>
            <w:tcW w:w="14600" w:type="dxa"/>
            <w:gridSpan w:val="5"/>
            <w:tcBorders/>
            <w:vAlign w:val="center"/>
          </w:tcPr>
          <w:p>
            <w:pPr>
              <w:pStyle w:val="Normal"/>
              <w:widowControl w:val="false"/>
              <w:suppressAutoHyphens w:val="true"/>
              <w:spacing w:before="0" w:after="0"/>
              <w:jc w:val="left"/>
              <w:rPr>
                <w:sz w:val="20"/>
                <w:szCs w:val="20"/>
              </w:rPr>
            </w:pPr>
            <w:r>
              <w:rPr>
                <w:rFonts w:eastAsia="Times New Roman" w:cs="Times New Roman"/>
                <w:b/>
                <w:kern w:val="0"/>
                <w:sz w:val="20"/>
                <w:szCs w:val="20"/>
                <w:lang w:val="ru-RU" w:eastAsia="ru-RU" w:bidi="ar-SA"/>
              </w:rPr>
              <w:t>Требование к доставке</w:t>
            </w:r>
          </w:p>
        </w:tc>
      </w:tr>
      <w:tr>
        <w:trPr>
          <w:trHeight w:val="670" w:hRule="atLeast"/>
        </w:trPr>
        <w:tc>
          <w:tcPr>
            <w:tcW w:w="567" w:type="dxa"/>
            <w:vMerge w:val="restart"/>
            <w:tcBorders/>
            <w:vAlign w:val="center"/>
          </w:tcPr>
          <w:p>
            <w:pPr>
              <w:pStyle w:val="Normal"/>
              <w:widowControl w:val="false"/>
              <w:suppressAutoHyphens w:val="true"/>
              <w:spacing w:before="60" w:after="0"/>
              <w:ind w:right="-109" w:hanging="0"/>
              <w:jc w:val="left"/>
              <w:rPr>
                <w:sz w:val="20"/>
                <w:szCs w:val="20"/>
              </w:rPr>
            </w:pPr>
            <w:r>
              <w:rPr>
                <w:rFonts w:eastAsia="Times New Roman" w:cs="Times New Roman"/>
                <w:kern w:val="0"/>
                <w:sz w:val="20"/>
                <w:szCs w:val="20"/>
                <w:lang w:val="ru-RU" w:eastAsia="ru-RU" w:bidi="ar-SA"/>
              </w:rPr>
              <w:t>2.1.</w:t>
            </w:r>
          </w:p>
        </w:tc>
        <w:tc>
          <w:tcPr>
            <w:tcW w:w="3543" w:type="dxa"/>
            <w:tcBorders/>
            <w:vAlign w:val="center"/>
          </w:tcPr>
          <w:p>
            <w:pPr>
              <w:pStyle w:val="Normal"/>
              <w:widowControl w:val="false"/>
              <w:suppressAutoHyphens w:val="true"/>
              <w:spacing w:before="0" w:after="0"/>
              <w:ind w:right="145" w:hanging="0"/>
              <w:jc w:val="left"/>
              <w:rPr>
                <w:sz w:val="20"/>
                <w:szCs w:val="20"/>
              </w:rPr>
            </w:pPr>
            <w:r>
              <w:rPr>
                <w:rFonts w:eastAsia="Times New Roman" w:cs="Times New Roman"/>
                <w:bCs/>
                <w:color w:val="000000"/>
                <w:kern w:val="0"/>
                <w:sz w:val="20"/>
                <w:szCs w:val="20"/>
                <w:lang w:val="ru-RU" w:eastAsia="ru-RU" w:bidi="ar-SA"/>
              </w:rPr>
              <w:t>Место поставки продукции для филиала АО «ДРСК» «Амурские электрические сети»</w:t>
            </w:r>
          </w:p>
        </w:tc>
        <w:tc>
          <w:tcPr>
            <w:tcW w:w="3969" w:type="dxa"/>
            <w:tcBorders/>
            <w:vAlign w:val="center"/>
          </w:tcPr>
          <w:p>
            <w:pPr>
              <w:pStyle w:val="Normal"/>
              <w:widowControl w:val="false"/>
              <w:suppressAutoHyphens w:val="true"/>
              <w:spacing w:before="0" w:after="0"/>
              <w:jc w:val="left"/>
              <w:rPr>
                <w:color w:val="000000"/>
                <w:spacing w:val="-1"/>
                <w:sz w:val="20"/>
                <w:szCs w:val="20"/>
                <w:lang w:eastAsia="en-US"/>
              </w:rPr>
            </w:pPr>
            <w:r>
              <w:rPr>
                <w:rFonts w:eastAsia="Times New Roman" w:cs="Times New Roman"/>
                <w:color w:val="000000"/>
                <w:spacing w:val="-1"/>
                <w:kern w:val="0"/>
                <w:sz w:val="20"/>
                <w:szCs w:val="20"/>
                <w:lang w:val="ru-RU" w:eastAsia="en-US" w:bidi="ar-SA"/>
              </w:rPr>
              <w:t>675000, РФ, Амурская область, г. Благовещенск,  ул. Театральная, 179.</w:t>
            </w:r>
          </w:p>
        </w:tc>
        <w:tc>
          <w:tcPr>
            <w:tcW w:w="2268" w:type="dxa"/>
            <w:vMerge w:val="restart"/>
            <w:tcBorders/>
            <w:vAlign w:val="center"/>
          </w:tcPr>
          <w:p>
            <w:pPr>
              <w:pStyle w:val="Normal"/>
              <w:widowControl w:val="false"/>
              <w:suppressAutoHyphens w:val="true"/>
              <w:spacing w:before="0" w:after="0"/>
              <w:jc w:val="center"/>
              <w:rPr>
                <w:sz w:val="20"/>
                <w:szCs w:val="20"/>
              </w:rPr>
            </w:pPr>
            <w:r>
              <w:rPr>
                <w:rFonts w:eastAsia="Times New Roman" w:cs="Times New Roman"/>
                <w:i/>
                <w:iCs/>
                <w:kern w:val="0"/>
                <w:sz w:val="20"/>
                <w:szCs w:val="20"/>
                <w:lang w:val="ru-RU" w:eastAsia="ru-RU" w:bidi="ar-SA"/>
              </w:rPr>
              <w:t>Согласие с требованием</w:t>
            </w:r>
          </w:p>
        </w:tc>
        <w:tc>
          <w:tcPr>
            <w:tcW w:w="2694" w:type="dxa"/>
            <w:vMerge w:val="restart"/>
            <w:tcBorders/>
            <w:vAlign w:val="center"/>
          </w:tcPr>
          <w:p>
            <w:pPr>
              <w:pStyle w:val="Normal"/>
              <w:widowControl w:val="false"/>
              <w:suppressAutoHyphens w:val="true"/>
              <w:spacing w:before="0" w:after="0"/>
              <w:jc w:val="center"/>
              <w:rPr>
                <w:b/>
                <w:sz w:val="20"/>
                <w:szCs w:val="20"/>
              </w:rPr>
            </w:pPr>
            <w:r>
              <w:rPr>
                <w:b/>
                <w:sz w:val="20"/>
                <w:szCs w:val="20"/>
              </w:rPr>
            </w:r>
          </w:p>
          <w:p>
            <w:pPr>
              <w:pStyle w:val="Normal"/>
              <w:widowControl w:val="false"/>
              <w:suppressAutoHyphens w:val="true"/>
              <w:spacing w:before="0" w:after="0"/>
              <w:jc w:val="center"/>
              <w:rPr>
                <w:rFonts w:eastAsia="Sylfaen"/>
                <w:sz w:val="20"/>
                <w:szCs w:val="20"/>
              </w:rPr>
            </w:pPr>
            <w:r>
              <w:rPr>
                <w:rFonts w:eastAsia="Times New Roman" w:cs="Times New Roman"/>
                <w:b/>
                <w:kern w:val="0"/>
                <w:sz w:val="20"/>
                <w:szCs w:val="20"/>
                <w:lang w:val="ru-RU" w:eastAsia="ru-RU" w:bidi="ar-SA"/>
              </w:rPr>
              <w:t>-//-</w:t>
            </w:r>
          </w:p>
          <w:p>
            <w:pPr>
              <w:pStyle w:val="Normal"/>
              <w:widowControl w:val="false"/>
              <w:suppressAutoHyphens w:val="true"/>
              <w:spacing w:before="0" w:after="0"/>
              <w:jc w:val="center"/>
              <w:rPr>
                <w:rFonts w:eastAsia="Sylfaen"/>
                <w:sz w:val="20"/>
                <w:szCs w:val="20"/>
              </w:rPr>
            </w:pPr>
            <w:r>
              <w:rPr>
                <w:rFonts w:eastAsia="Sylfaen"/>
                <w:sz w:val="20"/>
                <w:szCs w:val="20"/>
              </w:rPr>
            </w:r>
          </w:p>
        </w:tc>
        <w:tc>
          <w:tcPr>
            <w:tcW w:w="2126" w:type="dxa"/>
            <w:vMerge w:val="restart"/>
            <w:tcBorders/>
            <w:vAlign w:val="center"/>
          </w:tcPr>
          <w:p>
            <w:pPr>
              <w:pStyle w:val="Normal"/>
              <w:widowControl w:val="false"/>
              <w:suppressAutoHyphens w:val="true"/>
              <w:spacing w:before="0" w:after="0"/>
              <w:jc w:val="center"/>
              <w:rPr>
                <w:sz w:val="20"/>
                <w:szCs w:val="20"/>
              </w:rPr>
            </w:pPr>
            <w:r>
              <w:rPr>
                <w:sz w:val="20"/>
                <w:szCs w:val="20"/>
              </w:rPr>
            </w:r>
          </w:p>
        </w:tc>
      </w:tr>
      <w:tr>
        <w:trPr>
          <w:trHeight w:val="737" w:hRule="atLeast"/>
        </w:trPr>
        <w:tc>
          <w:tcPr>
            <w:tcW w:w="567" w:type="dxa"/>
            <w:vMerge w:val="continue"/>
            <w:tcBorders/>
            <w:vAlign w:val="center"/>
          </w:tcPr>
          <w:p>
            <w:pPr>
              <w:pStyle w:val="Normal"/>
              <w:widowControl w:val="false"/>
              <w:suppressAutoHyphens w:val="true"/>
              <w:spacing w:before="60" w:after="0"/>
              <w:ind w:right="-109" w:hanging="0"/>
              <w:jc w:val="left"/>
              <w:rPr>
                <w:sz w:val="20"/>
                <w:szCs w:val="20"/>
              </w:rPr>
            </w:pPr>
            <w:r>
              <w:rPr>
                <w:sz w:val="20"/>
                <w:szCs w:val="20"/>
              </w:rPr>
            </w:r>
          </w:p>
        </w:tc>
        <w:tc>
          <w:tcPr>
            <w:tcW w:w="3543" w:type="dxa"/>
            <w:tcBorders/>
          </w:tcPr>
          <w:p>
            <w:pPr>
              <w:pStyle w:val="Normal"/>
              <w:widowControl w:val="false"/>
              <w:suppressAutoHyphens w:val="true"/>
              <w:spacing w:before="0" w:after="0"/>
              <w:ind w:right="145" w:hanging="0"/>
              <w:jc w:val="left"/>
              <w:rPr>
                <w:sz w:val="20"/>
                <w:szCs w:val="20"/>
              </w:rPr>
            </w:pPr>
            <w:r>
              <w:rPr>
                <w:rFonts w:eastAsia="Times New Roman" w:cs="Times New Roman"/>
                <w:bCs/>
                <w:color w:val="000000"/>
                <w:kern w:val="0"/>
                <w:sz w:val="20"/>
                <w:szCs w:val="20"/>
                <w:lang w:val="ru-RU" w:eastAsia="ru-RU" w:bidi="ar-SA"/>
              </w:rPr>
              <w:t>Место поставки продукции для филиала АО «ДРСК» «Приморские электрические сети»</w:t>
            </w:r>
          </w:p>
        </w:tc>
        <w:tc>
          <w:tcPr>
            <w:tcW w:w="3969" w:type="dxa"/>
            <w:tcBorders/>
            <w:vAlign w:val="center"/>
          </w:tcPr>
          <w:p>
            <w:pPr>
              <w:pStyle w:val="Normal"/>
              <w:widowControl w:val="false"/>
              <w:spacing w:before="0" w:after="200"/>
              <w:contextualSpacing/>
              <w:jc w:val="left"/>
              <w:rPr>
                <w:sz w:val="20"/>
                <w:szCs w:val="20"/>
              </w:rPr>
            </w:pPr>
            <w:r>
              <w:rPr>
                <w:sz w:val="20"/>
                <w:szCs w:val="20"/>
              </w:rPr>
              <w:t>692524, РФ, Приморский край, г. Уссурийск,  ул. Резервная, 22А.</w:t>
            </w:r>
          </w:p>
        </w:tc>
        <w:tc>
          <w:tcPr>
            <w:tcW w:w="2268" w:type="dxa"/>
            <w:vMerge w:val="continue"/>
            <w:tcBorders/>
            <w:vAlign w:val="center"/>
          </w:tcPr>
          <w:p>
            <w:pPr>
              <w:pStyle w:val="Normal"/>
              <w:widowControl w:val="false"/>
              <w:suppressAutoHyphens w:val="true"/>
              <w:spacing w:before="0" w:after="0"/>
              <w:jc w:val="center"/>
              <w:rPr>
                <w:i/>
                <w:i/>
                <w:iCs/>
                <w:sz w:val="20"/>
                <w:szCs w:val="20"/>
              </w:rPr>
            </w:pPr>
            <w:r>
              <w:rPr>
                <w:i/>
                <w:iCs/>
                <w:sz w:val="20"/>
                <w:szCs w:val="20"/>
              </w:rPr>
            </w:r>
          </w:p>
        </w:tc>
        <w:tc>
          <w:tcPr>
            <w:tcW w:w="2694" w:type="dxa"/>
            <w:vMerge w:val="continue"/>
            <w:tcBorders/>
            <w:vAlign w:val="center"/>
          </w:tcPr>
          <w:p>
            <w:pPr>
              <w:pStyle w:val="Normal"/>
              <w:widowControl w:val="false"/>
              <w:suppressAutoHyphens w:val="true"/>
              <w:spacing w:before="0" w:after="0"/>
              <w:jc w:val="center"/>
              <w:rPr>
                <w:b/>
                <w:sz w:val="20"/>
                <w:szCs w:val="20"/>
              </w:rPr>
            </w:pPr>
            <w:r>
              <w:rPr>
                <w:b/>
                <w:sz w:val="20"/>
                <w:szCs w:val="20"/>
              </w:rPr>
            </w:r>
          </w:p>
        </w:tc>
        <w:tc>
          <w:tcPr>
            <w:tcW w:w="2126" w:type="dxa"/>
            <w:vMerge w:val="continue"/>
            <w:tcBorders/>
            <w:vAlign w:val="center"/>
          </w:tcPr>
          <w:p>
            <w:pPr>
              <w:pStyle w:val="Normal"/>
              <w:widowControl w:val="false"/>
              <w:suppressAutoHyphens w:val="true"/>
              <w:spacing w:before="0" w:after="0"/>
              <w:jc w:val="center"/>
              <w:rPr>
                <w:sz w:val="20"/>
                <w:szCs w:val="20"/>
              </w:rPr>
            </w:pPr>
            <w:r>
              <w:rPr>
                <w:sz w:val="20"/>
                <w:szCs w:val="20"/>
              </w:rPr>
            </w:r>
          </w:p>
        </w:tc>
      </w:tr>
      <w:tr>
        <w:trPr>
          <w:trHeight w:val="646" w:hRule="atLeast"/>
        </w:trPr>
        <w:tc>
          <w:tcPr>
            <w:tcW w:w="567" w:type="dxa"/>
            <w:vMerge w:val="continue"/>
            <w:tcBorders/>
            <w:vAlign w:val="center"/>
          </w:tcPr>
          <w:p>
            <w:pPr>
              <w:pStyle w:val="Normal"/>
              <w:widowControl w:val="false"/>
              <w:suppressAutoHyphens w:val="true"/>
              <w:spacing w:before="60" w:after="0"/>
              <w:ind w:right="-109" w:hanging="0"/>
              <w:jc w:val="left"/>
              <w:rPr>
                <w:sz w:val="20"/>
                <w:szCs w:val="20"/>
              </w:rPr>
            </w:pPr>
            <w:r>
              <w:rPr>
                <w:sz w:val="20"/>
                <w:szCs w:val="20"/>
              </w:rPr>
            </w:r>
          </w:p>
        </w:tc>
        <w:tc>
          <w:tcPr>
            <w:tcW w:w="3543" w:type="dxa"/>
            <w:tcBorders>
              <w:top w:val="nil"/>
            </w:tcBorders>
          </w:tcPr>
          <w:p>
            <w:pPr>
              <w:pStyle w:val="Normal"/>
              <w:widowControl w:val="false"/>
              <w:suppressAutoHyphens w:val="true"/>
              <w:spacing w:before="0" w:after="0"/>
              <w:ind w:right="145" w:hanging="0"/>
              <w:jc w:val="left"/>
              <w:rPr>
                <w:sz w:val="20"/>
                <w:szCs w:val="20"/>
              </w:rPr>
            </w:pPr>
            <w:r>
              <w:rPr>
                <w:rFonts w:eastAsia="Times New Roman" w:cs="Times New Roman"/>
                <w:bCs/>
                <w:color w:val="000000"/>
                <w:kern w:val="0"/>
                <w:sz w:val="20"/>
                <w:szCs w:val="20"/>
                <w:lang w:val="ru-RU" w:eastAsia="ru-RU" w:bidi="ar-SA"/>
              </w:rPr>
              <w:t>Место поставки продукции для филиала АО «ДРСК» «Хабаровские электрические сети» (СП ЦЭС).</w:t>
            </w:r>
          </w:p>
        </w:tc>
        <w:tc>
          <w:tcPr>
            <w:tcW w:w="3969" w:type="dxa"/>
            <w:tcBorders>
              <w:top w:val="nil"/>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ru-RU" w:eastAsia="ru-RU" w:bidi="ar-SA"/>
              </w:rPr>
              <w:t>680009 РФ, Хабаровский край, г. Хабаровск, ул. Промышленная, 13.</w:t>
            </w:r>
          </w:p>
        </w:tc>
        <w:tc>
          <w:tcPr>
            <w:tcW w:w="2268" w:type="dxa"/>
            <w:vMerge w:val="continue"/>
            <w:tcBorders/>
            <w:vAlign w:val="center"/>
          </w:tcPr>
          <w:p>
            <w:pPr>
              <w:pStyle w:val="Normal"/>
              <w:widowControl w:val="false"/>
              <w:suppressAutoHyphens w:val="true"/>
              <w:spacing w:before="0" w:after="0"/>
              <w:jc w:val="center"/>
              <w:rPr>
                <w:i/>
                <w:i/>
                <w:iCs/>
                <w:sz w:val="20"/>
                <w:szCs w:val="20"/>
              </w:rPr>
            </w:pPr>
            <w:r>
              <w:rPr>
                <w:i/>
                <w:iCs/>
                <w:sz w:val="20"/>
                <w:szCs w:val="20"/>
              </w:rPr>
            </w:r>
          </w:p>
        </w:tc>
        <w:tc>
          <w:tcPr>
            <w:tcW w:w="2694" w:type="dxa"/>
            <w:vMerge w:val="continue"/>
            <w:tcBorders/>
            <w:vAlign w:val="center"/>
          </w:tcPr>
          <w:p>
            <w:pPr>
              <w:pStyle w:val="Normal"/>
              <w:widowControl w:val="false"/>
              <w:suppressAutoHyphens w:val="true"/>
              <w:spacing w:before="0" w:after="0"/>
              <w:jc w:val="center"/>
              <w:rPr>
                <w:b/>
                <w:sz w:val="20"/>
                <w:szCs w:val="20"/>
              </w:rPr>
            </w:pPr>
            <w:r>
              <w:rPr>
                <w:b/>
                <w:sz w:val="20"/>
                <w:szCs w:val="20"/>
              </w:rPr>
            </w:r>
          </w:p>
        </w:tc>
        <w:tc>
          <w:tcPr>
            <w:tcW w:w="2126" w:type="dxa"/>
            <w:vMerge w:val="continue"/>
            <w:tcBorders>
              <w:top w:val="nil"/>
            </w:tcBorders>
            <w:vAlign w:val="center"/>
          </w:tcPr>
          <w:p>
            <w:pPr>
              <w:pStyle w:val="Normal"/>
              <w:widowControl w:val="false"/>
              <w:suppressAutoHyphens w:val="true"/>
              <w:spacing w:before="0" w:after="0"/>
              <w:jc w:val="center"/>
              <w:rPr>
                <w:sz w:val="20"/>
                <w:szCs w:val="20"/>
              </w:rPr>
            </w:pPr>
            <w:r>
              <w:rPr>
                <w:sz w:val="20"/>
                <w:szCs w:val="20"/>
              </w:rPr>
            </w:r>
          </w:p>
        </w:tc>
      </w:tr>
      <w:tr>
        <w:trPr>
          <w:trHeight w:val="646" w:hRule="atLeast"/>
        </w:trPr>
        <w:tc>
          <w:tcPr>
            <w:tcW w:w="567" w:type="dxa"/>
            <w:vMerge w:val="continue"/>
            <w:tcBorders/>
            <w:vAlign w:val="center"/>
          </w:tcPr>
          <w:p>
            <w:pPr>
              <w:pStyle w:val="Normal"/>
              <w:widowControl w:val="false"/>
              <w:suppressAutoHyphens w:val="true"/>
              <w:spacing w:before="60" w:after="0"/>
              <w:ind w:right="-109" w:hanging="0"/>
              <w:jc w:val="left"/>
              <w:rPr>
                <w:sz w:val="20"/>
                <w:szCs w:val="20"/>
              </w:rPr>
            </w:pPr>
            <w:r>
              <w:rPr>
                <w:sz w:val="20"/>
                <w:szCs w:val="20"/>
              </w:rPr>
            </w:r>
          </w:p>
        </w:tc>
        <w:tc>
          <w:tcPr>
            <w:tcW w:w="3543" w:type="dxa"/>
            <w:tcBorders>
              <w:top w:val="nil"/>
            </w:tcBorders>
          </w:tcPr>
          <w:p>
            <w:pPr>
              <w:pStyle w:val="Normal"/>
              <w:widowControl w:val="false"/>
              <w:suppressAutoHyphens w:val="true"/>
              <w:spacing w:before="0" w:after="0"/>
              <w:ind w:right="145" w:hanging="0"/>
              <w:jc w:val="left"/>
              <w:rPr>
                <w:sz w:val="20"/>
                <w:szCs w:val="20"/>
              </w:rPr>
            </w:pPr>
            <w:r>
              <w:rPr>
                <w:sz w:val="20"/>
                <w:szCs w:val="20"/>
              </w:rPr>
              <w:t>Место поставки продукции для филиала АО «ДРСК» «Хабаровские электрические сети» (СП СЭС).</w:t>
            </w:r>
          </w:p>
        </w:tc>
        <w:tc>
          <w:tcPr>
            <w:tcW w:w="3969" w:type="dxa"/>
            <w:tcBorders>
              <w:top w:val="nil"/>
            </w:tcBorders>
            <w:vAlign w:val="center"/>
          </w:tcPr>
          <w:p>
            <w:pPr>
              <w:pStyle w:val="Normal"/>
              <w:widowControl w:val="false"/>
              <w:suppressAutoHyphens w:val="true"/>
              <w:spacing w:before="0" w:after="0"/>
              <w:jc w:val="left"/>
              <w:rPr>
                <w:sz w:val="20"/>
                <w:szCs w:val="20"/>
              </w:rPr>
            </w:pPr>
            <w:r>
              <w:rPr>
                <w:sz w:val="20"/>
                <w:szCs w:val="20"/>
              </w:rPr>
              <w:t>681000, РФ, Хабаровский край, г. Комсомольск-на-Амуре, ул. Аллея Труда 16А.</w:t>
            </w:r>
          </w:p>
        </w:tc>
        <w:tc>
          <w:tcPr>
            <w:tcW w:w="2268" w:type="dxa"/>
            <w:vMerge w:val="continue"/>
            <w:tcBorders/>
            <w:vAlign w:val="center"/>
          </w:tcPr>
          <w:p>
            <w:pPr>
              <w:pStyle w:val="Normal"/>
              <w:widowControl w:val="false"/>
              <w:suppressAutoHyphens w:val="true"/>
              <w:spacing w:before="0" w:after="0"/>
              <w:jc w:val="center"/>
              <w:rPr>
                <w:i/>
                <w:i/>
                <w:iCs/>
                <w:sz w:val="20"/>
                <w:szCs w:val="20"/>
              </w:rPr>
            </w:pPr>
            <w:r>
              <w:rPr>
                <w:i/>
                <w:iCs/>
                <w:sz w:val="20"/>
                <w:szCs w:val="20"/>
              </w:rPr>
            </w:r>
          </w:p>
        </w:tc>
        <w:tc>
          <w:tcPr>
            <w:tcW w:w="2694" w:type="dxa"/>
            <w:vMerge w:val="continue"/>
            <w:tcBorders/>
            <w:vAlign w:val="center"/>
          </w:tcPr>
          <w:p>
            <w:pPr>
              <w:pStyle w:val="Normal"/>
              <w:widowControl w:val="false"/>
              <w:suppressAutoHyphens w:val="true"/>
              <w:spacing w:before="0" w:after="0"/>
              <w:jc w:val="center"/>
              <w:rPr>
                <w:b/>
                <w:sz w:val="20"/>
                <w:szCs w:val="20"/>
              </w:rPr>
            </w:pPr>
            <w:r>
              <w:rPr>
                <w:b/>
                <w:sz w:val="20"/>
                <w:szCs w:val="20"/>
              </w:rPr>
            </w:r>
          </w:p>
        </w:tc>
        <w:tc>
          <w:tcPr>
            <w:tcW w:w="2126" w:type="dxa"/>
            <w:tcBorders>
              <w:top w:val="nil"/>
            </w:tcBorders>
            <w:vAlign w:val="center"/>
          </w:tcPr>
          <w:p>
            <w:pPr>
              <w:pStyle w:val="Normal"/>
              <w:widowControl w:val="false"/>
              <w:suppressAutoHyphens w:val="true"/>
              <w:spacing w:before="0" w:after="0"/>
              <w:jc w:val="center"/>
              <w:rPr>
                <w:sz w:val="20"/>
                <w:szCs w:val="20"/>
              </w:rPr>
            </w:pPr>
            <w:r>
              <w:rPr>
                <w:sz w:val="20"/>
                <w:szCs w:val="20"/>
              </w:rPr>
            </w:r>
          </w:p>
        </w:tc>
      </w:tr>
      <w:tr>
        <w:trPr>
          <w:trHeight w:val="646" w:hRule="atLeast"/>
        </w:trPr>
        <w:tc>
          <w:tcPr>
            <w:tcW w:w="567" w:type="dxa"/>
            <w:vMerge w:val="continue"/>
            <w:tcBorders/>
            <w:vAlign w:val="center"/>
          </w:tcPr>
          <w:p>
            <w:pPr>
              <w:pStyle w:val="Normal"/>
              <w:widowControl w:val="false"/>
              <w:suppressAutoHyphens w:val="true"/>
              <w:spacing w:before="60" w:after="0"/>
              <w:ind w:right="-109" w:hanging="0"/>
              <w:jc w:val="left"/>
              <w:rPr>
                <w:sz w:val="20"/>
                <w:szCs w:val="20"/>
              </w:rPr>
            </w:pPr>
            <w:r>
              <w:rPr>
                <w:sz w:val="20"/>
                <w:szCs w:val="20"/>
              </w:rPr>
            </w:r>
          </w:p>
        </w:tc>
        <w:tc>
          <w:tcPr>
            <w:tcW w:w="3543" w:type="dxa"/>
            <w:tcBorders>
              <w:top w:val="nil"/>
            </w:tcBorders>
          </w:tcPr>
          <w:p>
            <w:pPr>
              <w:pStyle w:val="Normal"/>
              <w:widowControl w:val="false"/>
              <w:suppressAutoHyphens w:val="true"/>
              <w:spacing w:before="0" w:after="0"/>
              <w:ind w:right="145" w:hanging="0"/>
              <w:jc w:val="left"/>
              <w:rPr>
                <w:sz w:val="20"/>
                <w:szCs w:val="20"/>
              </w:rPr>
            </w:pPr>
            <w:r>
              <w:rPr>
                <w:sz w:val="20"/>
                <w:szCs w:val="20"/>
              </w:rPr>
              <w:t>Место поставки продукции для филиала АО «ДРСК» «Электрические сети Еврейской Автономной области».</w:t>
            </w:r>
          </w:p>
        </w:tc>
        <w:tc>
          <w:tcPr>
            <w:tcW w:w="3969" w:type="dxa"/>
            <w:tcBorders>
              <w:top w:val="nil"/>
            </w:tcBorders>
            <w:vAlign w:val="center"/>
          </w:tcPr>
          <w:p>
            <w:pPr>
              <w:pStyle w:val="Normal"/>
              <w:widowControl w:val="false"/>
              <w:suppressAutoHyphens w:val="true"/>
              <w:spacing w:before="0" w:after="0"/>
              <w:jc w:val="left"/>
              <w:rPr>
                <w:sz w:val="20"/>
                <w:szCs w:val="20"/>
              </w:rPr>
            </w:pPr>
            <w:r>
              <w:rPr>
                <w:sz w:val="20"/>
                <w:szCs w:val="20"/>
              </w:rPr>
              <w:t>679011 РФ, Еврейская Автономная область, г. Биробиджан, ул. Черноморская, 6.</w:t>
            </w:r>
          </w:p>
        </w:tc>
        <w:tc>
          <w:tcPr>
            <w:tcW w:w="2268" w:type="dxa"/>
            <w:vMerge w:val="continue"/>
            <w:tcBorders/>
            <w:vAlign w:val="center"/>
          </w:tcPr>
          <w:p>
            <w:pPr>
              <w:pStyle w:val="Normal"/>
              <w:widowControl w:val="false"/>
              <w:suppressAutoHyphens w:val="true"/>
              <w:spacing w:before="0" w:after="0"/>
              <w:jc w:val="center"/>
              <w:rPr>
                <w:i/>
                <w:i/>
                <w:iCs/>
                <w:sz w:val="20"/>
                <w:szCs w:val="20"/>
              </w:rPr>
            </w:pPr>
            <w:r>
              <w:rPr>
                <w:i/>
                <w:iCs/>
                <w:sz w:val="20"/>
                <w:szCs w:val="20"/>
              </w:rPr>
            </w:r>
          </w:p>
        </w:tc>
        <w:tc>
          <w:tcPr>
            <w:tcW w:w="2694" w:type="dxa"/>
            <w:vMerge w:val="continue"/>
            <w:tcBorders/>
            <w:vAlign w:val="center"/>
          </w:tcPr>
          <w:p>
            <w:pPr>
              <w:pStyle w:val="Normal"/>
              <w:widowControl w:val="false"/>
              <w:suppressAutoHyphens w:val="true"/>
              <w:spacing w:before="0" w:after="0"/>
              <w:jc w:val="center"/>
              <w:rPr>
                <w:b/>
                <w:sz w:val="20"/>
                <w:szCs w:val="20"/>
              </w:rPr>
            </w:pPr>
            <w:r>
              <w:rPr>
                <w:b/>
                <w:sz w:val="20"/>
                <w:szCs w:val="20"/>
              </w:rPr>
            </w:r>
          </w:p>
        </w:tc>
        <w:tc>
          <w:tcPr>
            <w:tcW w:w="2126" w:type="dxa"/>
            <w:tcBorders>
              <w:top w:val="nil"/>
            </w:tcBorders>
            <w:vAlign w:val="center"/>
          </w:tcPr>
          <w:p>
            <w:pPr>
              <w:pStyle w:val="Normal"/>
              <w:widowControl w:val="false"/>
              <w:suppressAutoHyphens w:val="true"/>
              <w:spacing w:before="0" w:after="0"/>
              <w:jc w:val="center"/>
              <w:rPr>
                <w:sz w:val="20"/>
                <w:szCs w:val="20"/>
              </w:rPr>
            </w:pPr>
            <w:r>
              <w:rPr>
                <w:sz w:val="20"/>
                <w:szCs w:val="20"/>
              </w:rPr>
            </w:r>
          </w:p>
        </w:tc>
      </w:tr>
      <w:tr>
        <w:trPr>
          <w:trHeight w:val="646" w:hRule="atLeast"/>
        </w:trPr>
        <w:tc>
          <w:tcPr>
            <w:tcW w:w="567" w:type="dxa"/>
            <w:vMerge w:val="continue"/>
            <w:tcBorders>
              <w:top w:val="nil"/>
            </w:tcBorders>
            <w:vAlign w:val="center"/>
          </w:tcPr>
          <w:p>
            <w:pPr>
              <w:pStyle w:val="Normal"/>
              <w:widowControl w:val="false"/>
              <w:suppressAutoHyphens w:val="true"/>
              <w:spacing w:before="60" w:after="0"/>
              <w:ind w:right="-109" w:hanging="0"/>
              <w:jc w:val="left"/>
              <w:rPr>
                <w:sz w:val="20"/>
                <w:szCs w:val="20"/>
              </w:rPr>
            </w:pPr>
            <w:r>
              <w:rPr>
                <w:sz w:val="20"/>
                <w:szCs w:val="20"/>
              </w:rPr>
            </w:r>
          </w:p>
        </w:tc>
        <w:tc>
          <w:tcPr>
            <w:tcW w:w="3543" w:type="dxa"/>
            <w:tcBorders>
              <w:top w:val="nil"/>
            </w:tcBorders>
          </w:tcPr>
          <w:p>
            <w:pPr>
              <w:pStyle w:val="Normal"/>
              <w:widowControl w:val="false"/>
              <w:suppressAutoHyphens w:val="true"/>
              <w:spacing w:before="0" w:after="0"/>
              <w:ind w:right="145" w:hanging="0"/>
              <w:jc w:val="left"/>
              <w:rPr>
                <w:sz w:val="20"/>
                <w:szCs w:val="20"/>
              </w:rPr>
            </w:pPr>
            <w:r>
              <w:rPr>
                <w:sz w:val="20"/>
                <w:szCs w:val="20"/>
              </w:rPr>
              <w:t>Место поставки продукции для филиала АО «ДРСК» «Южно-Якутские ЭС»</w:t>
            </w:r>
          </w:p>
        </w:tc>
        <w:tc>
          <w:tcPr>
            <w:tcW w:w="3969" w:type="dxa"/>
            <w:tcBorders>
              <w:top w:val="nil"/>
            </w:tcBorders>
            <w:vAlign w:val="center"/>
          </w:tcPr>
          <w:p>
            <w:pPr>
              <w:pStyle w:val="Normal"/>
              <w:widowControl w:val="false"/>
              <w:suppressAutoHyphens w:val="true"/>
              <w:spacing w:before="0" w:after="0"/>
              <w:jc w:val="left"/>
              <w:rPr>
                <w:sz w:val="20"/>
                <w:szCs w:val="20"/>
              </w:rPr>
            </w:pPr>
            <w:r>
              <w:rPr>
                <w:sz w:val="20"/>
                <w:szCs w:val="20"/>
              </w:rPr>
              <w:t>678900, г. Алдан, ул. Тарабукина, 60А.</w:t>
            </w:r>
          </w:p>
        </w:tc>
        <w:tc>
          <w:tcPr>
            <w:tcW w:w="2268" w:type="dxa"/>
            <w:vMerge w:val="continue"/>
            <w:tcBorders>
              <w:top w:val="nil"/>
            </w:tcBorders>
            <w:vAlign w:val="center"/>
          </w:tcPr>
          <w:p>
            <w:pPr>
              <w:pStyle w:val="Normal"/>
              <w:widowControl w:val="false"/>
              <w:suppressAutoHyphens w:val="true"/>
              <w:spacing w:before="0" w:after="0"/>
              <w:jc w:val="center"/>
              <w:rPr>
                <w:i/>
                <w:i/>
                <w:iCs/>
                <w:sz w:val="20"/>
                <w:szCs w:val="20"/>
              </w:rPr>
            </w:pPr>
            <w:r>
              <w:rPr>
                <w:i/>
                <w:iCs/>
                <w:sz w:val="20"/>
                <w:szCs w:val="20"/>
              </w:rPr>
            </w:r>
          </w:p>
        </w:tc>
        <w:tc>
          <w:tcPr>
            <w:tcW w:w="2694" w:type="dxa"/>
            <w:vMerge w:val="continue"/>
            <w:tcBorders>
              <w:top w:val="nil"/>
            </w:tcBorders>
            <w:vAlign w:val="center"/>
          </w:tcPr>
          <w:p>
            <w:pPr>
              <w:pStyle w:val="Normal"/>
              <w:widowControl w:val="false"/>
              <w:suppressAutoHyphens w:val="true"/>
              <w:spacing w:before="0" w:after="0"/>
              <w:jc w:val="center"/>
              <w:rPr>
                <w:b/>
                <w:sz w:val="20"/>
                <w:szCs w:val="20"/>
              </w:rPr>
            </w:pPr>
            <w:r>
              <w:rPr>
                <w:b/>
                <w:sz w:val="20"/>
                <w:szCs w:val="20"/>
              </w:rPr>
            </w:r>
          </w:p>
        </w:tc>
        <w:tc>
          <w:tcPr>
            <w:tcW w:w="2126" w:type="dxa"/>
            <w:tcBorders>
              <w:top w:val="nil"/>
            </w:tcBorders>
            <w:vAlign w:val="center"/>
          </w:tcPr>
          <w:p>
            <w:pPr>
              <w:pStyle w:val="Normal"/>
              <w:widowControl w:val="false"/>
              <w:suppressAutoHyphens w:val="true"/>
              <w:spacing w:before="0" w:after="0"/>
              <w:jc w:val="center"/>
              <w:rPr>
                <w:sz w:val="20"/>
                <w:szCs w:val="20"/>
              </w:rPr>
            </w:pPr>
            <w:r>
              <w:rPr>
                <w:sz w:val="20"/>
                <w:szCs w:val="20"/>
              </w:rPr>
            </w:r>
          </w:p>
        </w:tc>
      </w:tr>
      <w:tr>
        <w:trPr>
          <w:trHeight w:val="230" w:hRule="atLeast"/>
        </w:trPr>
        <w:tc>
          <w:tcPr>
            <w:tcW w:w="567" w:type="dxa"/>
            <w:tcBorders/>
            <w:vAlign w:val="center"/>
          </w:tcPr>
          <w:p>
            <w:pPr>
              <w:pStyle w:val="Normal"/>
              <w:widowControl w:val="false"/>
              <w:suppressAutoHyphens w:val="true"/>
              <w:spacing w:before="60" w:after="0"/>
              <w:ind w:right="-109" w:hanging="0"/>
              <w:jc w:val="left"/>
              <w:rPr>
                <w:b/>
                <w:sz w:val="20"/>
                <w:szCs w:val="20"/>
              </w:rPr>
            </w:pPr>
            <w:r>
              <w:rPr>
                <w:rFonts w:eastAsia="Times New Roman" w:cs="Times New Roman"/>
                <w:b/>
                <w:kern w:val="0"/>
                <w:sz w:val="20"/>
                <w:szCs w:val="20"/>
                <w:lang w:val="ru-RU" w:eastAsia="ru-RU" w:bidi="ar-SA"/>
              </w:rPr>
              <w:t>3</w:t>
            </w:r>
          </w:p>
        </w:tc>
        <w:tc>
          <w:tcPr>
            <w:tcW w:w="14600" w:type="dxa"/>
            <w:gridSpan w:val="5"/>
            <w:tcBorders/>
          </w:tcPr>
          <w:p>
            <w:pPr>
              <w:pStyle w:val="Normal"/>
              <w:widowControl w:val="false"/>
              <w:suppressAutoHyphens w:val="true"/>
              <w:spacing w:before="0" w:after="0"/>
              <w:jc w:val="left"/>
              <w:rPr>
                <w:b/>
                <w:sz w:val="20"/>
                <w:szCs w:val="20"/>
              </w:rPr>
            </w:pPr>
            <w:r>
              <w:rPr>
                <w:rFonts w:eastAsia="Times New Roman" w:cs="Times New Roman"/>
                <w:b/>
                <w:kern w:val="0"/>
                <w:sz w:val="20"/>
                <w:szCs w:val="20"/>
                <w:lang w:val="ru-RU" w:eastAsia="ru-RU" w:bidi="ar-SA"/>
              </w:rPr>
              <w:t>Требования к предоставлению документов Участником в составе заявки</w:t>
            </w:r>
          </w:p>
        </w:tc>
      </w:tr>
      <w:tr>
        <w:trPr>
          <w:trHeight w:val="646" w:hRule="atLeast"/>
        </w:trPr>
        <w:tc>
          <w:tcPr>
            <w:tcW w:w="567" w:type="dxa"/>
            <w:tcBorders/>
            <w:vAlign w:val="center"/>
          </w:tcPr>
          <w:p>
            <w:pPr>
              <w:pStyle w:val="Normal"/>
              <w:widowControl w:val="false"/>
              <w:suppressAutoHyphens w:val="true"/>
              <w:spacing w:before="60" w:after="0"/>
              <w:ind w:right="-109" w:hanging="0"/>
              <w:jc w:val="left"/>
              <w:rPr>
                <w:sz w:val="20"/>
                <w:szCs w:val="20"/>
              </w:rPr>
            </w:pPr>
            <w:r>
              <w:rPr>
                <w:rFonts w:eastAsia="Times New Roman" w:cs="Times New Roman"/>
                <w:kern w:val="0"/>
                <w:sz w:val="20"/>
                <w:szCs w:val="20"/>
                <w:lang w:val="ru-RU" w:eastAsia="ru-RU" w:bidi="ar-SA"/>
              </w:rPr>
              <w:t>3.1.</w:t>
            </w:r>
          </w:p>
        </w:tc>
        <w:tc>
          <w:tcPr>
            <w:tcW w:w="3543" w:type="dxa"/>
            <w:tcBorders/>
          </w:tcPr>
          <w:p>
            <w:pPr>
              <w:pStyle w:val="Normal"/>
              <w:widowControl w:val="false"/>
              <w:suppressAutoHyphens w:val="true"/>
              <w:spacing w:before="0" w:after="0"/>
              <w:ind w:right="145" w:hanging="0"/>
              <w:jc w:val="left"/>
              <w:rPr>
                <w:sz w:val="20"/>
                <w:szCs w:val="20"/>
              </w:rPr>
            </w:pPr>
            <w:r>
              <w:rPr>
                <w:sz w:val="20"/>
                <w:szCs w:val="20"/>
              </w:rPr>
            </w:r>
          </w:p>
          <w:p>
            <w:pPr>
              <w:pStyle w:val="Normal"/>
              <w:widowControl w:val="false"/>
              <w:suppressAutoHyphens w:val="true"/>
              <w:spacing w:before="0" w:after="0"/>
              <w:ind w:right="145" w:hanging="0"/>
              <w:jc w:val="left"/>
              <w:rPr>
                <w:sz w:val="22"/>
                <w:szCs w:val="22"/>
              </w:rPr>
            </w:pPr>
            <w:r>
              <w:rPr>
                <w:rFonts w:eastAsia="Times New Roman" w:cs="Times New Roman"/>
                <w:kern w:val="0"/>
                <w:sz w:val="22"/>
                <w:szCs w:val="22"/>
                <w:lang w:val="ru-RU" w:eastAsia="ru-RU" w:bidi="ar-SA"/>
              </w:rPr>
              <w:t>Требования к оформлению документов заявки</w:t>
            </w:r>
          </w:p>
        </w:tc>
        <w:tc>
          <w:tcPr>
            <w:tcW w:w="3969" w:type="dxa"/>
            <w:tcBorders/>
            <w:vAlign w:val="center"/>
          </w:tcPr>
          <w:p>
            <w:pPr>
              <w:pStyle w:val="Normal"/>
              <w:widowControl w:val="false"/>
              <w:spacing w:before="0" w:after="0"/>
              <w:jc w:val="left"/>
              <w:rPr>
                <w:rFonts w:eastAsia="Calibri"/>
                <w:sz w:val="22"/>
                <w:szCs w:val="22"/>
                <w:lang w:eastAsia="en-US"/>
              </w:rPr>
            </w:pPr>
            <w:r>
              <w:rPr>
                <w:rFonts w:eastAsia="Calibri" w:cs="Times New Roman"/>
                <w:kern w:val="0"/>
                <w:sz w:val="22"/>
                <w:szCs w:val="22"/>
                <w:lang w:val="ru-RU" w:eastAsia="en-US" w:bidi="ar-SA"/>
              </w:rPr>
              <w:t>Участник должен в форме коммерческого предложения, приведённого в Документации о закупке, указать Производителя предлагаемой продукции.</w:t>
            </w:r>
          </w:p>
        </w:tc>
        <w:tc>
          <w:tcPr>
            <w:tcW w:w="2268" w:type="dxa"/>
            <w:tcBorders/>
            <w:vAlign w:val="center"/>
          </w:tcPr>
          <w:p>
            <w:pPr>
              <w:pStyle w:val="Normal"/>
              <w:widowControl w:val="false"/>
              <w:suppressAutoHyphens w:val="true"/>
              <w:spacing w:before="0" w:after="0"/>
              <w:jc w:val="center"/>
              <w:rPr>
                <w:sz w:val="20"/>
                <w:szCs w:val="20"/>
              </w:rPr>
            </w:pPr>
            <w:r>
              <w:rPr>
                <w:rFonts w:eastAsia="Times New Roman" w:cs="Times New Roman"/>
                <w:i/>
                <w:iCs/>
                <w:kern w:val="0"/>
                <w:sz w:val="20"/>
                <w:szCs w:val="20"/>
                <w:lang w:val="ru-RU" w:eastAsia="ru-RU" w:bidi="ar-SA"/>
              </w:rPr>
              <w:t>Предоставить документ</w:t>
            </w:r>
          </w:p>
        </w:tc>
        <w:tc>
          <w:tcPr>
            <w:tcW w:w="2694" w:type="dxa"/>
            <w:tcBorders/>
            <w:vAlign w:val="center"/>
          </w:tcPr>
          <w:p>
            <w:pPr>
              <w:pStyle w:val="Normal"/>
              <w:widowControl w:val="false"/>
              <w:suppressAutoHyphens w:val="true"/>
              <w:spacing w:before="0" w:after="0"/>
              <w:jc w:val="center"/>
              <w:rPr>
                <w:b/>
                <w:sz w:val="20"/>
                <w:szCs w:val="20"/>
              </w:rPr>
            </w:pPr>
            <w:r>
              <w:rPr>
                <w:b/>
                <w:sz w:val="20"/>
                <w:szCs w:val="20"/>
              </w:rPr>
            </w:r>
          </w:p>
          <w:p>
            <w:pPr>
              <w:pStyle w:val="Normal"/>
              <w:widowControl w:val="false"/>
              <w:suppressAutoHyphens w:val="true"/>
              <w:spacing w:before="0" w:after="0"/>
              <w:jc w:val="center"/>
              <w:rPr>
                <w:rFonts w:eastAsia="Sylfaen"/>
                <w:sz w:val="20"/>
                <w:szCs w:val="20"/>
              </w:rPr>
            </w:pPr>
            <w:r>
              <w:rPr>
                <w:rFonts w:eastAsia="Times New Roman" w:cs="Times New Roman"/>
                <w:b/>
                <w:kern w:val="0"/>
                <w:sz w:val="20"/>
                <w:szCs w:val="20"/>
                <w:lang w:val="ru-RU" w:eastAsia="ru-RU" w:bidi="ar-SA"/>
              </w:rPr>
              <w:t>-//-</w:t>
            </w:r>
          </w:p>
          <w:p>
            <w:pPr>
              <w:pStyle w:val="Normal"/>
              <w:widowControl w:val="false"/>
              <w:suppressAutoHyphens w:val="true"/>
              <w:spacing w:before="0" w:after="0"/>
              <w:jc w:val="center"/>
              <w:rPr>
                <w:rFonts w:eastAsia="Sylfaen"/>
                <w:sz w:val="20"/>
                <w:szCs w:val="20"/>
              </w:rPr>
            </w:pPr>
            <w:r>
              <w:rPr>
                <w:rFonts w:eastAsia="Sylfaen"/>
                <w:sz w:val="20"/>
                <w:szCs w:val="20"/>
              </w:rPr>
            </w:r>
          </w:p>
        </w:tc>
        <w:tc>
          <w:tcPr>
            <w:tcW w:w="2126" w:type="dxa"/>
            <w:tcBorders/>
            <w:vAlign w:val="center"/>
          </w:tcPr>
          <w:p>
            <w:pPr>
              <w:pStyle w:val="Normal"/>
              <w:widowControl w:val="false"/>
              <w:suppressAutoHyphens w:val="true"/>
              <w:spacing w:before="0" w:after="0"/>
              <w:jc w:val="center"/>
              <w:rPr>
                <w:sz w:val="20"/>
                <w:szCs w:val="20"/>
              </w:rPr>
            </w:pPr>
            <w:r>
              <w:rPr>
                <w:sz w:val="20"/>
                <w:szCs w:val="20"/>
              </w:rPr>
            </w:r>
          </w:p>
        </w:tc>
      </w:tr>
      <w:tr>
        <w:trPr>
          <w:trHeight w:val="228" w:hRule="atLeast"/>
        </w:trPr>
        <w:tc>
          <w:tcPr>
            <w:tcW w:w="567" w:type="dxa"/>
            <w:tcBorders/>
            <w:vAlign w:val="center"/>
          </w:tcPr>
          <w:p>
            <w:pPr>
              <w:pStyle w:val="Normal"/>
              <w:widowControl w:val="false"/>
              <w:suppressAutoHyphens w:val="true"/>
              <w:spacing w:before="60" w:after="0"/>
              <w:ind w:right="-109" w:hanging="0"/>
              <w:jc w:val="left"/>
              <w:rPr>
                <w:b/>
                <w:sz w:val="20"/>
                <w:szCs w:val="20"/>
              </w:rPr>
            </w:pPr>
            <w:r>
              <w:rPr>
                <w:rFonts w:eastAsia="Times New Roman" w:cs="Times New Roman"/>
                <w:b/>
                <w:kern w:val="0"/>
                <w:sz w:val="20"/>
                <w:szCs w:val="20"/>
                <w:lang w:val="ru-RU" w:eastAsia="ru-RU" w:bidi="ar-SA"/>
              </w:rPr>
              <w:t>4</w:t>
            </w:r>
          </w:p>
        </w:tc>
        <w:tc>
          <w:tcPr>
            <w:tcW w:w="14600" w:type="dxa"/>
            <w:gridSpan w:val="5"/>
            <w:tcBorders/>
          </w:tcPr>
          <w:p>
            <w:pPr>
              <w:pStyle w:val="Normal"/>
              <w:widowControl w:val="false"/>
              <w:suppressAutoHyphens w:val="true"/>
              <w:spacing w:before="0" w:after="0"/>
              <w:jc w:val="left"/>
              <w:rPr>
                <w:b/>
                <w:sz w:val="20"/>
                <w:szCs w:val="20"/>
              </w:rPr>
            </w:pPr>
            <w:r>
              <w:rPr>
                <w:rFonts w:eastAsia="Times New Roman" w:cs="Times New Roman"/>
                <w:b/>
                <w:kern w:val="0"/>
                <w:sz w:val="20"/>
                <w:szCs w:val="20"/>
                <w:lang w:val="ru-RU" w:eastAsia="ru-RU" w:bidi="ar-SA"/>
              </w:rPr>
              <w:t>Требования к закупаемой продукции</w:t>
            </w:r>
          </w:p>
        </w:tc>
      </w:tr>
      <w:tr>
        <w:trPr>
          <w:trHeight w:val="646" w:hRule="atLeast"/>
        </w:trPr>
        <w:tc>
          <w:tcPr>
            <w:tcW w:w="567" w:type="dxa"/>
            <w:tcBorders/>
            <w:vAlign w:val="center"/>
          </w:tcPr>
          <w:p>
            <w:pPr>
              <w:pStyle w:val="Normal"/>
              <w:widowControl w:val="false"/>
              <w:suppressAutoHyphens w:val="true"/>
              <w:spacing w:before="60" w:after="0"/>
              <w:ind w:right="-109" w:hanging="0"/>
              <w:jc w:val="left"/>
              <w:rPr>
                <w:sz w:val="20"/>
                <w:szCs w:val="20"/>
              </w:rPr>
            </w:pPr>
            <w:r>
              <w:rPr>
                <w:sz w:val="20"/>
                <w:szCs w:val="20"/>
              </w:rPr>
              <w:t>4.1.</w:t>
            </w:r>
          </w:p>
        </w:tc>
        <w:tc>
          <w:tcPr>
            <w:tcW w:w="3543" w:type="dxa"/>
            <w:tcBorders/>
          </w:tcPr>
          <w:p>
            <w:pPr>
              <w:pStyle w:val="Normal"/>
              <w:widowControl w:val="false"/>
              <w:suppressAutoHyphens w:val="true"/>
              <w:spacing w:before="0" w:after="0"/>
              <w:ind w:right="145" w:hanging="0"/>
              <w:jc w:val="left"/>
              <w:rPr>
                <w:b w:val="false"/>
                <w:bCs w:val="false"/>
                <w:sz w:val="22"/>
                <w:szCs w:val="22"/>
              </w:rPr>
            </w:pPr>
            <w:r>
              <w:rPr>
                <w:b w:val="false"/>
                <w:bCs w:val="false"/>
                <w:sz w:val="22"/>
                <w:szCs w:val="22"/>
              </w:rPr>
              <w:t>Требования к оформлению документов заявки, в случае предложения Участниками эквивалента</w:t>
            </w:r>
          </w:p>
        </w:tc>
        <w:tc>
          <w:tcPr>
            <w:tcW w:w="3969" w:type="dxa"/>
            <w:tcBorders/>
            <w:vAlign w:val="center"/>
          </w:tcPr>
          <w:p>
            <w:pPr>
              <w:pStyle w:val="Normal"/>
              <w:widowControl w:val="false"/>
              <w:ind w:hanging="0"/>
              <w:jc w:val="left"/>
              <w:rPr>
                <w:rFonts w:ascii="Times New Roman" w:hAnsi="Times New Roman" w:eastAsia="Calibri" w:cs="Times New Roman"/>
                <w:color w:val="auto"/>
                <w:kern w:val="0"/>
                <w:sz w:val="22"/>
                <w:szCs w:val="22"/>
                <w:lang w:val="ru-RU" w:eastAsia="en-US" w:bidi="ar-SA"/>
              </w:rPr>
            </w:pPr>
            <w:r>
              <w:rPr>
                <w:rFonts w:eastAsia="Calibri" w:cs="Times New Roman"/>
                <w:color w:val="auto"/>
                <w:kern w:val="0"/>
                <w:sz w:val="22"/>
                <w:szCs w:val="22"/>
                <w:lang w:val="ru-RU" w:eastAsia="en-US" w:bidi="ar-SA"/>
              </w:rPr>
              <w:t>Допускаются эквиваленты при условии соответствия технических характеристик и качества заявляемой продукции. Участник должен принять во внимание, что ссылка на марку (тип) продукции, носит описательный, а не обязательный характер. В случае если Участником предлагаются эквиваленты требуемой Заказчику продукции,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w:t>
            </w:r>
          </w:p>
          <w:p>
            <w:pPr>
              <w:pStyle w:val="Normal"/>
              <w:widowControl w:val="false"/>
              <w:ind w:hanging="0"/>
              <w:jc w:val="left"/>
              <w:rPr>
                <w:rFonts w:ascii="Times New Roman" w:hAnsi="Times New Roman" w:eastAsia="Calibri" w:cs="Times New Roman"/>
                <w:color w:val="auto"/>
                <w:kern w:val="0"/>
                <w:sz w:val="22"/>
                <w:szCs w:val="22"/>
                <w:lang w:val="ru-RU" w:eastAsia="en-US" w:bidi="ar-SA"/>
              </w:rPr>
            </w:pPr>
            <w:r>
              <w:rPr>
                <w:rFonts w:eastAsia="Calibri" w:cs="Times New Roman"/>
                <w:color w:val="auto"/>
                <w:kern w:val="0"/>
                <w:sz w:val="22"/>
                <w:szCs w:val="22"/>
                <w:lang w:val="ru-RU" w:eastAsia="en-US" w:bidi="ar-SA"/>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p>
            <w:pPr>
              <w:pStyle w:val="Normal"/>
              <w:widowControl w:val="false"/>
              <w:ind w:hanging="0"/>
              <w:jc w:val="left"/>
              <w:rPr>
                <w:rFonts w:ascii="Times New Roman" w:hAnsi="Times New Roman" w:eastAsia="Calibri" w:cs="Times New Roman"/>
                <w:color w:val="auto"/>
                <w:kern w:val="0"/>
                <w:sz w:val="22"/>
                <w:szCs w:val="22"/>
                <w:lang w:val="ru-RU" w:eastAsia="en-US" w:bidi="ar-SA"/>
              </w:rPr>
            </w:pPr>
            <w:r>
              <w:rPr>
                <w:rFonts w:eastAsia="Calibri" w:cs="Times New Roman"/>
                <w:color w:val="auto"/>
                <w:kern w:val="0"/>
                <w:sz w:val="22"/>
                <w:szCs w:val="22"/>
                <w:lang w:val="ru-RU" w:eastAsia="en-US" w:bidi="ar-SA"/>
              </w:rPr>
              <w:t>Параметрами эквивалентности являются ГОСТ, стандарты и марки, указанные в таблице № 1.1.</w:t>
            </w:r>
          </w:p>
          <w:p>
            <w:pPr>
              <w:pStyle w:val="Normal"/>
              <w:widowControl w:val="false"/>
              <w:ind w:hanging="0"/>
              <w:jc w:val="left"/>
              <w:rPr>
                <w:rFonts w:ascii="Times New Roman" w:hAnsi="Times New Roman" w:eastAsia="Calibri" w:cs="Times New Roman"/>
                <w:color w:val="auto"/>
                <w:kern w:val="0"/>
                <w:sz w:val="22"/>
                <w:szCs w:val="22"/>
                <w:lang w:val="ru-RU" w:eastAsia="en-US" w:bidi="ar-SA"/>
              </w:rPr>
            </w:pPr>
            <w:r>
              <w:rPr>
                <w:rFonts w:eastAsia="Calibri" w:cs="Times New Roman"/>
                <w:color w:val="auto"/>
                <w:kern w:val="0"/>
                <w:sz w:val="22"/>
                <w:szCs w:val="22"/>
                <w:lang w:val="ru-RU" w:eastAsia="en-US" w:bidi="ar-SA"/>
              </w:rPr>
              <w:t>Для оценки возможности использования предлагаемого эквивалента, предложение Участника должно содержать подробную информацию в объеме, соответствующем требованиям, указанным Заказчиком в  таблице № 1.1.</w:t>
            </w:r>
          </w:p>
        </w:tc>
        <w:tc>
          <w:tcPr>
            <w:tcW w:w="2268" w:type="dxa"/>
            <w:tcBorders/>
            <w:vAlign w:val="center"/>
          </w:tcPr>
          <w:p>
            <w:pPr>
              <w:pStyle w:val="Normal"/>
              <w:widowControl w:val="false"/>
              <w:spacing w:before="0" w:after="0"/>
              <w:jc w:val="center"/>
              <w:rPr>
                <w:i/>
                <w:i/>
                <w:iCs/>
                <w:sz w:val="22"/>
                <w:szCs w:val="22"/>
              </w:rPr>
            </w:pPr>
            <w:r>
              <w:rPr>
                <w:i/>
                <w:iCs/>
                <w:sz w:val="22"/>
                <w:szCs w:val="22"/>
              </w:rPr>
              <w:t>Согласие с требованием</w:t>
            </w:r>
          </w:p>
        </w:tc>
        <w:tc>
          <w:tcPr>
            <w:tcW w:w="2694"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t>-//-</w:t>
            </w:r>
          </w:p>
        </w:tc>
        <w:tc>
          <w:tcPr>
            <w:tcW w:w="2126" w:type="dxa"/>
            <w:tcBorders/>
            <w:vAlign w:val="center"/>
          </w:tcPr>
          <w:p>
            <w:pPr>
              <w:pStyle w:val="Normal"/>
              <w:widowControl w:val="false"/>
              <w:suppressAutoHyphens w:val="true"/>
              <w:spacing w:before="0" w:after="0"/>
              <w:jc w:val="center"/>
              <w:rPr>
                <w:sz w:val="20"/>
                <w:szCs w:val="20"/>
              </w:rPr>
            </w:pPr>
            <w:r>
              <w:rPr>
                <w:sz w:val="20"/>
                <w:szCs w:val="20"/>
              </w:rPr>
            </w:r>
          </w:p>
        </w:tc>
      </w:tr>
      <w:tr>
        <w:trPr>
          <w:trHeight w:val="646" w:hRule="atLeast"/>
        </w:trPr>
        <w:tc>
          <w:tcPr>
            <w:tcW w:w="567" w:type="dxa"/>
            <w:tcBorders>
              <w:top w:val="nil"/>
            </w:tcBorders>
            <w:vAlign w:val="center"/>
          </w:tcPr>
          <w:p>
            <w:pPr>
              <w:pStyle w:val="Normal"/>
              <w:widowControl w:val="false"/>
              <w:suppressAutoHyphens w:val="true"/>
              <w:spacing w:before="60" w:after="0"/>
              <w:ind w:right="-109" w:hanging="0"/>
              <w:jc w:val="left"/>
              <w:rPr>
                <w:sz w:val="20"/>
                <w:szCs w:val="20"/>
              </w:rPr>
            </w:pPr>
            <w:r>
              <w:rPr>
                <w:rFonts w:eastAsia="Times New Roman" w:cs="Times New Roman"/>
                <w:kern w:val="0"/>
                <w:sz w:val="20"/>
                <w:szCs w:val="20"/>
                <w:lang w:val="ru-RU" w:eastAsia="ru-RU" w:bidi="ar-SA"/>
              </w:rPr>
              <w:t>4.2.</w:t>
            </w:r>
          </w:p>
        </w:tc>
        <w:tc>
          <w:tcPr>
            <w:tcW w:w="3543" w:type="dxa"/>
            <w:tcBorders>
              <w:top w:val="nil"/>
            </w:tcBorders>
          </w:tcPr>
          <w:p>
            <w:pPr>
              <w:pStyle w:val="Normal"/>
              <w:widowControl w:val="false"/>
              <w:suppressAutoHyphens w:val="true"/>
              <w:spacing w:before="0" w:after="0"/>
              <w:ind w:right="145" w:hanging="0"/>
              <w:jc w:val="left"/>
              <w:rPr>
                <w:b w:val="false"/>
                <w:bCs w:val="false"/>
                <w:sz w:val="22"/>
                <w:szCs w:val="22"/>
              </w:rPr>
            </w:pPr>
            <w:r>
              <w:rPr>
                <w:b w:val="false"/>
                <w:bCs w:val="false"/>
                <w:sz w:val="22"/>
                <w:szCs w:val="22"/>
              </w:rPr>
              <w:t>В соответствии с Постановлением Правительства РФ от 23.12.2024 |№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p>
          <w:p>
            <w:pPr>
              <w:pStyle w:val="Normal"/>
              <w:widowControl w:val="false"/>
              <w:suppressAutoHyphens w:val="true"/>
              <w:spacing w:before="0" w:after="0"/>
              <w:ind w:right="145" w:hanging="0"/>
              <w:jc w:val="left"/>
              <w:rPr>
                <w:b w:val="false"/>
                <w:bCs w:val="false"/>
                <w:sz w:val="22"/>
                <w:szCs w:val="22"/>
              </w:rPr>
            </w:pPr>
            <w:r>
              <w:rPr>
                <w:b w:val="false"/>
                <w:bCs w:val="false"/>
                <w:sz w:val="22"/>
                <w:szCs w:val="22"/>
              </w:rPr>
            </w:r>
          </w:p>
          <w:p>
            <w:pPr>
              <w:pStyle w:val="Normal"/>
              <w:widowControl w:val="false"/>
              <w:suppressAutoHyphens w:val="true"/>
              <w:spacing w:before="0" w:after="0"/>
              <w:ind w:right="145" w:hanging="0"/>
              <w:jc w:val="left"/>
              <w:rPr>
                <w:b w:val="false"/>
                <w:bCs w:val="false"/>
                <w:sz w:val="22"/>
                <w:szCs w:val="22"/>
              </w:rPr>
            </w:pPr>
            <w:r>
              <w:rPr>
                <w:b w:val="false"/>
                <w:bCs w:val="false"/>
                <w:sz w:val="22"/>
                <w:szCs w:val="22"/>
              </w:rPr>
              <w:t>Все заявки на участие в закупке, содержащие предложения о поставке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заявка, содержащая предложение о поставке товара российского происхождения</w:t>
            </w:r>
          </w:p>
        </w:tc>
        <w:tc>
          <w:tcPr>
            <w:tcW w:w="3969" w:type="dxa"/>
            <w:tcBorders>
              <w:top w:val="nil"/>
            </w:tcBorders>
            <w:vAlign w:val="center"/>
          </w:tcPr>
          <w:p>
            <w:pPr>
              <w:pStyle w:val="Normal"/>
              <w:widowControl w:val="false"/>
              <w:ind w:hanging="0"/>
              <w:jc w:val="left"/>
              <w:rPr>
                <w:rFonts w:ascii="Times New Roman" w:hAnsi="Times New Roman" w:eastAsia="Calibri" w:cs="Times New Roman"/>
                <w:color w:val="auto"/>
                <w:kern w:val="0"/>
                <w:sz w:val="22"/>
                <w:szCs w:val="22"/>
                <w:lang w:val="ru-RU" w:eastAsia="en-US" w:bidi="ar-SA"/>
              </w:rPr>
            </w:pPr>
            <w:r>
              <w:rPr>
                <w:rFonts w:eastAsia="Calibri" w:cs="Times New Roman"/>
                <w:color w:val="auto"/>
                <w:kern w:val="0"/>
                <w:sz w:val="22"/>
                <w:szCs w:val="22"/>
                <w:lang w:val="ru-RU" w:eastAsia="en-US" w:bidi="ar-SA"/>
              </w:rPr>
              <w:t>В составе заявки предоставить Коммерческое предложение по форме, установленной документацией о закупке, с указанием в отношении поставляемой продукции информации о номере реестровой записи из реестра российской промышленной продукции или номере реестровой записи из евразийского экономического союза в соответствии с требованиями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w:t>
            </w:r>
          </w:p>
        </w:tc>
        <w:tc>
          <w:tcPr>
            <w:tcW w:w="2268" w:type="dxa"/>
            <w:tcBorders>
              <w:top w:val="nil"/>
            </w:tcBorders>
            <w:vAlign w:val="center"/>
          </w:tcPr>
          <w:p>
            <w:pPr>
              <w:pStyle w:val="Normal"/>
              <w:widowControl w:val="false"/>
              <w:spacing w:before="0" w:after="0"/>
              <w:jc w:val="center"/>
              <w:rPr>
                <w:i/>
                <w:i/>
                <w:iCs/>
                <w:sz w:val="22"/>
                <w:szCs w:val="22"/>
              </w:rPr>
            </w:pPr>
            <w:r>
              <w:rPr>
                <w:rFonts w:eastAsia="Times New Roman" w:cs="Times New Roman"/>
                <w:i/>
                <w:iCs/>
                <w:kern w:val="0"/>
                <w:sz w:val="22"/>
                <w:szCs w:val="22"/>
                <w:lang w:val="ru-RU" w:eastAsia="ru-RU" w:bidi="ar-SA"/>
              </w:rPr>
              <w:t>Согласие с требованием</w:t>
            </w:r>
          </w:p>
        </w:tc>
        <w:tc>
          <w:tcPr>
            <w:tcW w:w="2694" w:type="dxa"/>
            <w:tcBorders>
              <w:top w:val="nil"/>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0"/>
                <w:szCs w:val="20"/>
                <w:lang w:val="ru-RU" w:eastAsia="ru-RU" w:bidi="ar-SA"/>
              </w:rPr>
              <w:t>-//-</w:t>
            </w:r>
          </w:p>
        </w:tc>
        <w:tc>
          <w:tcPr>
            <w:tcW w:w="2126" w:type="dxa"/>
            <w:tcBorders>
              <w:top w:val="nil"/>
            </w:tcBorders>
            <w:vAlign w:val="center"/>
          </w:tcPr>
          <w:p>
            <w:pPr>
              <w:pStyle w:val="Normal"/>
              <w:widowControl w:val="false"/>
              <w:suppressAutoHyphens w:val="true"/>
              <w:spacing w:before="0" w:after="0"/>
              <w:jc w:val="center"/>
              <w:rPr>
                <w:sz w:val="20"/>
                <w:szCs w:val="20"/>
              </w:rPr>
            </w:pPr>
            <w:r>
              <w:rPr>
                <w:sz w:val="20"/>
                <w:szCs w:val="20"/>
              </w:rPr>
            </w:r>
          </w:p>
        </w:tc>
      </w:tr>
    </w:tbl>
    <w:p>
      <w:pPr>
        <w:pStyle w:val="Normal"/>
        <w:suppressAutoHyphens w:val="true"/>
        <w:spacing w:before="120" w:after="120"/>
        <w:ind w:right="593" w:hanging="0"/>
        <w:rPr>
          <w:b/>
          <w:bCs/>
          <w:iCs/>
          <w:sz w:val="24"/>
          <w:szCs w:val="24"/>
          <w:lang w:eastAsia="x-none"/>
        </w:rPr>
      </w:pPr>
      <w:r>
        <w:rPr>
          <w:sz w:val="24"/>
          <w:szCs w:val="24"/>
        </w:rPr>
        <w:t xml:space="preserve">          </w:t>
      </w:r>
      <w:r>
        <w:rPr>
          <w:b/>
          <w:sz w:val="24"/>
          <w:szCs w:val="24"/>
        </w:rPr>
        <w:t>3.</w:t>
      </w:r>
      <w:r>
        <w:rPr>
          <w:sz w:val="24"/>
          <w:szCs w:val="24"/>
        </w:rPr>
        <w:t xml:space="preserve"> </w:t>
      </w:r>
      <w:r>
        <w:rPr>
          <w:b/>
          <w:bCs/>
          <w:iCs/>
          <w:sz w:val="24"/>
          <w:szCs w:val="24"/>
          <w:lang w:eastAsia="x-none"/>
        </w:rPr>
        <w:t>Требования к документации по ценообразованию на этапе закупки</w:t>
        <w:tab/>
        <w:tab/>
      </w:r>
    </w:p>
    <w:p>
      <w:pPr>
        <w:pStyle w:val="Normal"/>
        <w:tabs>
          <w:tab w:val="clear" w:pos="708"/>
          <w:tab w:val="left" w:pos="709" w:leader="none"/>
        </w:tabs>
        <w:suppressAutoHyphens w:val="true"/>
        <w:ind w:left="567" w:right="593" w:hanging="0"/>
        <w:jc w:val="both"/>
        <w:rPr>
          <w:bCs/>
          <w:iCs/>
          <w:sz w:val="24"/>
          <w:szCs w:val="24"/>
          <w:lang w:eastAsia="x-none"/>
        </w:rPr>
      </w:pPr>
      <w:r>
        <w:rPr>
          <w:bCs/>
          <w:iCs/>
          <w:sz w:val="24"/>
          <w:szCs w:val="24"/>
          <w:lang w:eastAsia="x-none"/>
        </w:rPr>
        <w:t xml:space="preserve">         </w:t>
      </w:r>
      <w:r>
        <w:rPr>
          <w:bCs/>
          <w:iCs/>
          <w:sz w:val="24"/>
          <w:szCs w:val="24"/>
          <w:lang w:eastAsia="x-none"/>
        </w:rPr>
        <w:t>3.1. В обосновании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Normal"/>
        <w:tabs>
          <w:tab w:val="clear" w:pos="708"/>
          <w:tab w:val="left" w:pos="1134" w:leader="none"/>
        </w:tabs>
        <w:suppressAutoHyphens w:val="true"/>
        <w:ind w:left="567" w:right="593" w:hanging="0"/>
        <w:jc w:val="both"/>
        <w:rPr>
          <w:bCs/>
          <w:iCs/>
          <w:sz w:val="24"/>
          <w:szCs w:val="24"/>
          <w:lang w:eastAsia="x-none"/>
        </w:rPr>
      </w:pPr>
      <w:r>
        <w:rPr>
          <w:bCs/>
          <w:iCs/>
          <w:sz w:val="24"/>
          <w:szCs w:val="24"/>
          <w:lang w:eastAsia="x-none"/>
        </w:rPr>
        <w:t xml:space="preserve">        </w:t>
      </w:r>
      <w:r>
        <w:rPr>
          <w:bCs/>
          <w:iCs/>
          <w:sz w:val="24"/>
          <w:szCs w:val="24"/>
          <w:lang w:eastAsia="x-none"/>
        </w:rPr>
        <w:t>3.2. Все цены в предложении должны включать все налоги, транспортные расходы, другие обязательные платежи, стоимость всех сопутствующих работ (услуг), а также все скидки, предлагаемые участником.</w:t>
      </w:r>
    </w:p>
    <w:sectPr>
      <w:footerReference w:type="default" r:id="rId2"/>
      <w:type w:val="nextPage"/>
      <w:pgSz w:orient="landscape" w:w="16838" w:h="11906"/>
      <w:pgMar w:left="567" w:right="567" w:gutter="0" w:header="0" w:top="1134" w:footer="737" w:bottom="794"/>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0885003"/>
    </w:sdtPr>
    <w:sdtContent>
      <w:p>
        <w:pPr>
          <w:pStyle w:val="Footer"/>
          <w:jc w:val="right"/>
          <w:rPr>
            <w:sz w:val="20"/>
            <w:szCs w:val="20"/>
          </w:rPr>
        </w:pPr>
        <w:r>
          <w:rPr>
            <w:sz w:val="20"/>
            <w:szCs w:val="20"/>
          </w:rPr>
          <w:t xml:space="preserve">Страница </w:t>
        </w:r>
        <w:r>
          <w:rPr>
            <w:b/>
            <w:bCs/>
            <w:sz w:val="20"/>
            <w:szCs w:val="20"/>
          </w:rPr>
          <w:fldChar w:fldCharType="begin"/>
        </w:r>
        <w:r>
          <w:rPr>
            <w:sz w:val="20"/>
            <w:b/>
            <w:szCs w:val="20"/>
            <w:bCs/>
          </w:rPr>
          <w:instrText xml:space="preserve"> PAGE </w:instrText>
        </w:r>
        <w:r>
          <w:rPr>
            <w:sz w:val="20"/>
            <w:b/>
            <w:szCs w:val="20"/>
            <w:bCs/>
          </w:rPr>
          <w:fldChar w:fldCharType="separate"/>
        </w:r>
        <w:r>
          <w:rPr>
            <w:sz w:val="20"/>
            <w:b/>
            <w:szCs w:val="20"/>
            <w:bCs/>
          </w:rPr>
          <w:t>8</w:t>
        </w:r>
        <w:r>
          <w:rPr>
            <w:sz w:val="20"/>
            <w:b/>
            <w:szCs w:val="20"/>
            <w:bCs/>
          </w:rPr>
          <w:fldChar w:fldCharType="end"/>
        </w:r>
        <w:r>
          <w:rPr>
            <w:sz w:val="20"/>
            <w:szCs w:val="20"/>
          </w:rPr>
          <w:t xml:space="preserve"> из </w:t>
        </w:r>
        <w:r>
          <w:rPr>
            <w:b/>
            <w:bCs/>
            <w:sz w:val="20"/>
            <w:szCs w:val="20"/>
          </w:rPr>
          <w:fldChar w:fldCharType="begin"/>
        </w:r>
        <w:r>
          <w:rPr>
            <w:sz w:val="20"/>
            <w:b/>
            <w:szCs w:val="20"/>
            <w:bCs/>
          </w:rPr>
          <w:instrText xml:space="preserve"> NUMPAGES </w:instrText>
        </w:r>
        <w:r>
          <w:rPr>
            <w:sz w:val="20"/>
            <w:b/>
            <w:szCs w:val="20"/>
            <w:bCs/>
          </w:rPr>
          <w:fldChar w:fldCharType="separate"/>
        </w:r>
        <w:r>
          <w:rPr>
            <w:sz w:val="20"/>
            <w:b/>
            <w:szCs w:val="20"/>
            <w:bCs/>
          </w:rPr>
          <w:t>8</w:t>
        </w:r>
        <w:r>
          <w:rPr>
            <w:sz w:val="20"/>
            <w:b/>
            <w:szCs w:val="20"/>
            <w:bCs/>
          </w:rPr>
          <w:fldChar w:fldCharType="end"/>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4755" w:hanging="360"/>
      </w:pPr>
      <w:rPr>
        <w:smallCaps w:val="false"/>
        <w:caps w:val="false"/>
        <w:dstrike w:val="false"/>
        <w:strike w:val="false"/>
        <w:vertAlign w:val="baseline"/>
        <w:position w:val="0"/>
        <w:sz w:val="22"/>
        <w:sz w:val="22"/>
        <w:spacing w:val="0"/>
        <w:i w:val="false"/>
        <w:u w:val="none"/>
        <w:b/>
        <w:kern w:val="0"/>
        <w:effect w:val="none"/>
        <w:szCs w:val="22"/>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49" w:hanging="432"/>
      </w:pPr>
      <w:rPr>
        <w:sz w:val="22"/>
        <w:i w:val="false"/>
        <w:b w:val="false"/>
        <w:szCs w:val="22"/>
        <w:iCs/>
        <w:bCs/>
      </w:rPr>
    </w:lvl>
    <w:lvl w:ilvl="2">
      <w:start w:val="1"/>
      <w:numFmt w:val="decimal"/>
      <w:lvlText w:val="%1.%2.%3."/>
      <w:lvlJc w:val="left"/>
      <w:pPr>
        <w:tabs>
          <w:tab w:val="num" w:pos="0"/>
        </w:tabs>
        <w:ind w:left="941" w:hanging="504"/>
      </w:pPr>
      <w:rPr>
        <w:b w:val="false"/>
      </w:rPr>
    </w:lvl>
    <w:lvl w:ilvl="3">
      <w:start w:val="1"/>
      <w:numFmt w:val="decimal"/>
      <w:lvlText w:val="%1.%2.%3.%4."/>
      <w:lvlJc w:val="left"/>
      <w:pPr>
        <w:tabs>
          <w:tab w:val="num" w:pos="0"/>
        </w:tabs>
        <w:ind w:left="1445" w:hanging="648"/>
      </w:pPr>
      <w:rPr/>
    </w:lvl>
    <w:lvl w:ilvl="4">
      <w:start w:val="1"/>
      <w:numFmt w:val="decimal"/>
      <w:lvlText w:val="%1.%2.%3.%4.%5."/>
      <w:lvlJc w:val="left"/>
      <w:pPr>
        <w:tabs>
          <w:tab w:val="num" w:pos="0"/>
        </w:tabs>
        <w:ind w:left="1949" w:hanging="792"/>
      </w:pPr>
      <w:rPr/>
    </w:lvl>
    <w:lvl w:ilvl="5">
      <w:start w:val="1"/>
      <w:numFmt w:val="decimal"/>
      <w:lvlText w:val="%1.%2.%3.%4.%5.%6."/>
      <w:lvlJc w:val="left"/>
      <w:pPr>
        <w:tabs>
          <w:tab w:val="num" w:pos="0"/>
        </w:tabs>
        <w:ind w:left="2453" w:hanging="936"/>
      </w:pPr>
      <w:rPr/>
    </w:lvl>
    <w:lvl w:ilvl="6">
      <w:start w:val="1"/>
      <w:numFmt w:val="decimal"/>
      <w:lvlText w:val="%1.%2.%3.%4.%5.%6.%7."/>
      <w:lvlJc w:val="left"/>
      <w:pPr>
        <w:tabs>
          <w:tab w:val="num" w:pos="0"/>
        </w:tabs>
        <w:ind w:left="2957" w:hanging="1080"/>
      </w:pPr>
      <w:rPr/>
    </w:lvl>
    <w:lvl w:ilvl="7">
      <w:start w:val="1"/>
      <w:numFmt w:val="decimal"/>
      <w:lvlText w:val="%1.%2.%3.%4.%5.%6.%7.%8."/>
      <w:lvlJc w:val="left"/>
      <w:pPr>
        <w:tabs>
          <w:tab w:val="num" w:pos="0"/>
        </w:tabs>
        <w:ind w:left="3461" w:hanging="1224"/>
      </w:pPr>
      <w:rPr/>
    </w:lvl>
    <w:lvl w:ilvl="8">
      <w:start w:val="1"/>
      <w:numFmt w:val="decimal"/>
      <w:lvlText w:val="%1.%2.%3.%4.%5.%6.%7.%8.%9."/>
      <w:lvlJc w:val="left"/>
      <w:pPr>
        <w:tabs>
          <w:tab w:val="num" w:pos="0"/>
        </w:tabs>
        <w:ind w:left="4037"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sz w:val="22"/>
        <w:b/>
        <w:szCs w:val="22"/>
        <w:bCs w:val="false"/>
      </w:rPr>
    </w:lvl>
    <w:lvl w:ilvl="1">
      <w:start w:val="1"/>
      <w:numFmt w:val="decimal"/>
      <w:lvlText w:val="%1.%2."/>
      <w:lvlJc w:val="left"/>
      <w:pPr>
        <w:tabs>
          <w:tab w:val="num" w:pos="0"/>
        </w:tabs>
        <w:ind w:left="858" w:hanging="432"/>
      </w:pPr>
      <w:rPr>
        <w:sz w:val="22"/>
        <w:b w:val="false"/>
        <w:szCs w:val="22"/>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c15d66"/>
    <w:pPr>
      <w:keepNext w:val="true"/>
      <w:numPr>
        <w:ilvl w:val="2"/>
        <w:numId w:val="3"/>
      </w:numPr>
      <w:spacing w:before="120" w:after="0"/>
      <w:outlineLvl w:val="2"/>
    </w:pPr>
    <w:rPr>
      <w:rFonts w:eastAsia="Calibri"/>
      <w:sz w:val="22"/>
      <w:szCs w:val="22"/>
      <w:lang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name w:val="Символ сноски"/>
    <w:qFormat/>
    <w:rsid w:val="00d561d9"/>
    <w:rPr>
      <w:vertAlign w:val="superscript"/>
    </w:rPr>
  </w:style>
  <w:style w:type="character" w:styleId="FootnoteReference">
    <w:name w:val="Footnote Reference"/>
    <w:rPr>
      <w:vertAlign w:val="superscript"/>
    </w:rPr>
  </w:style>
  <w:style w:type="character" w:styleId="Pagenumber">
    <w:name w:val="page number"/>
    <w:basedOn w:val="DefaultParagraphFont"/>
    <w:qFormat/>
    <w:rsid w:val="006c2f3f"/>
    <w:rPr/>
  </w:style>
  <w:style w:type="character" w:styleId="Hyperlink">
    <w:name w:val="Hyperlink"/>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
    <w:name w:val="Strong"/>
    <w:uiPriority w:val="22"/>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c15d66"/>
    <w:rPr>
      <w:rFonts w:eastAsia="Calibri"/>
      <w:sz w:val="22"/>
      <w:szCs w:val="22"/>
      <w:lang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1" w:customStyle="1">
    <w:name w:val="Подпункт Знак1"/>
    <w:link w:val="Style24"/>
    <w:qFormat/>
    <w:locked/>
    <w:rsid w:val="00d22f6d"/>
    <w:rPr>
      <w:sz w:val="28"/>
    </w:rPr>
  </w:style>
  <w:style w:type="character" w:styleId="Style5" w:customStyle="1">
    <w:name w:val="Текст сноски Знак"/>
    <w:qFormat/>
    <w:rsid w:val="00d22f6d"/>
    <w:rPr/>
  </w:style>
  <w:style w:type="character" w:styleId="Style6" w:customStyle="1">
    <w:name w:val="Основной текст Знак"/>
    <w:uiPriority w:val="99"/>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32"/>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uiPriority w:val="99"/>
    <w:semiHidden/>
    <w:qFormat/>
    <w:rsid w:val="00dc0f7d"/>
    <w:rPr/>
  </w:style>
  <w:style w:type="character" w:styleId="Style12" w:customStyle="1">
    <w:name w:val="Текст концевой сноски Знак"/>
    <w:basedOn w:val="DefaultParagraphFont"/>
    <w:qFormat/>
    <w:rsid w:val="003879d4"/>
    <w:rPr/>
  </w:style>
  <w:style w:type="character" w:styleId="Style13">
    <w:name w:val="Символ концевой сноски"/>
    <w:qFormat/>
    <w:rsid w:val="003879d4"/>
    <w:rPr>
      <w:vertAlign w:val="superscript"/>
    </w:rPr>
  </w:style>
  <w:style w:type="character" w:styleId="EndnoteReference">
    <w:name w:val="Endnote Reference"/>
    <w:rPr>
      <w:vertAlign w:val="superscript"/>
    </w:rPr>
  </w:style>
  <w:style w:type="character" w:styleId="22" w:customStyle="1">
    <w:name w:val="Пункт2 Знак"/>
    <w:link w:val="24"/>
    <w:qFormat/>
    <w:rsid w:val="00de52bc"/>
    <w:rPr>
      <w:b/>
      <w:sz w:val="28"/>
    </w:rPr>
  </w:style>
  <w:style w:type="character" w:styleId="12" w:customStyle="1">
    <w:name w:val="УРОВЕНЬ_1. Знак"/>
    <w:link w:val="110"/>
    <w:qFormat/>
    <w:rsid w:val="004a17ae"/>
    <w:rPr>
      <w:rFonts w:eastAsia="Calibri"/>
      <w:caps/>
      <w:sz w:val="28"/>
      <w:szCs w:val="28"/>
      <w:lang w:eastAsia="en-US"/>
    </w:rPr>
  </w:style>
  <w:style w:type="character" w:styleId="13"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Markedcontent" w:customStyle="1">
    <w:name w:val="markedcontent"/>
    <w:basedOn w:val="DefaultParagraphFont"/>
    <w:qFormat/>
    <w:rsid w:val="00a33766"/>
    <w:rPr/>
  </w:style>
  <w:style w:type="character" w:styleId="Style14" w:customStyle="1">
    <w:name w:val="Основной текст с отступом Знак"/>
    <w:basedOn w:val="DefaultParagraphFont"/>
    <w:qFormat/>
    <w:rsid w:val="00730aab"/>
    <w:rPr>
      <w:sz w:val="24"/>
      <w:szCs w:val="24"/>
    </w:rPr>
  </w:style>
  <w:style w:type="character" w:styleId="14" w:customStyle="1">
    <w:name w:val="Пункт Знак1"/>
    <w:link w:val="Style29"/>
    <w:qFormat/>
    <w:rsid w:val="000d70e6"/>
    <w:rPr>
      <w:rFonts w:ascii="Arial" w:hAnsi="Arial"/>
      <w:b/>
      <w:i/>
      <w:sz w:val="28"/>
    </w:rPr>
  </w:style>
  <w:style w:type="character" w:styleId="Style15" w:customStyle="1">
    <w:name w:val="Текст выноски Знак"/>
    <w:basedOn w:val="DefaultParagraphFont"/>
    <w:link w:val="BalloonText"/>
    <w:uiPriority w:val="99"/>
    <w:semiHidden/>
    <w:qFormat/>
    <w:rsid w:val="000d70e6"/>
    <w:rPr>
      <w:rFonts w:ascii="Tahoma" w:hAnsi="Tahoma" w:cs="Tahoma"/>
      <w:sz w:val="16"/>
      <w:szCs w:val="16"/>
    </w:rPr>
  </w:style>
  <w:style w:type="character" w:styleId="Style16" w:customStyle="1">
    <w:name w:val="Тема примечания Знак"/>
    <w:basedOn w:val="Style11"/>
    <w:link w:val="Annotationsubject"/>
    <w:uiPriority w:val="99"/>
    <w:semiHidden/>
    <w:qFormat/>
    <w:rsid w:val="000d70e6"/>
    <w:rPr>
      <w:b/>
      <w:bCs/>
    </w:rPr>
  </w:style>
  <w:style w:type="character" w:styleId="Apple-converted-space" w:customStyle="1">
    <w:name w:val="apple-converted-space"/>
    <w:qFormat/>
    <w:rsid w:val="00210fb8"/>
    <w:rPr/>
  </w:style>
  <w:style w:type="character" w:styleId="Style17" w:customStyle="1">
    <w:name w:val="Нижний колонтитул Знак"/>
    <w:basedOn w:val="DefaultParagraphFont"/>
    <w:uiPriority w:val="99"/>
    <w:qFormat/>
    <w:rsid w:val="001668da"/>
    <w:rPr>
      <w:sz w:val="28"/>
      <w:szCs w:val="28"/>
    </w:rPr>
  </w:style>
  <w:style w:type="paragraph" w:styleId="Style18">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6"/>
    <w:uiPriority w:val="99"/>
    <w:rsid w:val="0076353a"/>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Style20" w:customStyle="1">
    <w:name w:val="Название раздела инструкции"/>
    <w:basedOn w:val="Normal"/>
    <w:autoRedefine/>
    <w:qFormat/>
    <w:rsid w:val="00275328"/>
    <w:pPr>
      <w:jc w:val="center"/>
    </w:pPr>
    <w:rPr>
      <w:b/>
    </w:rPr>
  </w:style>
  <w:style w:type="paragraph" w:styleId="Style21"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22"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3">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link w:val="Style14"/>
    <w:rsid w:val="0076353a"/>
    <w:pPr>
      <w:ind w:left="360" w:hanging="0"/>
    </w:pPr>
    <w:rPr>
      <w:sz w:val="24"/>
      <w:szCs w:val="24"/>
    </w:rPr>
  </w:style>
  <w:style w:type="paragraph" w:styleId="Footer">
    <w:name w:val="Footer"/>
    <w:basedOn w:val="Normal"/>
    <w:link w:val="Style17"/>
    <w:uiPriority w:val="99"/>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4" w:customStyle="1">
    <w:name w:val="Подпункт"/>
    <w:basedOn w:val="Normal"/>
    <w:link w:val="11"/>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uppressAutoHyphens w:val="true"/>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5" w:customStyle="1">
    <w:name w:val="Раздел регламента"/>
    <w:basedOn w:val="Normal"/>
    <w:qFormat/>
    <w:rsid w:val="00e228fa"/>
    <w:pPr/>
    <w:rPr/>
  </w:style>
  <w:style w:type="paragraph" w:styleId="Style26"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link w:val="Style15"/>
    <w:uiPriority w:val="99"/>
    <w:semiHidden/>
    <w:qFormat/>
    <w:rsid w:val="00197c91"/>
    <w:pPr/>
    <w:rPr>
      <w:rFonts w:ascii="Tahoma" w:hAnsi="Tahoma" w:cs="Tahoma"/>
      <w:sz w:val="16"/>
      <w:szCs w:val="16"/>
    </w:rPr>
  </w:style>
  <w:style w:type="paragraph" w:styleId="Annotationtext">
    <w:name w:val="annotation text"/>
    <w:basedOn w:val="Normal"/>
    <w:link w:val="Style11"/>
    <w:uiPriority w:val="99"/>
    <w:semiHidden/>
    <w:qFormat/>
    <w:rsid w:val="00b714b0"/>
    <w:pPr/>
    <w:rPr>
      <w:sz w:val="20"/>
      <w:szCs w:val="20"/>
    </w:rPr>
  </w:style>
  <w:style w:type="paragraph" w:styleId="Annotationsubject">
    <w:name w:val="annotation subject"/>
    <w:basedOn w:val="Annotationtext"/>
    <w:next w:val="Annotationtext"/>
    <w:link w:val="Style16"/>
    <w:uiPriority w:val="99"/>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7"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Caption1">
    <w:name w:val="caption1"/>
    <w:basedOn w:val="Normal"/>
    <w:next w:val="Normal"/>
    <w:uiPriority w:val="35"/>
    <w:qFormat/>
    <w:rsid w:val="00d22f6d"/>
    <w:pPr/>
    <w:rPr>
      <w:rFonts w:eastAsia="Calibri"/>
      <w:b/>
      <w:bCs/>
      <w:color w:val="4F81BD"/>
      <w:sz w:val="18"/>
      <w:szCs w:val="18"/>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8"/>
    <w:pPr/>
    <w:rPr/>
  </w:style>
  <w:style w:type="paragraph" w:styleId="TOCHeading">
    <w:name w:val="TOC Heading"/>
    <w:basedOn w:val="Heading1"/>
    <w:next w:val="Normal"/>
    <w:uiPriority w:val="39"/>
    <w:qFormat/>
    <w:rsid w:val="00d22f6d"/>
    <w:pPr>
      <w:keepLines/>
      <w:spacing w:before="480" w:after="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8"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ListBullet4" w:customStyle="1">
    <w:name w:val="List Bullet 4"/>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9" w:customStyle="1">
    <w:name w:val="Пункт"/>
    <w:basedOn w:val="Normal"/>
    <w:link w:val="14"/>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30"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31" w:customStyle="1">
    <w:name w:val="Таблица шапка"/>
    <w:basedOn w:val="Normal"/>
    <w:qFormat/>
    <w:rsid w:val="00f64089"/>
    <w:pPr>
      <w:keepNext w:val="true"/>
      <w:spacing w:before="40" w:after="40"/>
      <w:ind w:left="57" w:right="57" w:hanging="0"/>
    </w:pPr>
    <w:rPr>
      <w:sz w:val="22"/>
      <w:szCs w:val="26"/>
    </w:rPr>
  </w:style>
  <w:style w:type="paragraph" w:styleId="Style32" w:customStyle="1">
    <w:name w:val="Подподпункт"/>
    <w:basedOn w:val="Style24"/>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3"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4"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numPr>
        <w:ilvl w:val="0"/>
        <w:numId w:val="0"/>
      </w:numPr>
      <w:tabs>
        <w:tab w:val="clear" w:pos="708"/>
        <w:tab w:val="left" w:pos="567" w:leader="none"/>
      </w:tabs>
      <w:suppressAutoHyphens w:val="true"/>
      <w:spacing w:before="480" w:after="240"/>
      <w:ind w:left="567" w:hanging="567"/>
      <w:jc w:val="both"/>
    </w:pPr>
    <w:rPr>
      <w:rFonts w:ascii="Arial" w:hAnsi="Arial" w:eastAsia="Times New Roman"/>
      <w:bCs/>
      <w:kern w:val="2"/>
      <w:sz w:val="40"/>
      <w:szCs w:val="20"/>
      <w:lang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uppressAutoHyphens w:val="true"/>
      <w:spacing w:before="120" w:after="120"/>
      <w:jc w:val="both"/>
      <w:outlineLvl w:val="0"/>
    </w:pPr>
    <w:rPr>
      <w:b/>
      <w:kern w:val="2"/>
      <w:sz w:val="24"/>
      <w:szCs w:val="20"/>
      <w:lang w:eastAsia="x-none"/>
    </w:rPr>
  </w:style>
  <w:style w:type="paragraph" w:styleId="Style35"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2"/>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Formattext" w:customStyle="1">
    <w:name w:val="formattext"/>
    <w:basedOn w:val="Normal"/>
    <w:qFormat/>
    <w:rsid w:val="00cf1df7"/>
    <w:pPr>
      <w:spacing w:before="280" w:after="280"/>
    </w:pPr>
    <w:rPr>
      <w:sz w:val="24"/>
      <w:szCs w:val="24"/>
      <w:lang w:eastAsia="zh-CN"/>
    </w:rPr>
  </w:style>
  <w:style w:type="paragraph" w:styleId="Default" w:customStyle="1">
    <w:name w:val="Default"/>
    <w:qFormat/>
    <w:rsid w:val="004c01a1"/>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Ieaaonoaea" w:customStyle="1">
    <w:name w:val="I.eaaonoaea"/>
    <w:basedOn w:val="Normal"/>
    <w:next w:val="Normal"/>
    <w:qFormat/>
    <w:rsid w:val="004c01a1"/>
    <w:pPr/>
    <w:rPr>
      <w:sz w:val="24"/>
      <w:szCs w:val="24"/>
    </w:rPr>
  </w:style>
  <w:style w:type="paragraph" w:styleId="Iauiue" w:customStyle="1">
    <w:name w:val="Iau.iue"/>
    <w:basedOn w:val="Normal"/>
    <w:next w:val="Normal"/>
    <w:qFormat/>
    <w:rsid w:val="004c01a1"/>
    <w:pPr/>
    <w:rPr>
      <w:sz w:val="24"/>
      <w:szCs w:val="24"/>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0"/>
      <w:sz w:val="28"/>
      <w:szCs w:val="28"/>
      <w:lang w:val="ru-RU" w:eastAsia="ru-RU" w:bidi="ar-SA"/>
    </w:rPr>
  </w:style>
  <w:style w:type="numbering" w:styleId="NoList" w:default="1">
    <w:name w:val="No List"/>
    <w:uiPriority w:val="99"/>
    <w:semiHidden/>
    <w:unhideWhenUsed/>
    <w:qFormat/>
  </w:style>
  <w:style w:type="numbering" w:styleId="111"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0">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d">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C7AC4-5DBE-4116-9028-EA9523322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Application>AlterOffice/3.4.0.6$Linux_X86_64 LibreOffice_project/ad8c41dce69105450bf791d4900d64b1f82e10d0</Application>
  <AppVersion>15.0000</AppVersion>
  <Pages>8</Pages>
  <Words>1479</Words>
  <Characters>9388</Characters>
  <CharactersWithSpaces>10578</CharactersWithSpaces>
  <Paragraphs>409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2023-11-17T04:43:00Z</dcterms:created>
  <dc:creator>Быстров Олег Геннадьевич</dc:creator>
  <dc:description/>
  <dc:language>ru-RU</dc:language>
  <cp:lastModifiedBy>alieva_di</cp:lastModifiedBy>
  <cp:lastPrinted>2024-12-04T09:15:46Z</cp:lastPrinted>
  <dcterms:modified xsi:type="dcterms:W3CDTF">2026-08-10T14:41:03Z</dcterms:modified>
  <cp:revision>34</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