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  <w:shd w:fill="FFFF00" w:val="clear"/>
        </w:rPr>
        <w:t>ОКП</w:t>
      </w:r>
      <w:r>
        <w:rPr>
          <w:color w:val="000000"/>
          <w:szCs w:val="24"/>
          <w:shd w:fill="FFFF00" w:val="clear"/>
        </w:rPr>
        <w:t>Д2 27.3</w:t>
      </w:r>
      <w:r>
        <w:rPr>
          <w:color w:val="000000"/>
          <w:szCs w:val="24"/>
          <w:shd w:fill="FFFF00" w:val="clear"/>
        </w:rPr>
        <w:t>3.1</w:t>
      </w:r>
      <w:r>
        <w:rPr>
          <w:szCs w:val="24"/>
        </w:rPr>
        <w:t xml:space="preserve">  на поставку шкафа ШАОТ  блока Т-7 для выполнения строительно-монтажных работ на Нижегородской ГЭС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hd w:fill="FFFF00" w:val="clear"/>
        </w:rPr>
      </w:pPr>
      <w:r>
        <w:rPr>
          <w:szCs w:val="24"/>
          <w:shd w:fill="FFFF00" w:val="clear"/>
        </w:rPr>
        <w:t>(Лот №</w:t>
      </w:r>
      <w:r>
        <w:rPr>
          <w:color w:val="000000"/>
          <w:szCs w:val="24"/>
          <w:shd w:fill="FFFF00" w:val="clear"/>
        </w:rPr>
        <w:t>0010-РЕМ ДОХ-2025-ГРВКК-СШФ</w:t>
      </w:r>
      <w:r>
        <w:rPr>
          <w:szCs w:val="24"/>
          <w:shd w:fill="FFFF00" w:val="clear"/>
        </w:rPr>
        <w:t>)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Cs w:val="24"/>
        </w:rPr>
      </w:pPr>
      <w:r>
        <w:rPr>
          <w:rFonts w:eastAsia="Calibri"/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>
          <w:lang w:val="ru-RU"/>
        </w:rPr>
        <w:t xml:space="preserve">    </w:t>
      </w: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0" w:name="_Toc75446568"/>
      <w:bookmarkStart w:id="1" w:name="_Toc46743506"/>
      <w:r>
        <w:rPr/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outlineLvl w:val="0"/>
        <w:rPr>
          <w:szCs w:val="24"/>
        </w:rPr>
      </w:pPr>
      <w:r>
        <w:rPr>
          <w:szCs w:val="24"/>
        </w:rPr>
        <w:tab/>
      </w:r>
      <w:r>
        <w:rPr>
          <w:szCs w:val="24"/>
          <w:shd w:fill="FFFF00" w:val="clear"/>
        </w:rPr>
        <w:t>ОКП</w:t>
      </w:r>
      <w:r>
        <w:rPr>
          <w:color w:val="000000"/>
          <w:szCs w:val="24"/>
          <w:shd w:fill="FFFF00" w:val="clear"/>
        </w:rPr>
        <w:t>Д2 27.32</w:t>
      </w:r>
      <w:r>
        <w:rPr>
          <w:szCs w:val="24"/>
        </w:rPr>
        <w:t xml:space="preserve"> Поставка шкафа ШАОТ  блока Т-7 для выполнения строительно-монтажных работ на Нижегородской ГЭС (далее продукция).</w:t>
      </w:r>
      <w:bookmarkStart w:id="2" w:name="_Toc75446569"/>
    </w:p>
    <w:p>
      <w:pPr>
        <w:pStyle w:val="Normal"/>
        <w:rPr/>
      </w:pPr>
      <w:r>
        <w:rPr/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ind w:firstLine="432"/>
        <w:jc w:val="both"/>
        <w:rPr>
          <w:rFonts w:eastAsia="Times New Roman" w:cs="Times New Roman"/>
          <w:bCs/>
          <w:szCs w:val="24"/>
          <w:shd w:fill="FFFFFF" w:val="clear"/>
          <w:lang w:eastAsia="ru-RU"/>
        </w:rPr>
      </w:pPr>
      <w:r>
        <w:rPr>
          <w:rFonts w:eastAsia="Times New Roman" w:cs="Times New Roman"/>
          <w:bCs/>
          <w:szCs w:val="24"/>
          <w:shd w:fill="FFFFFF" w:val="clear"/>
          <w:lang w:eastAsia="ru-RU"/>
        </w:rPr>
        <w:tab/>
        <w:t>Исполнение доходных договоров:</w:t>
      </w:r>
    </w:p>
    <w:p>
      <w:pPr>
        <w:pStyle w:val="Normal"/>
        <w:ind w:firstLine="432"/>
        <w:jc w:val="both"/>
        <w:rPr>
          <w:szCs w:val="24"/>
        </w:rPr>
      </w:pPr>
      <w:r>
        <w:rPr>
          <w:szCs w:val="24"/>
        </w:rPr>
        <w:t xml:space="preserve">- №1240-129-2021 от 12.07.2021 «Строительно-монтажные и пусконаладочные работы по замене гидроагрегата ст.№1,4,7» для нужд филиала ПАО «РусГидро»-«Нижегородская ГЭС» </w:t>
      </w:r>
      <w:r>
        <w:rPr>
          <w:rFonts w:eastAsia="Times New Roman" w:cs="Times New Roman"/>
          <w:bCs/>
          <w:szCs w:val="24"/>
          <w:shd w:fill="FFFFFF" w:val="clear"/>
          <w:lang w:eastAsia="ru-RU"/>
        </w:rPr>
        <w:t>(заключенный между ПАО «РусГидро» и АО «Гидроремонт-ВКК»)</w:t>
      </w:r>
      <w:r>
        <w:rPr>
          <w:rStyle w:val="Style"/>
          <w:b w:val="false"/>
          <w:bCs/>
          <w:i w:val="false"/>
          <w:szCs w:val="24"/>
          <w:shd w:fill="FFFFFF" w:val="clear"/>
        </w:rPr>
        <w:t>.</w:t>
      </w:r>
    </w:p>
    <w:p>
      <w:pPr>
        <w:pStyle w:val="Normal"/>
        <w:ind w:firstLine="432"/>
        <w:jc w:val="both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firstLine="709"/>
        <w:rPr>
          <w:caps/>
          <w:lang w:val="ru-RU"/>
        </w:rPr>
      </w:pPr>
      <w:bookmarkStart w:id="4" w:name="_Toc75446573"/>
      <w:bookmarkStart w:id="5" w:name="_Toc51339693"/>
      <w:r>
        <w:rPr/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1"/>
        </w:numPr>
        <w:ind w:left="0" w:firstLine="709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jc w:val="both"/>
        <w:rPr>
          <w:szCs w:val="24"/>
        </w:rPr>
      </w:pPr>
      <w:bookmarkStart w:id="8" w:name="_Toc75446576"/>
      <w:bookmarkStart w:id="9" w:name="_Toc51339695"/>
      <w:r>
        <w:rPr>
          <w:szCs w:val="24"/>
        </w:rPr>
        <w:t xml:space="preserve">Таблица 2.1 Перечень </w:t>
      </w:r>
      <w:bookmarkEnd w:id="9"/>
      <w:r>
        <w:rPr>
          <w:szCs w:val="24"/>
        </w:rPr>
        <w:t>и объем закупаемой продукци</w:t>
      </w:r>
      <w:bookmarkEnd w:id="8"/>
      <w:r>
        <w:rPr>
          <w:szCs w:val="24"/>
        </w:rPr>
        <w:t>и</w:t>
      </w:r>
    </w:p>
    <w:tbl>
      <w:tblPr>
        <w:tblStyle w:val="affffe"/>
        <w:tblW w:w="948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4"/>
        <w:gridCol w:w="6076"/>
        <w:gridCol w:w="1302"/>
        <w:gridCol w:w="1427"/>
      </w:tblGrid>
      <w:tr>
        <w:trPr>
          <w:trHeight w:val="567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п/п</w:t>
            </w:r>
          </w:p>
        </w:tc>
        <w:tc>
          <w:tcPr>
            <w:tcW w:w="6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3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14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Количество</w:t>
            </w:r>
          </w:p>
        </w:tc>
      </w:tr>
      <w:tr>
        <w:trPr>
          <w:trHeight w:val="221" w:hRule="atLeast"/>
        </w:trPr>
        <w:tc>
          <w:tcPr>
            <w:tcW w:w="674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 w:val="22"/>
                <w:szCs w:val="24"/>
                <w:lang w:val="ru-RU" w:eastAsia="en-US" w:bidi="ar-SA"/>
              </w:rPr>
              <w:t>1</w:t>
            </w:r>
          </w:p>
        </w:tc>
        <w:tc>
          <w:tcPr>
            <w:tcW w:w="6076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 w:val="22"/>
                <w:szCs w:val="24"/>
                <w:lang w:val="ru-RU" w:eastAsia="en-US" w:bidi="ar-SA"/>
              </w:rPr>
              <w:t>2</w:t>
            </w:r>
          </w:p>
        </w:tc>
        <w:tc>
          <w:tcPr>
            <w:tcW w:w="1302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 w:val="22"/>
                <w:szCs w:val="24"/>
                <w:lang w:val="ru-RU" w:eastAsia="en-US" w:bidi="ar-SA"/>
              </w:rPr>
              <w:t>3</w:t>
            </w:r>
          </w:p>
        </w:tc>
        <w:tc>
          <w:tcPr>
            <w:tcW w:w="1427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 w:val="22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400" w:hRule="atLeast"/>
        </w:trPr>
        <w:tc>
          <w:tcPr>
            <w:tcW w:w="6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</w:r>
          </w:p>
        </w:tc>
        <w:tc>
          <w:tcPr>
            <w:tcW w:w="60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/>
                <w:kern w:val="0"/>
                <w:sz w:val="22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2"/>
                <w:szCs w:val="24"/>
                <w:lang w:val="ru-RU" w:eastAsia="en-US" w:bidi="ar-SA"/>
              </w:rPr>
              <w:t>Шкаф ШАОТ блока Т-7</w:t>
            </w:r>
          </w:p>
        </w:tc>
        <w:tc>
          <w:tcPr>
            <w:tcW w:w="2729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4"/>
                <w:szCs w:val="24"/>
              </w:rPr>
            </w:pPr>
            <w:r>
              <w:rPr>
                <w:rFonts w:eastAsia="Calibri" w:cs=""/>
                <w:iCs/>
                <w:color w:val="000000"/>
                <w:spacing w:val="-4"/>
                <w:kern w:val="0"/>
                <w:sz w:val="22"/>
                <w:szCs w:val="24"/>
                <w:lang w:val="ru-RU" w:eastAsia="en-US" w:bidi="ar-SA"/>
              </w:rPr>
              <w:t>В соответствии с приложением №1,  к настоящим Техническим требованиям</w:t>
            </w:r>
          </w:p>
        </w:tc>
      </w:tr>
      <w:tr>
        <w:trPr>
          <w:trHeight w:val="400" w:hRule="atLeast"/>
        </w:trPr>
        <w:tc>
          <w:tcPr>
            <w:tcW w:w="9479" w:type="dxa"/>
            <w:gridSpan w:val="4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left"/>
              <w:rPr>
                <w:kern w:val="0"/>
                <w:sz w:val="22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Поставка оборудования выполняется в таком объёме, которая позволяет начать его использование без доработки и закупки дополнительных комплектующих, расходных материалов и изделий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1"/>
        </w:numPr>
        <w:ind w:left="0" w:firstLine="709"/>
        <w:rPr/>
      </w:pPr>
      <w:r>
        <w:rPr/>
        <w:t xml:space="preserve">Требования к срокам поставки продукции </w:t>
      </w:r>
    </w:p>
    <w:p>
      <w:pPr>
        <w:pStyle w:val="Normal"/>
        <w:rPr/>
      </w:pPr>
      <w:bookmarkStart w:id="10" w:name="_Toc75446579"/>
      <w:bookmarkStart w:id="11" w:name="_Toc50125127"/>
      <w:bookmarkStart w:id="12" w:name="_Toc51339697"/>
      <w:r>
        <w:rPr>
          <w:rFonts w:eastAsia="Calibri"/>
          <w:szCs w:val="24"/>
          <w:lang w:eastAsia="x-none"/>
        </w:rPr>
        <w:t xml:space="preserve">Таблица 2.2 </w:t>
      </w:r>
      <w:bookmarkStart w:id="13" w:name="_Hlk50465284"/>
      <w:r>
        <w:rPr>
          <w:rFonts w:eastAsia="Calibri"/>
          <w:szCs w:val="24"/>
          <w:lang w:eastAsia="x-none"/>
        </w:rPr>
        <w:t xml:space="preserve">Требования по срокам </w:t>
      </w:r>
      <w:bookmarkEnd w:id="11"/>
      <w:bookmarkEnd w:id="12"/>
      <w:bookmarkEnd w:id="13"/>
      <w:r>
        <w:rPr>
          <w:rFonts w:eastAsia="Calibri"/>
          <w:szCs w:val="24"/>
          <w:lang w:eastAsia="x-none"/>
        </w:rPr>
        <w:t>поставки продукции</w:t>
      </w:r>
      <w:bookmarkEnd w:id="10"/>
      <w:r>
        <w:rPr>
          <w:rFonts w:eastAsia="Calibri"/>
          <w:szCs w:val="24"/>
          <w:lang w:eastAsia="x-none"/>
        </w:rPr>
        <w:t xml:space="preserve"> </w:t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2"/>
        <w:gridCol w:w="3746"/>
        <w:gridCol w:w="2210"/>
        <w:gridCol w:w="2835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1.1.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 xml:space="preserve">Шкаф ШАОТ  </w:t>
            </w:r>
            <w:r>
              <w:rPr>
                <w:rFonts w:eastAsia="Calibri"/>
                <w:color w:val="000000"/>
                <w:szCs w:val="24"/>
              </w:rPr>
              <w:t>блока Т-7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 xml:space="preserve">В течение </w:t>
            </w:r>
            <w:r>
              <w:rPr>
                <w:color w:val="000000"/>
                <w:szCs w:val="24"/>
                <w:shd w:fill="FFFF00" w:val="clear"/>
              </w:rPr>
              <w:t>120</w:t>
            </w:r>
            <w:r>
              <w:rPr>
                <w:szCs w:val="24"/>
              </w:rPr>
              <w:t xml:space="preserve"> 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rFonts w:eastAsia="Calibri"/>
          <w:szCs w:val="24"/>
          <w:lang w:eastAsia="x-none"/>
        </w:rPr>
      </w:pPr>
      <w:bookmarkStart w:id="14" w:name="_Toc75446582"/>
      <w:r>
        <w:rPr>
          <w:rFonts w:eastAsia="Calibri"/>
          <w:szCs w:val="24"/>
          <w:lang w:eastAsia="x-none"/>
        </w:rPr>
        <w:t xml:space="preserve">          </w:t>
      </w:r>
      <w:r>
        <w:rPr>
          <w:rFonts w:eastAsia="Calibri"/>
          <w:szCs w:val="24"/>
          <w:lang w:eastAsia="x-none"/>
        </w:rPr>
        <w:t>Таблица 2.3. Требования к продукции</w:t>
      </w:r>
      <w:bookmarkEnd w:id="14"/>
    </w:p>
    <w:tbl>
      <w:tblPr>
        <w:tblW w:w="152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39"/>
        <w:gridCol w:w="4278"/>
        <w:gridCol w:w="1985"/>
        <w:gridCol w:w="2410"/>
        <w:gridCol w:w="1700"/>
        <w:gridCol w:w="2129"/>
        <w:gridCol w:w="2008"/>
      </w:tblGrid>
      <w:tr>
        <w:trPr>
          <w:trHeight w:val="20" w:hRule="atLeast"/>
        </w:trPr>
        <w:tc>
          <w:tcPr>
            <w:tcW w:w="1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Cs w:val="24"/>
              </w:rPr>
              <w:t>Наименование продукции (позиции № 1.1. Таблицы 2.1):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outlineLvl w:val="0"/>
              <w:rPr>
                <w:szCs w:val="24"/>
              </w:rPr>
            </w:pPr>
            <w:r>
              <w:rPr>
                <w:b/>
                <w:bCs/>
                <w:szCs w:val="24"/>
              </w:rPr>
              <w:t>Поставка шкафа ШАОТ  блока Т-7  для выполнения строительно-монтажных работ на Нижегородской ГЭС</w:t>
            </w:r>
            <w:r>
              <w:rPr>
                <w:b/>
                <w:bCs/>
                <w:color w:val="000000"/>
                <w:szCs w:val="24"/>
              </w:rPr>
              <w:t xml:space="preserve"> (далее продукция)</w:t>
            </w:r>
          </w:p>
        </w:tc>
      </w:tr>
      <w:tr>
        <w:trPr>
          <w:trHeight w:val="20" w:hRule="atLeast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4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продукции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Соответствие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стандартам</w:t>
            </w:r>
          </w:p>
        </w:tc>
        <w:tc>
          <w:tcPr>
            <w:tcW w:w="4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Calibri"/>
                <w:szCs w:val="24"/>
                <w:lang w:eastAsia="ar-SA"/>
              </w:rPr>
            </w:pPr>
            <w:r>
              <w:rPr>
                <w:b/>
                <w:bCs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4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0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6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145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0" w:hRule="atLeast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1.1.</w:t>
            </w:r>
          </w:p>
        </w:tc>
        <w:tc>
          <w:tcPr>
            <w:tcW w:w="4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Шкаф ШАОТ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/>
                <w:szCs w:val="24"/>
                <w:lang w:eastAsia="ru-RU"/>
              </w:rPr>
              <w:t>Тип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ШАОТ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-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-</w:t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Габаритные размеры шкафа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color w:val="000000"/>
                <w:szCs w:val="24"/>
              </w:rPr>
              <w:t>2000х800х600мм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Габаритные размеры</w:t>
            </w:r>
            <w:r>
              <w:rPr>
                <w:rFonts w:eastAsia="Times New Roman" w:cs="Times New Roman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цоколя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200х800х600мм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Габаритные размеры </w:t>
            </w:r>
            <w:r>
              <w:rPr>
                <w:rFonts w:eastAsia="Times New Roman" w:cs="Times New Roman"/>
                <w:lang w:val="en-US" w:eastAsia="ru-RU"/>
              </w:rPr>
              <w:t>надставки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lang w:eastAsia="ru-RU"/>
              </w:rPr>
              <w:t>200х800х600мм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Расстояние от передней двери шкафа до панели установки аппаратов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450мм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Цвет шкафа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color w:val="000000"/>
                <w:szCs w:val="24"/>
              </w:rPr>
              <w:t>RAL7035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Цвет  цоколя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color w:val="000000"/>
                <w:szCs w:val="24"/>
              </w:rPr>
              <w:t>RAL7022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Цвет </w:t>
            </w:r>
            <w:r>
              <w:rPr>
                <w:rFonts w:eastAsia="Times New Roman" w:cs="Times New Roman"/>
                <w:lang w:val="en-US" w:eastAsia="ru-RU"/>
              </w:rPr>
              <w:t>надставки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color w:val="000000"/>
                <w:szCs w:val="24"/>
              </w:rPr>
              <w:t>RAL7035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Степень защиты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IP54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Ввод кабеля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/>
              <w:t>снизу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Комплектация в  соответствии с чертежом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Да.</w:t>
            </w:r>
          </w:p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Техническое задание на изготовление щитовых устройств 027-014-7-ЭС5.ЗЗ (изм.1) </w:t>
            </w:r>
            <w:r>
              <w:rPr>
                <w:rFonts w:eastAsia="Times New Roman" w:cs="Times New Roman"/>
                <w:szCs w:val="24"/>
                <w:lang w:eastAsia="ru-RU"/>
              </w:rPr>
              <w:t>(прил. №1 к настоящим техническим требованиям)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Примечание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Без "Реле промежуточное Siemens 7PA2241-1</w:t>
            </w:r>
          </w:p>
          <w:p>
            <w:pPr>
              <w:pStyle w:val="Normal"/>
              <w:widowControl w:val="false"/>
              <w:rPr/>
            </w:pPr>
            <w:r>
              <w:rPr/>
              <w:t>Шкаф должен соответствовать характеристикам пункта 1.1 или 1.2.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>
          <w:trHeight w:val="71" w:hRule="atLeast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/>
              <w:t>1.2.</w:t>
            </w:r>
          </w:p>
        </w:tc>
        <w:tc>
          <w:tcPr>
            <w:tcW w:w="4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Шкаф ШАОТ</w:t>
            </w:r>
          </w:p>
          <w:p>
            <w:pPr>
              <w:pStyle w:val="Normal"/>
              <w:widowControl w:val="false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/>
                <w:szCs w:val="24"/>
                <w:lang w:eastAsia="ru-RU"/>
              </w:rPr>
              <w:t>Тип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ШАОТ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/>
                <w:szCs w:val="24"/>
                <w:lang w:eastAsia="ru-RU"/>
              </w:rPr>
              <w:t>-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>
        <w:trPr>
          <w:trHeight w:val="235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Габаритные размеры шкафа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color w:val="000000"/>
                <w:szCs w:val="24"/>
              </w:rPr>
              <w:t>2200х800х600мм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Габаритные размеры цоколя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200х800х600мм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Расстояние от передней двери шкафа до панели установки аппаратов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val="en-US"/>
              </w:rPr>
              <w:t>450мм</w:t>
            </w:r>
            <w:bookmarkStart w:id="15" w:name="_GoBack"/>
            <w:bookmarkEnd w:id="15"/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Цвет шкафа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color w:val="000000"/>
                <w:szCs w:val="24"/>
              </w:rPr>
              <w:t>RAL7035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Цвет  цоколя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color w:val="000000"/>
                <w:szCs w:val="24"/>
              </w:rPr>
              <w:t>RAL7022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Степень защиты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IP54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Ввод кабеля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снизу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5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Комплектация в  соответствии с чертежом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Да.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Техническое задание на изготовление щитовых устройств 027-014-7-ЭС5.ЗЗ (изм.1) </w:t>
            </w:r>
            <w:r>
              <w:rPr>
                <w:rFonts w:eastAsia="Times New Roman" w:cs="Times New Roman"/>
                <w:szCs w:val="24"/>
                <w:lang w:eastAsia="ru-RU"/>
              </w:rPr>
              <w:t>(прил. №1 к настоящим техническим требованиям)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0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" w:hRule="atLeast"/>
        </w:trPr>
        <w:tc>
          <w:tcPr>
            <w:tcW w:w="7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Примечание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>Без "Реле промежуточное Siemens 7PA2241-1</w:t>
            </w:r>
          </w:p>
          <w:p>
            <w:pPr>
              <w:pStyle w:val="Normal"/>
              <w:widowControl w:val="false"/>
              <w:rPr/>
            </w:pPr>
            <w:r>
              <w:rPr/>
              <w:t>Шкаф должен соответствовать характеристикам пункта 1.1 или 1.2.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0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0373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4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Место поставки</w:t>
            </w:r>
          </w:p>
        </w:tc>
        <w:tc>
          <w:tcPr>
            <w:tcW w:w="60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szCs w:val="24"/>
              </w:rPr>
            </w:pPr>
            <w:r>
              <w:rPr>
                <w:color w:val="000000"/>
                <w:szCs w:val="24"/>
              </w:rPr>
              <w:t>606520, Российская Федерация, Нижегородская область, г. Заволжье, ул. Привокзальная, д. 14</w:t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4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Приемка продукции</w:t>
            </w:r>
          </w:p>
        </w:tc>
        <w:tc>
          <w:tcPr>
            <w:tcW w:w="60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szCs w:val="24"/>
              </w:rPr>
            </w:pPr>
            <w:r>
              <w:rPr>
                <w:szCs w:val="24"/>
              </w:rPr>
              <w:t>Осуществляется только в рабочие дни с 9-00 до 11-00 и с 13-00 до 16-00.</w:t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103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по тел. </w:t>
            </w:r>
            <w:r>
              <w:rPr>
                <w:rFonts w:eastAsia="Times New Roman" w:cs="Times New Roman"/>
                <w:szCs w:val="24"/>
                <w:shd w:fill="FFFF00" w:val="clear"/>
                <w:lang w:eastAsia="ru-RU"/>
              </w:rPr>
              <w:t>8-920-015-83-43</w:t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86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4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Сроки гарантии</w:t>
            </w:r>
          </w:p>
        </w:tc>
        <w:tc>
          <w:tcPr>
            <w:tcW w:w="4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Не менее 24 месяцев с даты подписания сторонами ТОРГ-12 (УПД)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86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4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43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унифицированной формы ТОРГ-12(УПД) в 2 экз., транспортную накладную.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- Паспорт и руководство (инструкция) по эксплуатации на русском языке;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- Сертификат или декларация соответствия согласно ТР ТС 004/2011 О безопасности низковольтного оборудования»;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- Сертификат или декларация соответствия согласно ТР ТС 020/2011 «Электромагнитная совместимость технических средств».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</w:t>
            </w:r>
          </w:p>
        </w:tc>
        <w:tc>
          <w:tcPr>
            <w:tcW w:w="867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5.1.</w:t>
            </w:r>
          </w:p>
        </w:tc>
        <w:tc>
          <w:tcPr>
            <w:tcW w:w="103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i/>
                <w:sz w:val="22"/>
                <w:lang w:eastAsia="x-none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Style w:val="Style"/>
                <w:rFonts w:eastAsia="Times New Roman" w:cs="Times New Roman"/>
                <w:b w:val="false"/>
                <w:bCs/>
                <w:iCs/>
                <w:color w:val="000000"/>
                <w:sz w:val="22"/>
                <w:shd w:fill="auto" w:val="clear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008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6.</w:t>
            </w:r>
          </w:p>
        </w:tc>
        <w:tc>
          <w:tcPr>
            <w:tcW w:w="1451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Требования к рабочей документации и чертежам</w:t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6.1</w:t>
            </w:r>
          </w:p>
        </w:tc>
        <w:tc>
          <w:tcPr>
            <w:tcW w:w="1451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Рабочая документация и чертежи предоставляются по официальному запросу через секретаря закупочной комиссии.</w:t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426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numPr>
          <w:ilvl w:val="0"/>
          <w:numId w:val="1"/>
        </w:numPr>
        <w:tabs>
          <w:tab w:val="clear" w:pos="709"/>
          <w:tab w:val="left" w:pos="0" w:leader="none"/>
        </w:tabs>
        <w:spacing w:before="120" w:after="60"/>
        <w:ind w:left="357" w:hanging="357"/>
        <w:jc w:val="center"/>
        <w:rPr>
          <w:lang w:val="ru-RU"/>
        </w:rPr>
      </w:pPr>
      <w:bookmarkStart w:id="16" w:name="_Toc51339699"/>
      <w:bookmarkStart w:id="17" w:name="_Toc46743519"/>
      <w:bookmarkStart w:id="18" w:name="_Toc75446583"/>
      <w:bookmarkStart w:id="19" w:name="_Toc53393312"/>
      <w:r>
        <w:rPr>
          <w:lang w:val="ru-RU"/>
        </w:rPr>
        <w:t>Требования к документации по ценообразованию</w:t>
      </w:r>
      <w:bookmarkEnd w:id="19"/>
      <w:r>
        <w:rPr>
          <w:lang w:val="ru-RU"/>
        </w:rPr>
        <w:t xml:space="preserve"> на этапе закупки</w:t>
      </w:r>
      <w:bookmarkEnd w:id="18"/>
    </w:p>
    <w:p>
      <w:pPr>
        <w:pStyle w:val="Normal"/>
        <w:numPr>
          <w:ilvl w:val="1"/>
          <w:numId w:val="10"/>
        </w:numPr>
        <w:ind w:left="0" w:hanging="0"/>
        <w:jc w:val="both"/>
        <w:rPr>
          <w:rFonts w:eastAsia="Times New Roman" w:cs="Times New Roman"/>
          <w:i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0" w:name="_Hlk88325985"/>
      <w:r>
        <w:rPr>
          <w:rFonts w:eastAsia="Times New Roman" w:cs="Times New Roman"/>
          <w:i/>
          <w:szCs w:val="24"/>
          <w:lang w:eastAsia="ru-RU"/>
        </w:rPr>
        <w:t>(с учетом прилагаемой к ней инструкции по заполнению)</w:t>
      </w:r>
      <w:bookmarkEnd w:id="20"/>
      <w:r>
        <w:rPr>
          <w:rFonts w:eastAsia="Times New Roman" w:cs="Times New Roman"/>
          <w:i/>
          <w:szCs w:val="24"/>
          <w:lang w:eastAsia="ru-RU"/>
        </w:rPr>
        <w:t>, приведенной в Документации о закупке.</w:t>
      </w:r>
    </w:p>
    <w:p>
      <w:pPr>
        <w:pStyle w:val="Normal"/>
        <w:numPr>
          <w:ilvl w:val="1"/>
          <w:numId w:val="11"/>
        </w:numPr>
        <w:ind w:left="0" w:hanging="0"/>
        <w:jc w:val="both"/>
        <w:rPr>
          <w:rFonts w:eastAsia="Times New Roman" w:cs="Times New Roman"/>
          <w:i/>
          <w:i/>
          <w:szCs w:val="24"/>
          <w:lang w:eastAsia="ru-RU"/>
        </w:rPr>
      </w:pPr>
      <w:bookmarkStart w:id="21" w:name="_Hlk88327292"/>
      <w:r>
        <w:rPr>
          <w:rFonts w:eastAsia="Times New Roman" w:cs="Times New Roman"/>
          <w:i/>
          <w:szCs w:val="24"/>
          <w:lang w:eastAsia="ru-RU"/>
        </w:rPr>
        <w:t>Дополнительные документы по ценообразованию</w:t>
      </w:r>
      <w:bookmarkEnd w:id="21"/>
      <w:r>
        <w:rPr>
          <w:rFonts w:eastAsia="Times New Roman" w:cs="Times New Roman"/>
          <w:i/>
          <w:szCs w:val="24"/>
          <w:lang w:eastAsia="ru-RU"/>
        </w:rPr>
        <w:t xml:space="preserve"> в состав заявки не включаются.</w:t>
      </w:r>
      <w:bookmarkEnd w:id="16"/>
      <w:bookmarkEnd w:id="17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b/>
          <w:bCs/>
          <w:szCs w:val="24"/>
        </w:rPr>
      </w:pPr>
      <w:r>
        <w:rPr>
          <w:b/>
          <w:bCs/>
          <w:szCs w:val="24"/>
        </w:rPr>
        <w:t>4.</w:t>
        <w:tab/>
        <w:t>Приложения</w:t>
      </w:r>
    </w:p>
    <w:p>
      <w:pPr>
        <w:pStyle w:val="Normal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rPr>
          <w:szCs w:val="24"/>
          <w:lang w:eastAsia="x-none"/>
        </w:rPr>
      </w:pPr>
      <w:r>
        <w:rPr>
          <w:szCs w:val="24"/>
        </w:rPr>
        <w:t>1. Приложение № 1:</w:t>
      </w:r>
    </w:p>
    <w:p>
      <w:pPr>
        <w:pStyle w:val="Normal"/>
        <w:rPr>
          <w:szCs w:val="24"/>
          <w:lang w:eastAsia="x-none"/>
        </w:rPr>
      </w:pPr>
      <w:r>
        <w:rPr/>
        <w:t xml:space="preserve">- </w:t>
      </w:r>
      <w:r>
        <w:rPr>
          <w:rFonts w:eastAsia="Times New Roman" w:cs="Times New Roman"/>
          <w:color w:val="000000"/>
          <w:szCs w:val="24"/>
          <w:lang w:eastAsia="ru-RU"/>
        </w:rPr>
        <w:t xml:space="preserve">Техническое задание на изготовление щитовых устройств. </w:t>
      </w:r>
      <w:r>
        <w:rPr>
          <w:rFonts w:eastAsia="Arial Unicode MS" w:cs="Times New Roman"/>
          <w:color w:val="000000"/>
          <w:szCs w:val="24"/>
          <w:lang w:eastAsia="ru-RU"/>
        </w:rPr>
        <w:t xml:space="preserve">Шкаф ШАОТ  </w:t>
      </w:r>
      <w:r>
        <w:rPr>
          <w:rFonts w:eastAsia="Calibri"/>
          <w:color w:val="000000"/>
          <w:szCs w:val="24"/>
        </w:rPr>
        <w:t xml:space="preserve">блока Т-7. </w:t>
      </w:r>
      <w:r>
        <w:rPr>
          <w:rFonts w:eastAsia="Times New Roman" w:cs="Times New Roman"/>
          <w:color w:val="000000"/>
          <w:szCs w:val="24"/>
          <w:lang w:eastAsia="ru-RU"/>
        </w:rPr>
        <w:t xml:space="preserve">027-014-7-ЭС5.ЗЗ (изм.1) </w:t>
      </w:r>
    </w:p>
    <w:p>
      <w:pPr>
        <w:pStyle w:val="Normal"/>
        <w:spacing w:lineRule="auto" w:line="360"/>
        <w:jc w:val="both"/>
        <w:rPr>
          <w:color w:val="C9211E"/>
        </w:rPr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98823143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2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7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94683957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6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7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33778778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7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7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7"/>
    <w:lvlOverride w:ilvl="0">
      <w:startOverride w:val="3"/>
    </w:lvlOverride>
    <w:lvlOverride w:ilvl="1">
      <w:startOverride w:val="1"/>
    </w:lvlOverride>
  </w:num>
  <w:num w:numId="11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7a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qFormat/>
    <w:rsid w:val="00cd6e4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7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6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1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Style18" w:customStyle="1">
    <w:name w:val="Текст Знак"/>
    <w:basedOn w:val="DefaultParagraphFont"/>
    <w:link w:val="PlainText"/>
    <w:uiPriority w:val="99"/>
    <w:qFormat/>
    <w:rsid w:val="00003389"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sid w:val="00003389"/>
    <w:rPr/>
  </w:style>
  <w:style w:type="character" w:styleId="Extended-textshort" w:customStyle="1">
    <w:name w:val="extended-text__short"/>
    <w:qFormat/>
    <w:rsid w:val="00003389"/>
    <w:rPr/>
  </w:style>
  <w:style w:type="character" w:styleId="15" w:customStyle="1">
    <w:name w:val="Просмотренная гиперссылка1"/>
    <w:qFormat/>
    <w:rsid w:val="00003389"/>
    <w:rPr>
      <w:color w:val="800080"/>
      <w:u w:val="single"/>
    </w:rPr>
  </w:style>
  <w:style w:type="character" w:styleId="Productcode" w:customStyle="1">
    <w:name w:val="product_code"/>
    <w:qFormat/>
    <w:rsid w:val="00003389"/>
    <w:rPr/>
  </w:style>
  <w:style w:type="character" w:styleId="Add-data-value" w:customStyle="1">
    <w:name w:val="add-data-value"/>
    <w:basedOn w:val="DefaultParagraphFont"/>
    <w:qFormat/>
    <w:rsid w:val="00003389"/>
    <w:rPr/>
  </w:style>
  <w:style w:type="character" w:styleId="Extendedtext-short" w:customStyle="1">
    <w:name w:val="extendedtext-short"/>
    <w:qFormat/>
    <w:rsid w:val="00003389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" w:customStyle="1">
    <w:name w:val="index heading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rsid w:val="00734d42"/>
    <w:pPr>
      <w:numPr>
        <w:ilvl w:val="0"/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6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7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rsid w:val="004900e5"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4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9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cd6e45"/>
    <w:pPr>
      <w:numPr>
        <w:ilvl w:val="3"/>
        <w:numId w:val="5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5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5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cd6e45"/>
    <w:pPr>
      <w:keepNext w:val="true"/>
      <w:numPr>
        <w:ilvl w:val="5"/>
        <w:numId w:val="5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1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rsid w:val="004900e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2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8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 w:customStyle="1">
    <w:name w:val="Обычный2"/>
    <w:qFormat/>
    <w:rsid w:val="0000338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uiPriority w:val="99"/>
    <w:unhideWhenUsed/>
    <w:qFormat/>
    <w:rsid w:val="00003389"/>
    <w:pPr/>
    <w:rPr>
      <w:rFonts w:ascii="Calibri" w:hAnsi="Calibri" w:eastAsia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rsid w:val="00003389"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38" w:customStyle="1">
    <w:name w:val="Обычный3"/>
    <w:qFormat/>
    <w:rsid w:val="004900e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Application>AlterOffice/3.4.0.9$Linux_X86_64 LibreOffice_project/b8daf9e823b1a5463a2f48435ddc2e8696e7d4fc</Application>
  <AppVersion>15.0000</AppVersion>
  <Pages>7</Pages>
  <Words>809</Words>
  <Characters>5686</Characters>
  <CharactersWithSpaces>6359</CharactersWithSpaces>
  <Paragraphs>162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>kudryavtsevaen@corp.gidroogk.com</cp:lastModifiedBy>
  <cp:lastPrinted>2025-08-28T09:13:00Z</cp:lastPrinted>
  <dcterms:modified xsi:type="dcterms:W3CDTF">2026-08-19T09:59:33Z</dcterms:modified>
  <cp:revision>212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