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</w:rPr>
        <w:t>ОКП</w:t>
      </w:r>
      <w:r>
        <w:rPr>
          <w:color w:val="000000"/>
          <w:szCs w:val="24"/>
        </w:rPr>
        <w:t>Д2 28.99 П</w:t>
      </w:r>
      <w:r>
        <w:rPr>
          <w:szCs w:val="24"/>
        </w:rPr>
        <w:t>оставка винтового насоса с клапаном для выполнения работ на Нижегородской ГЭС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</w:rPr>
        <w:t>(Лот №__________)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Cs w:val="24"/>
        </w:rPr>
      </w:pPr>
      <w:r>
        <w:rPr>
          <w:rFonts w:eastAsia="Calibri"/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>
          <w:lang w:val="ru-RU"/>
        </w:rPr>
        <w:t xml:space="preserve">    </w:t>
      </w: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2" w:name="_Toc46743506"/>
      <w:bookmarkStart w:id="3" w:name="_Toc75446568"/>
      <w:r>
        <w:rPr/>
        <w:t>Наименование закупаемой продукции</w:t>
      </w:r>
      <w:bookmarkEnd w:id="2"/>
      <w:bookmarkEnd w:id="3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both"/>
        <w:outlineLvl w:val="0"/>
        <w:rPr>
          <w:szCs w:val="24"/>
        </w:rPr>
      </w:pPr>
      <w:r>
        <w:rPr>
          <w:szCs w:val="24"/>
        </w:rPr>
        <w:tab/>
        <w:t>ОКП</w:t>
      </w:r>
      <w:r>
        <w:rPr>
          <w:color w:val="000000"/>
          <w:szCs w:val="24"/>
        </w:rPr>
        <w:t>Д2 28.99 Поста</w:t>
      </w:r>
      <w:r>
        <w:rPr>
          <w:szCs w:val="24"/>
        </w:rPr>
        <w:t>вка винтового насоса с клапаном для выполнения работ на Нижегородской ГЭС (далее продукция).</w:t>
      </w:r>
      <w:bookmarkStart w:id="4" w:name="_Toc75446569"/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5" w:name="_Toc46743507"/>
      <w:r>
        <w:rPr/>
        <w:t xml:space="preserve">Цель </w:t>
      </w:r>
      <w:bookmarkEnd w:id="5"/>
      <w:r>
        <w:rPr/>
        <w:t xml:space="preserve">использования закупаемой продукции </w:t>
      </w:r>
      <w:bookmarkEnd w:id="4"/>
      <w:r>
        <w:rPr/>
        <w:t xml:space="preserve"> </w:t>
      </w:r>
    </w:p>
    <w:p>
      <w:pPr>
        <w:pStyle w:val="Normal"/>
        <w:ind w:firstLine="432"/>
        <w:jc w:val="both"/>
        <w:rPr>
          <w:rFonts w:eastAsia="Times New Roman" w:cs="Times New Roman"/>
          <w:bCs/>
          <w:szCs w:val="24"/>
          <w:shd w:fill="FFFFFF" w:val="clear"/>
          <w:lang w:eastAsia="ru-RU"/>
        </w:rPr>
      </w:pPr>
      <w:r>
        <w:rPr>
          <w:rFonts w:eastAsia="Times New Roman" w:cs="Times New Roman"/>
          <w:bCs/>
          <w:szCs w:val="24"/>
          <w:shd w:fill="FFFFFF" w:val="clear"/>
          <w:lang w:eastAsia="ru-RU"/>
        </w:rPr>
        <w:tab/>
        <w:t>Исполнение доходных договоров:</w:t>
      </w:r>
    </w:p>
    <w:p>
      <w:pPr>
        <w:pStyle w:val="Normal"/>
        <w:ind w:firstLine="432"/>
        <w:jc w:val="both"/>
        <w:rPr>
          <w:szCs w:val="24"/>
        </w:rPr>
      </w:pPr>
      <w:r>
        <w:rPr>
          <w:szCs w:val="24"/>
        </w:rPr>
        <w:t xml:space="preserve">- №1240-129-2021 от 12.07.2021 «Строительно-монтажные и пусконаладочные работы по замене гидроагрегата ст.№1,4,7» для нужд филиала ПАО «РусГидро»-«Нижегородская ГЭС», </w:t>
      </w:r>
      <w:r>
        <w:rPr>
          <w:rFonts w:eastAsia="Times New Roman" w:cs="Times New Roman"/>
          <w:bCs/>
          <w:szCs w:val="24"/>
          <w:shd w:fill="FFFFFF" w:val="clear"/>
          <w:lang w:eastAsia="ru-RU"/>
        </w:rPr>
        <w:t>заключенный между ПАО «РусГидро» и АО «Гидроремонт-ВКК»</w:t>
      </w:r>
      <w:r>
        <w:rPr>
          <w:rStyle w:val="Style"/>
          <w:b w:val="false"/>
          <w:bCs/>
          <w:i w:val="false"/>
          <w:szCs w:val="24"/>
          <w:shd w:fill="FFFFFF" w:val="clear"/>
        </w:rPr>
        <w:t>.</w:t>
      </w:r>
    </w:p>
    <w:p>
      <w:pPr>
        <w:pStyle w:val="Normal"/>
        <w:ind w:firstLine="432"/>
        <w:jc w:val="both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firstLine="709"/>
        <w:rPr>
          <w:caps/>
          <w:lang w:val="ru-RU"/>
        </w:rPr>
      </w:pPr>
      <w:bookmarkStart w:id="6" w:name="_Toc51339693"/>
      <w:bookmarkStart w:id="7" w:name="_Toc75446573"/>
      <w:r>
        <w:rPr/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1"/>
        </w:numPr>
        <w:ind w:left="0" w:firstLine="709"/>
        <w:rPr/>
      </w:pPr>
      <w:bookmarkStart w:id="8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1"/>
        </w:numPr>
        <w:ind w:left="0" w:firstLine="709"/>
        <w:rPr/>
      </w:pPr>
      <w:bookmarkStart w:id="9" w:name="_Toc75446575"/>
      <w:r>
        <w:rPr/>
        <w:t>Перечень и объем закупаемой продукции</w:t>
      </w:r>
      <w:bookmarkEnd w:id="9"/>
    </w:p>
    <w:p>
      <w:pPr>
        <w:pStyle w:val="Normal"/>
        <w:jc w:val="both"/>
        <w:rPr>
          <w:szCs w:val="24"/>
        </w:rPr>
      </w:pPr>
      <w:bookmarkStart w:id="10" w:name="_Toc75446576"/>
      <w:bookmarkStart w:id="11" w:name="_Toc51339695"/>
      <w:r>
        <w:rPr>
          <w:szCs w:val="24"/>
        </w:rPr>
        <w:t xml:space="preserve">Таблица 2.1 Перечень </w:t>
      </w:r>
      <w:bookmarkEnd w:id="11"/>
      <w:r>
        <w:rPr>
          <w:szCs w:val="24"/>
        </w:rPr>
        <w:t>и объем закупаемой продукци</w:t>
      </w:r>
      <w:bookmarkEnd w:id="10"/>
      <w:r>
        <w:rPr>
          <w:szCs w:val="24"/>
        </w:rPr>
        <w:t>и</w:t>
      </w:r>
    </w:p>
    <w:tbl>
      <w:tblPr>
        <w:tblStyle w:val="affffe"/>
        <w:tblW w:w="948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4"/>
        <w:gridCol w:w="6076"/>
        <w:gridCol w:w="1308"/>
        <w:gridCol w:w="1421"/>
      </w:tblGrid>
      <w:tr>
        <w:trPr>
          <w:trHeight w:val="567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п/п</w:t>
            </w:r>
          </w:p>
        </w:tc>
        <w:tc>
          <w:tcPr>
            <w:tcW w:w="6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Количество</w:t>
            </w:r>
          </w:p>
        </w:tc>
      </w:tr>
      <w:tr>
        <w:trPr>
          <w:trHeight w:val="221" w:hRule="atLeast"/>
        </w:trPr>
        <w:tc>
          <w:tcPr>
            <w:tcW w:w="674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Cs w:val="24"/>
                <w:lang w:val="ru-RU" w:eastAsia="en-US" w:bidi="ar-SA"/>
              </w:rPr>
              <w:t>1</w:t>
            </w:r>
          </w:p>
        </w:tc>
        <w:tc>
          <w:tcPr>
            <w:tcW w:w="6076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Cs w:val="24"/>
                <w:lang w:val="ru-RU" w:eastAsia="en-US" w:bidi="ar-SA"/>
              </w:rPr>
              <w:t>2</w:t>
            </w:r>
          </w:p>
        </w:tc>
        <w:tc>
          <w:tcPr>
            <w:tcW w:w="1308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Cs w:val="24"/>
                <w:lang w:val="ru-RU" w:eastAsia="en-US" w:bidi="ar-SA"/>
              </w:rPr>
              <w:t>3</w:t>
            </w:r>
          </w:p>
        </w:tc>
        <w:tc>
          <w:tcPr>
            <w:tcW w:w="1421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400" w:hRule="atLeast"/>
        </w:trPr>
        <w:tc>
          <w:tcPr>
            <w:tcW w:w="6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60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Cs w:val="24"/>
                <w:lang w:val="ru-RU" w:eastAsia="en-US" w:bidi="ar-SA"/>
              </w:rPr>
              <w:t>Винтовой насос WOF 055 6 072</w:t>
            </w:r>
          </w:p>
        </w:tc>
        <w:tc>
          <w:tcPr>
            <w:tcW w:w="130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iCs/>
                <w:color w:val="000000"/>
                <w:spacing w:val="-4"/>
                <w:kern w:val="0"/>
                <w:szCs w:val="24"/>
                <w:lang w:val="ru-RU" w:eastAsia="en-US" w:bidi="ar-SA"/>
              </w:rPr>
              <w:t>шт</w:t>
            </w:r>
          </w:p>
        </w:tc>
        <w:tc>
          <w:tcPr>
            <w:tcW w:w="142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4"/>
                <w:szCs w:val="24"/>
              </w:rPr>
            </w:pPr>
            <w:r>
              <w:rPr>
                <w:rFonts w:eastAsia="Calibri" w:cs=""/>
                <w:spacing w:val="-4"/>
                <w:kern w:val="0"/>
                <w:szCs w:val="24"/>
                <w:lang w:val="ru-RU" w:eastAsia="en-US" w:bidi="ar-SA"/>
              </w:rPr>
              <w:t>1</w:t>
            </w:r>
          </w:p>
        </w:tc>
      </w:tr>
      <w:tr>
        <w:trPr>
          <w:trHeight w:val="400" w:hRule="atLeast"/>
        </w:trPr>
        <w:tc>
          <w:tcPr>
            <w:tcW w:w="67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60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Клапан AGAM-32/10/210-LX 24DC</w:t>
            </w:r>
          </w:p>
        </w:tc>
        <w:tc>
          <w:tcPr>
            <w:tcW w:w="130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4"/>
                <w:szCs w:val="24"/>
              </w:rPr>
            </w:pPr>
            <w:r>
              <w:rPr>
                <w:rFonts w:eastAsia="Calibri" w:cs=""/>
                <w:spacing w:val="-4"/>
                <w:kern w:val="0"/>
                <w:szCs w:val="24"/>
                <w:lang w:val="ru-RU" w:eastAsia="en-US" w:bidi="ar-SA"/>
              </w:rPr>
              <w:t>шт</w:t>
            </w:r>
          </w:p>
        </w:tc>
        <w:tc>
          <w:tcPr>
            <w:tcW w:w="142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4"/>
                <w:szCs w:val="24"/>
              </w:rPr>
            </w:pPr>
            <w:r>
              <w:rPr>
                <w:rFonts w:eastAsia="Calibri" w:cs=""/>
                <w:spacing w:val="-4"/>
                <w:kern w:val="0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1"/>
        </w:numPr>
        <w:ind w:left="0" w:firstLine="709"/>
        <w:rPr/>
      </w:pPr>
      <w:r>
        <w:rPr/>
        <w:t xml:space="preserve">Требования к срокам поставки продукции </w:t>
      </w:r>
    </w:p>
    <w:p>
      <w:pPr>
        <w:pStyle w:val="Normal"/>
        <w:rPr/>
      </w:pPr>
      <w:bookmarkStart w:id="12" w:name="_Toc75446579"/>
      <w:bookmarkStart w:id="13" w:name="_Toc51339697"/>
      <w:bookmarkStart w:id="14" w:name="_Toc50125127"/>
      <w:r>
        <w:rPr>
          <w:rFonts w:eastAsia="Calibri"/>
          <w:szCs w:val="24"/>
          <w:lang w:eastAsia="x-none"/>
        </w:rPr>
        <w:t xml:space="preserve">Таблица 2.2 </w:t>
      </w:r>
      <w:bookmarkStart w:id="15" w:name="_Hlk50465284"/>
      <w:r>
        <w:rPr>
          <w:rFonts w:eastAsia="Calibri"/>
          <w:szCs w:val="24"/>
          <w:lang w:eastAsia="x-none"/>
        </w:rPr>
        <w:t xml:space="preserve">Требования по срокам </w:t>
      </w:r>
      <w:bookmarkEnd w:id="13"/>
      <w:bookmarkEnd w:id="14"/>
      <w:bookmarkEnd w:id="15"/>
      <w:r>
        <w:rPr>
          <w:rFonts w:eastAsia="Calibri"/>
          <w:szCs w:val="24"/>
          <w:lang w:eastAsia="x-none"/>
        </w:rPr>
        <w:t>поставки продукции</w:t>
      </w:r>
      <w:bookmarkEnd w:id="12"/>
      <w:r>
        <w:rPr>
          <w:rFonts w:eastAsia="Calibri"/>
          <w:szCs w:val="24"/>
          <w:lang w:eastAsia="x-none"/>
        </w:rPr>
        <w:t xml:space="preserve"> </w:t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2"/>
        <w:gridCol w:w="3746"/>
        <w:gridCol w:w="2210"/>
        <w:gridCol w:w="2835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center"/>
              <w:outlineLvl w:val="0"/>
              <w:rPr/>
            </w:pPr>
            <w:r>
              <w:rPr>
                <w:rFonts w:eastAsia="Calibri"/>
                <w:color w:val="000000"/>
                <w:szCs w:val="24"/>
              </w:rPr>
              <w:t>ОКПД2 28.99 Поставка винтового насоса с клапаном для выполнения работ на Нижегородской ГЭС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 xml:space="preserve">В течение </w:t>
            </w:r>
            <w:r>
              <w:rPr>
                <w:color w:val="000000"/>
                <w:szCs w:val="24"/>
              </w:rPr>
              <w:t>120</w:t>
            </w:r>
            <w:r>
              <w:rPr>
                <w:szCs w:val="24"/>
              </w:rPr>
              <w:t xml:space="preserve"> календарных дней с даты подписания договора с правом досрочной поставки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rFonts w:eastAsia="Calibri"/>
          <w:szCs w:val="24"/>
          <w:lang w:eastAsia="x-none"/>
        </w:rPr>
      </w:pPr>
      <w:bookmarkStart w:id="16" w:name="_Toc75446582"/>
      <w:r>
        <w:rPr>
          <w:rFonts w:eastAsia="Calibri"/>
          <w:szCs w:val="24"/>
          <w:lang w:eastAsia="x-none"/>
        </w:rPr>
        <w:t xml:space="preserve">          </w:t>
      </w:r>
      <w:r>
        <w:rPr>
          <w:rFonts w:eastAsia="Calibri"/>
          <w:szCs w:val="24"/>
          <w:lang w:eastAsia="x-none"/>
        </w:rPr>
        <w:t>Таблица 2.3. Требования к продукции</w:t>
      </w:r>
      <w:bookmarkEnd w:id="16"/>
    </w:p>
    <w:p>
      <w:pPr>
        <w:pStyle w:val="Normal"/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</w:r>
    </w:p>
    <w:tbl>
      <w:tblPr>
        <w:tblW w:w="152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5"/>
        <w:gridCol w:w="3352"/>
        <w:gridCol w:w="3353"/>
        <w:gridCol w:w="4722"/>
        <w:gridCol w:w="2967"/>
      </w:tblGrid>
      <w:tr>
        <w:trPr>
          <w:trHeight w:val="20" w:hRule="atLeast"/>
        </w:trPr>
        <w:tc>
          <w:tcPr>
            <w:tcW w:w="15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Cs w:val="24"/>
              </w:rPr>
              <w:t>Наименование продукции (позиции № 1.1. Таблицы 2.1): ОКП</w:t>
            </w:r>
            <w:r>
              <w:rPr>
                <w:b/>
                <w:bCs/>
                <w:color w:val="000000"/>
                <w:szCs w:val="24"/>
              </w:rPr>
              <w:t>Д2 28.99 П</w:t>
            </w:r>
            <w:r>
              <w:rPr>
                <w:b/>
                <w:bCs/>
                <w:szCs w:val="24"/>
              </w:rPr>
              <w:t>оставка винтового насоса с клапаном для выполнения работ на Нижегородской ГЭС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6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продукции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Требование заказчика</w:t>
            </w:r>
          </w:p>
        </w:tc>
      </w:tr>
      <w:tr>
        <w:trPr>
          <w:trHeight w:val="2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6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1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71" w:hRule="atLeast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/>
              <w:t>1.1.</w:t>
            </w:r>
          </w:p>
        </w:tc>
        <w:tc>
          <w:tcPr>
            <w:tcW w:w="67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outlineLvl w:val="0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Винтовой насос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/>
                <w:szCs w:val="24"/>
                <w:lang w:eastAsia="ru-RU"/>
              </w:rPr>
              <w:t>Маркировка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center"/>
              <w:outlineLvl w:val="0"/>
              <w:rPr/>
            </w:pPr>
            <w:r>
              <w:rPr>
                <w:rFonts w:eastAsia="Arial Unicode MS" w:cs="Times New Roman"/>
                <w:color w:val="000000"/>
                <w:szCs w:val="24"/>
              </w:rPr>
              <w:t>WOF 055 6 072</w:t>
            </w:r>
          </w:p>
        </w:tc>
      </w:tr>
      <w:tr>
        <w:trPr>
          <w:trHeight w:val="235" w:hRule="atLeast"/>
        </w:trPr>
        <w:tc>
          <w:tcPr>
            <w:tcW w:w="8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670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Cs w:val="24"/>
                <w:lang w:eastAsia="ru-RU"/>
              </w:rPr>
              <w:t>Производитель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Cs w:val="24"/>
                <w:lang w:eastAsia="ru-RU"/>
              </w:rPr>
              <w:t>Seim</w:t>
            </w:r>
          </w:p>
        </w:tc>
      </w:tr>
      <w:tr>
        <w:trPr>
          <w:trHeight w:val="35" w:hRule="atLeast"/>
        </w:trPr>
        <w:tc>
          <w:tcPr>
            <w:tcW w:w="8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670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Давление подачи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Cs w:val="24"/>
                <w:lang w:eastAsia="ru-RU"/>
              </w:rPr>
              <w:t>100 бар</w:t>
            </w:r>
          </w:p>
        </w:tc>
      </w:tr>
      <w:tr>
        <w:trPr>
          <w:trHeight w:val="17" w:hRule="atLeast"/>
        </w:trPr>
        <w:tc>
          <w:tcPr>
            <w:tcW w:w="8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670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Cs w:val="24"/>
                <w:lang w:eastAsia="ru-RU"/>
              </w:rPr>
              <w:t>Частота вращения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Cs w:val="24"/>
                <w:lang w:eastAsia="ru-RU"/>
              </w:rPr>
              <w:t>2900 об/мин</w:t>
            </w:r>
          </w:p>
        </w:tc>
      </w:tr>
      <w:tr>
        <w:trPr>
          <w:trHeight w:val="35" w:hRule="atLeast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1.2</w:t>
            </w:r>
          </w:p>
        </w:tc>
        <w:tc>
          <w:tcPr>
            <w:tcW w:w="670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Клапан</w:t>
            </w:r>
          </w:p>
        </w:tc>
        <w:tc>
          <w:tcPr>
            <w:tcW w:w="4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lang w:eastAsia="ru-RU"/>
              </w:rPr>
              <w:t>Маркировка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AGAM-32/10/210-LX 24 DC</w:t>
            </w:r>
          </w:p>
        </w:tc>
      </w:tr>
      <w:tr>
        <w:trPr>
          <w:trHeight w:val="35" w:hRule="atLeast"/>
        </w:trPr>
        <w:tc>
          <w:tcPr>
            <w:tcW w:w="8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70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lang w:eastAsia="ru-RU"/>
              </w:rPr>
              <w:t>Производитель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Atos</w:t>
            </w:r>
          </w:p>
        </w:tc>
      </w:tr>
      <w:tr>
        <w:trPr>
          <w:trHeight w:val="35" w:hRule="atLeast"/>
        </w:trPr>
        <w:tc>
          <w:tcPr>
            <w:tcW w:w="8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70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lang w:eastAsia="ru-RU"/>
              </w:rPr>
              <w:t>Артикул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С066</w:t>
            </w:r>
          </w:p>
        </w:tc>
      </w:tr>
      <w:tr>
        <w:trPr>
          <w:trHeight w:val="35" w:hRule="atLeast"/>
        </w:trPr>
        <w:tc>
          <w:tcPr>
            <w:tcW w:w="8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70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lang w:eastAsia="ru-RU"/>
              </w:rPr>
              <w:t>Максимальное давление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До 350 бар</w:t>
            </w:r>
          </w:p>
        </w:tc>
      </w:tr>
      <w:tr>
        <w:trPr>
          <w:trHeight w:val="35" w:hRule="atLeast"/>
        </w:trPr>
        <w:tc>
          <w:tcPr>
            <w:tcW w:w="8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70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lang w:eastAsia="ru-RU"/>
              </w:rPr>
              <w:t>Производительность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200-600 л/мин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2.</w:t>
            </w:r>
          </w:p>
        </w:tc>
        <w:tc>
          <w:tcPr>
            <w:tcW w:w="143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Место поставки</w:t>
            </w:r>
          </w:p>
        </w:tc>
        <w:tc>
          <w:tcPr>
            <w:tcW w:w="110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</w:rPr>
            </w:pPr>
            <w:r>
              <w:rPr>
                <w:i/>
                <w:iCs/>
                <w:color w:val="000000"/>
                <w:szCs w:val="24"/>
              </w:rPr>
              <w:t>606520, Российская Федерация, Нижегородская область, г. Заволжье, ул. Привокзальная, д. 14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Приемка продукции</w:t>
            </w:r>
          </w:p>
        </w:tc>
        <w:tc>
          <w:tcPr>
            <w:tcW w:w="110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</w:rPr>
            </w:pPr>
            <w:r>
              <w:rPr>
                <w:i/>
                <w:iCs/>
                <w:szCs w:val="24"/>
              </w:rPr>
              <w:t>Осуществляется только в рабочие дни с 9-00 до 11-00 и с 13-00 до 16-00.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143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143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Сроки гарантии</w:t>
            </w:r>
          </w:p>
        </w:tc>
        <w:tc>
          <w:tcPr>
            <w:tcW w:w="110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ind w:left="0" w:hanging="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143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110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i/>
                <w:iCs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унифицированной формы ТОРГ-12(УПД) в 2 экз., транспортную накладную.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jc w:val="both"/>
              <w:rPr/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- Паспорт и руководство (инструкция) по эксплуатации на русском языке;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- Сертификат или декларация соответствия согласно ТР ТС 004/2011 О безопасности низковольтного оборудования»;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- Сертификат или декларация соответствия согласно ТР ТС 020/2011 «Электромагнитная совместимость технических средств».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</w:t>
            </w:r>
          </w:p>
        </w:tc>
        <w:tc>
          <w:tcPr>
            <w:tcW w:w="143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/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5.1.</w:t>
            </w:r>
          </w:p>
        </w:tc>
        <w:tc>
          <w:tcPr>
            <w:tcW w:w="143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"/>
                <w:rFonts w:eastAsia="Times New Roman" w:cs="Times New Roman"/>
                <w:b w:val="false"/>
                <w:bCs/>
                <w:iCs/>
                <w:color w:val="000000"/>
                <w:szCs w:val="24"/>
                <w:shd w:fill="auto" w:val="clear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6.</w:t>
            </w:r>
          </w:p>
        </w:tc>
        <w:tc>
          <w:tcPr>
            <w:tcW w:w="143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Требования к рабочей документации и чертежам</w:t>
            </w:r>
          </w:p>
        </w:tc>
      </w:tr>
      <w:tr>
        <w:trPr>
          <w:trHeight w:val="27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6.1</w:t>
            </w:r>
          </w:p>
        </w:tc>
        <w:tc>
          <w:tcPr>
            <w:tcW w:w="143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Рабочая документация и чертежи предоставляются по официальному запросу через секретаря закупочной комиссии.</w:t>
            </w:r>
          </w:p>
        </w:tc>
      </w:tr>
    </w:tbl>
    <w:p>
      <w:pPr>
        <w:pStyle w:val="Normal"/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</w:r>
    </w:p>
    <w:p>
      <w:pPr>
        <w:pStyle w:val="Normal"/>
        <w:rPr>
          <w:b/>
          <w:bCs/>
          <w:szCs w:val="24"/>
        </w:rPr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426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81184578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2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39523175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qFormat/>
    <w:rsid w:val="00cd6e4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7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6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1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Style18" w:customStyle="1">
    <w:name w:val="Текст Знак"/>
    <w:basedOn w:val="DefaultParagraphFont"/>
    <w:link w:val="PlainText"/>
    <w:uiPriority w:val="99"/>
    <w:qFormat/>
    <w:rsid w:val="00003389"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sid w:val="00003389"/>
    <w:rPr/>
  </w:style>
  <w:style w:type="character" w:styleId="Extended-textshort" w:customStyle="1">
    <w:name w:val="extended-text__short"/>
    <w:qFormat/>
    <w:rsid w:val="00003389"/>
    <w:rPr/>
  </w:style>
  <w:style w:type="character" w:styleId="15" w:customStyle="1">
    <w:name w:val="Просмотренная гиперссылка1"/>
    <w:qFormat/>
    <w:rsid w:val="00003389"/>
    <w:rPr>
      <w:color w:val="800080"/>
      <w:u w:val="single"/>
    </w:rPr>
  </w:style>
  <w:style w:type="character" w:styleId="Productcode" w:customStyle="1">
    <w:name w:val="product_code"/>
    <w:qFormat/>
    <w:rsid w:val="00003389"/>
    <w:rPr/>
  </w:style>
  <w:style w:type="character" w:styleId="Add-data-value" w:customStyle="1">
    <w:name w:val="add-data-value"/>
    <w:basedOn w:val="DefaultParagraphFont"/>
    <w:qFormat/>
    <w:rsid w:val="00003389"/>
    <w:rPr/>
  </w:style>
  <w:style w:type="character" w:styleId="Extendedtext-short" w:customStyle="1">
    <w:name w:val="extendedtext-short"/>
    <w:qFormat/>
    <w:rsid w:val="00003389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" w:customStyle="1">
    <w:name w:val="index heading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rsid w:val="00734d42"/>
    <w:pPr>
      <w:numPr>
        <w:ilvl w:val="0"/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6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7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rsid w:val="004900e5"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4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9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cd6e45"/>
    <w:pPr>
      <w:numPr>
        <w:ilvl w:val="3"/>
        <w:numId w:val="5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5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5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cd6e45"/>
    <w:pPr>
      <w:keepNext w:val="true"/>
      <w:numPr>
        <w:ilvl w:val="5"/>
        <w:numId w:val="5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1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rsid w:val="004900e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2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8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 w:customStyle="1">
    <w:name w:val="Обычный2"/>
    <w:qFormat/>
    <w:rsid w:val="0000338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uiPriority w:val="99"/>
    <w:unhideWhenUsed/>
    <w:qFormat/>
    <w:rsid w:val="00003389"/>
    <w:pPr/>
    <w:rPr>
      <w:rFonts w:ascii="Calibri" w:hAnsi="Calibri" w:eastAsia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rsid w:val="00003389"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38" w:customStyle="1">
    <w:name w:val="Обычный3"/>
    <w:qFormat/>
    <w:rsid w:val="004900e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Application>AlterOffice/3.4.0.9$Linux_X86_64 LibreOffice_project/b8daf9e823b1a5463a2f48435ddc2e8696e7d4fc</Application>
  <AppVersion>15.0000</AppVersion>
  <DocSecurity>4</DocSecurity>
  <Pages>4</Pages>
  <Words>565</Words>
  <Characters>3912</Characters>
  <CharactersWithSpaces>4379</CharactersWithSpaces>
  <Paragraphs>114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2026-03-20T12:06:00Z</dcterms:created>
  <dc:creator>Кочетов Сергей Владимирович</dc:creator>
  <dc:description/>
  <dc:language>ru-RU</dc:language>
  <cp:lastModifiedBy>kudryavtsevaen@corp.gidroogk.com</cp:lastModifiedBy>
  <cp:lastPrinted>2025-10-23T14:35:00Z</cp:lastPrinted>
  <dcterms:modified xsi:type="dcterms:W3CDTF">2026-08-19T16:13:00Z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