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6.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word/footer5.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footer4.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left"/>
        <w:rPr>
          <w:b/>
          <w:bCs/>
          <w:color w:val="000000"/>
          <w:sz w:val="24"/>
          <w:szCs w:val="24"/>
          <w:lang w:val="en-US"/>
        </w:rPr>
      </w:pPr>
      <w:r>
        <w:rPr>
          <w:b/>
          <w:bCs/>
          <w:color w:val="000000"/>
          <w:sz w:val="24"/>
          <w:szCs w:val="24"/>
          <w:lang w:val="en-US"/>
        </w:rPr>
      </w:r>
    </w:p>
    <w:p>
      <w:pPr>
        <w:pStyle w:val="Normal"/>
        <w:shd w:val="clear" w:color="auto" w:fill="FFFFFF"/>
        <w:tabs>
          <w:tab w:val="clear" w:pos="708"/>
          <w:tab w:val="left" w:pos="3148" w:leader="none"/>
          <w:tab w:val="center" w:pos="4818" w:leader="none"/>
          <w:tab w:val="left" w:pos="6926" w:leader="none"/>
        </w:tabs>
        <w:spacing w:lineRule="auto" w:line="240"/>
        <w:jc w:val="center"/>
        <w:rPr>
          <w:b/>
          <w:sz w:val="24"/>
          <w:szCs w:val="24"/>
        </w:rPr>
      </w:pPr>
      <w:r>
        <w:rPr>
          <w:b/>
          <w:bCs/>
          <w:color w:val="000000"/>
          <w:sz w:val="24"/>
          <w:szCs w:val="24"/>
        </w:rPr>
        <w:t>Договор подряда № 1350-___- 2026/0030-РЕМ ПРОД-2026-ЧеГЭС</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Новочебоксарск</w:t>
        <w:tab/>
        <w:tab/>
        <w:tab/>
        <w:tab/>
        <w:tab/>
        <w:t xml:space="preserve">                                    «___» _________ 2026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rFonts w:ascii="Times New Roman" w:hAnsi="Times New Roman" w:cs="Times New Roman"/>
          <w:color w:val="auto"/>
        </w:rPr>
      </w:pPr>
      <w:r>
        <w:rPr>
          <w:rFonts w:cs="Times New Roman" w:ascii="Times New Roman" w:hAnsi="Times New Roman"/>
          <w:b/>
          <w:color w:val="auto"/>
        </w:rPr>
        <w:t xml:space="preserve">Публичное акционерное общество «Федеральная гидрогенерирующая компания – РусГидро» </w:t>
      </w:r>
      <w:r>
        <w:rPr>
          <w:rFonts w:cs="Times New Roman" w:ascii="Times New Roman" w:hAnsi="Times New Roman"/>
          <w:color w:val="auto"/>
        </w:rPr>
        <w:t xml:space="preserve">(ПАО «РусГидро») (далее – «Заказчик»), в лице _______________ действующего на основании ______________, с одной стороны, и </w:t>
      </w:r>
    </w:p>
    <w:p>
      <w:pPr>
        <w:pStyle w:val="BodyText3"/>
        <w:ind w:firstLine="708"/>
        <w:rPr>
          <w:rFonts w:ascii="Times New Roman" w:hAnsi="Times New Roman" w:cs="Times New Roman"/>
          <w:color w:val="auto"/>
        </w:rPr>
      </w:pPr>
      <w:r>
        <w:rPr>
          <w:rFonts w:cs="Times New Roman" w:ascii="Times New Roman" w:hAnsi="Times New Roman"/>
          <w:color w:val="auto"/>
        </w:rPr>
        <w:t>________________________ (далее – «Под</w:t>
      </w:r>
      <w:bookmarkStart w:id="0" w:name="_GoBack"/>
      <w:bookmarkEnd w:id="0"/>
      <w:r>
        <w:rPr>
          <w:rFonts w:cs="Times New Roman" w:ascii="Times New Roman" w:hAnsi="Times New Roman"/>
          <w:color w:val="auto"/>
        </w:rPr>
        <w:t xml:space="preserve">рядчик»), в лице ________________, действующего на основании ______________, с другой стороны, </w:t>
      </w:r>
    </w:p>
    <w:p>
      <w:pPr>
        <w:pStyle w:val="BodyText3"/>
        <w:ind w:firstLine="708"/>
        <w:rPr>
          <w:rFonts w:ascii="Times New Roman" w:hAnsi="Times New Roman" w:cs="Times New Roman"/>
          <w:bCs/>
          <w:color w:val="auto"/>
        </w:rPr>
      </w:pPr>
      <w:r>
        <w:rPr>
          <w:rFonts w:cs="Times New Roman" w:ascii="Times New Roman" w:hAnsi="Times New Roman"/>
          <w:color w:val="auto"/>
        </w:rPr>
        <w:t xml:space="preserve">совместно в дальнейшем именуемые «Стороны», а по отдельности – «Сторона», по результатам проведенного Заказчиком состязательного отбора по лоту № </w:t>
      </w:r>
      <w:r>
        <w:rPr>
          <w:rFonts w:eastAsia="Times New Roman" w:cs="Times New Roman" w:ascii="Times New Roman" w:hAnsi="Times New Roman"/>
          <w:bCs/>
          <w:color w:val="000000"/>
          <w:lang w:val="x-none"/>
        </w:rPr>
        <w:t>0030-РЕМ ПРОД-2026-ЧеГЭС</w:t>
      </w:r>
      <w:r>
        <w:rPr>
          <w:rFonts w:cs="Times New Roman" w:ascii="Times New Roman" w:hAnsi="Times New Roman"/>
          <w:bCs/>
          <w:color w:val="auto"/>
        </w:rPr>
        <w:t>,</w:t>
      </w:r>
      <w:r>
        <w:rPr>
          <w:rFonts w:cs="Times New Roman" w:ascii="Times New Roman" w:hAnsi="Times New Roman"/>
        </w:rPr>
        <w:t xml:space="preserve"> </w:t>
      </w:r>
      <w:r>
        <w:rPr>
          <w:rFonts w:cs="Times New Roman" w:ascii="Times New Roman" w:hAnsi="Times New Roman"/>
          <w:color w:val="auto"/>
        </w:rPr>
        <w:t>и</w:t>
      </w:r>
      <w:r>
        <w:rPr>
          <w:rFonts w:cs="Times New Roman" w:ascii="Times New Roman" w:hAnsi="Times New Roman"/>
        </w:rPr>
        <w:t xml:space="preserve"> </w:t>
      </w:r>
      <w:r>
        <w:rPr>
          <w:rFonts w:cs="Times New Roman" w:ascii="Times New Roman" w:hAnsi="Times New Roman"/>
          <w:bCs/>
          <w:color w:val="auto"/>
        </w:rPr>
        <w:t>на основании Протокола №_______ от «___» __________ года,</w:t>
      </w:r>
    </w:p>
    <w:p>
      <w:pPr>
        <w:pStyle w:val="BodyText3"/>
        <w:ind w:firstLine="708"/>
        <w:rPr>
          <w:rFonts w:ascii="Times New Roman" w:hAnsi="Times New Roman" w:cs="Times New Roman"/>
          <w:color w:val="auto"/>
        </w:rPr>
      </w:pPr>
      <w:r>
        <w:rPr>
          <w:rFonts w:cs="Times New Roman" w:ascii="Times New Roman" w:hAnsi="Times New Roman"/>
          <w:color w:val="auto"/>
        </w:rPr>
        <w:t>заключили настоящий договор (далее – «Договор») о нижеследующем:</w:t>
      </w:r>
    </w:p>
    <w:p>
      <w:pPr>
        <w:pStyle w:val="BodyText3"/>
        <w:ind w:firstLine="708"/>
        <w:rPr>
          <w:rFonts w:ascii="Times New Roman" w:hAnsi="Times New Roman" w:cs="Times New Roman"/>
          <w:color w:val="auto"/>
        </w:rPr>
      </w:pPr>
      <w:r>
        <w:rPr>
          <w:rFonts w:cs="Times New Roman" w:ascii="Times New Roman" w:hAnsi="Times New Roman"/>
          <w:color w:val="auto"/>
        </w:rPr>
      </w:r>
    </w:p>
    <w:p>
      <w:pPr>
        <w:pStyle w:val="ListParagraph"/>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Термины и определения</w:t>
      </w:r>
    </w:p>
    <w:p>
      <w:pPr>
        <w:pStyle w:val="BodyText3"/>
        <w:ind w:firstLine="708"/>
        <w:rPr>
          <w:rFonts w:ascii="Times New Roman" w:hAnsi="Times New Roman" w:cs="Times New Roman"/>
          <w:color w:val="auto"/>
        </w:rPr>
      </w:pPr>
      <w:r>
        <w:rPr>
          <w:rFonts w:cs="Times New Roman" w:ascii="Times New Roman" w:hAnsi="Times New Roman"/>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rFonts w:ascii="Times New Roman" w:hAnsi="Times New Roman" w:cs="Times New Roman"/>
        </w:rPr>
      </w:pPr>
      <w:r>
        <w:rPr>
          <w:rFonts w:cs="Times New Roman" w:ascii="Times New Roman" w:hAnsi="Times New Roman"/>
          <w:b/>
        </w:rPr>
        <w:t xml:space="preserve">«Акт КС-2», «Справка КС-3» – </w:t>
      </w:r>
      <w:r>
        <w:rPr>
          <w:rFonts w:cs="Times New Roman" w:ascii="Times New Roman" w:hAnsi="Times New Roman"/>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rFonts w:ascii="Times New Roman" w:hAnsi="Times New Roman" w:cs="Times New Roman"/>
        </w:rPr>
      </w:pPr>
      <w:r>
        <w:rPr>
          <w:rFonts w:cs="Times New Roman" w:ascii="Times New Roman" w:hAnsi="Times New Roman"/>
          <w:b/>
        </w:rPr>
        <w:t>«Банковская гарантия»</w:t>
      </w:r>
      <w:r>
        <w:rPr>
          <w:rFonts w:cs="Times New Roman" w:ascii="Times New Roman" w:hAnsi="Times New Roman"/>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«Гарантийный срок»</w:t>
      </w:r>
      <w:r>
        <w:rPr>
          <w:rFonts w:cs="Times New Roman" w:ascii="Times New Roman" w:hAnsi="Times New Roman"/>
        </w:rPr>
        <w:t xml:space="preserve"> –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«Давальческие материалы и запасные части»</w:t>
      </w:r>
      <w:r>
        <w:rPr>
          <w:rFonts w:cs="Times New Roman" w:ascii="Times New Roman" w:hAnsi="Times New Roman"/>
        </w:rPr>
        <w:t xml:space="preserve"> – материалы (запасные части), которые будут являться составной частью Результата Работ по Договору, 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«Договор»</w:t>
      </w:r>
      <w:r>
        <w:rPr>
          <w:rFonts w:cs="Times New Roman" w:ascii="Times New Roman" w:hAnsi="Times New Roman"/>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 xml:space="preserve">«Информационная система Maximo» </w:t>
      </w:r>
      <w:r>
        <w:rPr>
          <w:rFonts w:cs="Times New Roman" w:ascii="Times New Roman" w:hAnsi="Times New Roman"/>
        </w:rPr>
        <w:t>– информационная система управления фондами и активами предприятия «Maximo».</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b/>
        </w:rPr>
        <w:t xml:space="preserve">«Исполнительная документация» – </w:t>
      </w:r>
      <w:r>
        <w:rPr>
          <w:rFonts w:cs="Times New Roman" w:ascii="Times New Roman" w:hAnsi="Times New Roman"/>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b/>
        </w:rPr>
        <w:t>«Коммерческая тайна»</w:t>
      </w:r>
      <w:r>
        <w:rPr>
          <w:rFonts w:cs="Times New Roman" w:ascii="Times New Roman" w:hAnsi="Times New Roman"/>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«Лимит на непредвиденные работы и затраты</w:t>
      </w:r>
      <w:r>
        <w:rPr>
          <w:rFonts w:cs="Times New Roman" w:ascii="Times New Roman" w:hAnsi="Times New Roman"/>
        </w:rPr>
        <w:t>»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дефектации оборудования, зданий и/или сооружений.</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b/>
        </w:rPr>
        <w:t>«Материально-технические ресурсы»</w:t>
      </w:r>
      <w:r>
        <w:rPr>
          <w:rFonts w:cs="Times New Roman" w:ascii="Times New Roman" w:hAnsi="Times New Roman"/>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bCs/>
        </w:rPr>
        <w:t>«Национальный режим»</w:t>
      </w:r>
      <w:r>
        <w:rPr>
          <w:rFonts w:cs="Times New Roman" w:ascii="Times New Roman" w:hAnsi="Times New Roman"/>
          <w:bCs/>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«Объект»</w:t>
      </w:r>
      <w:r>
        <w:rPr>
          <w:rFonts w:cs="Times New Roman" w:ascii="Times New Roman" w:hAnsi="Times New Roman"/>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 xml:space="preserve">«Отказ от Договора» </w:t>
      </w:r>
      <w:r>
        <w:rPr>
          <w:rFonts w:cs="Times New Roman" w:ascii="Times New Roman" w:hAnsi="Times New Roman"/>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b/>
        </w:rPr>
        <w:t>«Приемо-сдаточная документация»</w:t>
      </w:r>
      <w:r>
        <w:rPr>
          <w:rFonts w:cs="Times New Roman" w:ascii="Times New Roman" w:hAnsi="Times New Roman"/>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rPr>
      </w:pPr>
      <w:r>
        <w:rPr>
          <w:rFonts w:cs="Times New Roman" w:ascii="Times New Roman" w:hAnsi="Times New Roman"/>
        </w:rPr>
        <w:t>К Приемо-сдаточной документации относятся:</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rFonts w:ascii="Times New Roman" w:hAnsi="Times New Roman" w:cs="Times New Roman"/>
        </w:rPr>
      </w:pPr>
      <w:r>
        <w:rPr>
          <w:rFonts w:cs="Times New Roman" w:ascii="Times New Roman" w:hAnsi="Times New Roman"/>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rFonts w:ascii="Times New Roman" w:hAnsi="Times New Roman" w:cs="Times New Roman"/>
        </w:rPr>
      </w:pPr>
      <w:r>
        <w:rPr>
          <w:rFonts w:cs="Times New Roman" w:ascii="Times New Roman" w:hAnsi="Times New Roman"/>
        </w:rPr>
        <w:t>Документы, удостоверяющие качество используемых Подрядчиком Материально-технических ресурсов;</w:t>
      </w:r>
    </w:p>
    <w:p>
      <w:pPr>
        <w:pStyle w:val="ListParagraph"/>
        <w:widowControl w:val="false"/>
        <w:numPr>
          <w:ilvl w:val="0"/>
          <w:numId w:val="9"/>
        </w:numPr>
        <w:shd w:val="clear" w:color="auto" w:fill="FFFFFF"/>
        <w:tabs>
          <w:tab w:val="clear" w:pos="708"/>
          <w:tab w:val="left" w:pos="567" w:leader="none"/>
          <w:tab w:val="left" w:pos="1134" w:leader="none"/>
        </w:tabs>
        <w:ind w:left="0" w:firstLine="709"/>
        <w:jc w:val="both"/>
        <w:textAlignment w:val="baseline"/>
        <w:rPr>
          <w:rFonts w:ascii="Times New Roman" w:hAnsi="Times New Roman" w:cs="Times New Roman"/>
        </w:rPr>
      </w:pPr>
      <w:r>
        <w:rPr>
          <w:rFonts w:cs="Times New Roman" w:ascii="Times New Roman" w:hAnsi="Times New Roman"/>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ind w:left="0" w:firstLine="720"/>
        <w:jc w:val="both"/>
        <w:textAlignment w:val="baseline"/>
        <w:rPr>
          <w:rFonts w:ascii="Times New Roman" w:hAnsi="Times New Roman" w:cs="Times New Roman"/>
        </w:rPr>
      </w:pPr>
      <w:r>
        <w:rPr>
          <w:rFonts w:cs="Times New Roman" w:ascii="Times New Roman" w:hAnsi="Times New Roman"/>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инструмента), в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Техническом задании (Приложение № 1 к Договору).</w:t>
      </w:r>
    </w:p>
    <w:p>
      <w:pPr>
        <w:pStyle w:val="Heading3"/>
        <w:keepNext w:val="false"/>
        <w:widowControl w:val="false"/>
        <w:tabs>
          <w:tab w:val="clear" w:pos="708"/>
          <w:tab w:val="left" w:pos="567" w:leader="none"/>
        </w:tabs>
        <w:spacing w:before="0" w:after="0"/>
        <w:ind w:firstLine="708"/>
        <w:jc w:val="both"/>
        <w:textAlignment w:val="baseline"/>
        <w:rPr>
          <w:rFonts w:eastAsia="Calibri" w:eastAsiaTheme="minorHAnsi"/>
          <w:b w:val="false"/>
          <w:bCs/>
          <w:sz w:val="24"/>
          <w:szCs w:val="24"/>
          <w:lang w:val="ru-RU" w:eastAsia="en-US"/>
        </w:rPr>
      </w:pPr>
      <w:r>
        <w:rPr>
          <w:sz w:val="24"/>
          <w:szCs w:val="24"/>
          <w:lang w:val="ru-RU" w:eastAsia="en-US"/>
        </w:rPr>
        <w:t>«Скрытые работы»</w:t>
      </w:r>
      <w:r>
        <w:rPr>
          <w:b w:val="false"/>
          <w:sz w:val="24"/>
          <w:szCs w:val="24"/>
          <w:lang w:val="ru-RU" w:eastAsia="en-US"/>
        </w:rPr>
        <w:t xml:space="preserve"> – отдельные виды работ, качество выполнения которых оказывает влияние на безопасность и (или) долговечность объекта капитального строительства, </w:t>
      </w:r>
      <w:r>
        <w:rPr>
          <w:rFonts w:eastAsia="Calibri" w:eastAsiaTheme="minorHAnsi"/>
          <w:b w:val="false"/>
          <w:bCs/>
          <w:sz w:val="24"/>
          <w:szCs w:val="24"/>
          <w:lang w:eastAsia="en-US"/>
        </w:rPr>
        <w:t>но в соответствии с технологией их проведени</w:t>
      </w:r>
      <w:r>
        <w:rPr>
          <w:rFonts w:eastAsia="Calibri" w:eastAsiaTheme="minorHAnsi"/>
          <w:b w:val="false"/>
          <w:bCs/>
          <w:sz w:val="24"/>
          <w:szCs w:val="24"/>
          <w:lang w:val="ru-RU" w:eastAsia="en-US"/>
        </w:rPr>
        <w:t>я</w:t>
      </w:r>
      <w:r>
        <w:rPr>
          <w:rFonts w:eastAsia="Calibri" w:eastAsiaTheme="minorHAnsi"/>
          <w:b w:val="false"/>
          <w:bCs/>
          <w:sz w:val="24"/>
          <w:szCs w:val="24"/>
          <w:lang w:eastAsia="en-US"/>
        </w:rPr>
        <w:t xml:space="preserve"> контроль за </w:t>
      </w:r>
      <w:r>
        <w:rPr>
          <w:rFonts w:eastAsia="Calibri" w:eastAsiaTheme="minorHAnsi"/>
          <w:b w:val="false"/>
          <w:bCs/>
          <w:sz w:val="24"/>
          <w:szCs w:val="24"/>
          <w:lang w:val="ru-RU" w:eastAsia="en-US"/>
        </w:rPr>
        <w:t xml:space="preserve">их </w:t>
      </w:r>
      <w:r>
        <w:rPr>
          <w:rFonts w:eastAsia="Calibri" w:eastAsiaTheme="minorHAnsi"/>
          <w:b w:val="false"/>
          <w:bCs/>
          <w:sz w:val="24"/>
          <w:szCs w:val="24"/>
          <w:lang w:eastAsia="en-US"/>
        </w:rPr>
        <w:t xml:space="preserve">осуществлением не может быть проведен </w:t>
      </w:r>
      <w:r>
        <w:rPr>
          <w:rFonts w:eastAsia="Calibri" w:eastAsiaTheme="minorHAnsi"/>
          <w:b w:val="false"/>
          <w:bCs/>
          <w:sz w:val="24"/>
          <w:szCs w:val="24"/>
          <w:lang w:val="ru-RU" w:eastAsia="en-US"/>
        </w:rPr>
        <w:t xml:space="preserve">Заказчиком </w:t>
      </w:r>
      <w:r>
        <w:rPr>
          <w:rFonts w:eastAsia="Calibri" w:eastAsiaTheme="minorHAnsi"/>
          <w:b w:val="false"/>
          <w:bCs/>
          <w:sz w:val="24"/>
          <w:szCs w:val="24"/>
          <w:lang w:eastAsia="en-US"/>
        </w:rPr>
        <w:t>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Pr>
          <w:rFonts w:eastAsia="Calibri" w:eastAsiaTheme="minorHAnsi"/>
          <w:b w:val="false"/>
          <w:bCs/>
          <w:sz w:val="24"/>
          <w:szCs w:val="24"/>
          <w:lang w:val="ru-RU" w:eastAsia="en-US"/>
        </w:rPr>
        <w:t>.</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en-US"/>
        </w:rPr>
      </w:pPr>
      <w:r>
        <w:rPr>
          <w:sz w:val="24"/>
          <w:szCs w:val="24"/>
          <w:lang w:eastAsia="en-US"/>
        </w:rPr>
        <w:t>«Субъект МСП»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Pr>
          <w:b w:val="false"/>
          <w:sz w:val="24"/>
          <w:szCs w:val="24"/>
        </w:rPr>
        <w:t>Чувашская Республика, г. Новочебоксарск ул. Набережная, влд.34</w:t>
      </w:r>
      <w:r>
        <w:rPr>
          <w:b w:val="false"/>
          <w:sz w:val="24"/>
          <w:szCs w:val="24"/>
          <w:lang w:val="ru-RU" w:eastAsia="en-US"/>
        </w:rPr>
        <w:t>.</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ремонта перейти к выполнению следующего Этапа Работ. </w:t>
      </w:r>
    </w:p>
    <w:p>
      <w:pPr>
        <w:pStyle w:val="Heading3"/>
        <w:keepNext w:val="false"/>
        <w:widowControl w:val="false"/>
        <w:tabs>
          <w:tab w:val="clear" w:pos="708"/>
          <w:tab w:val="left" w:pos="567" w:leader="none"/>
        </w:tabs>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spacing w:lineRule="auto" w:line="240"/>
        <w:rPr>
          <w:lang w:val="x-none" w:eastAsia="x-none"/>
        </w:rPr>
      </w:pPr>
      <w:r>
        <w:rPr>
          <w:lang w:val="x-none" w:eastAsia="x-none"/>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Предмет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1" w:name="_Ref361410951"/>
      <w:r>
        <w:rPr>
          <w:rFonts w:cs="Times New Roman" w:ascii="Times New Roman" w:hAnsi="Times New Roman"/>
          <w:bCs/>
        </w:rPr>
        <w:t xml:space="preserve">Подрядчик обязуется по заданию Заказчика в соответствии с Техническим заданием (Приложение № 1 к Договору) выполнить работы по </w:t>
      </w:r>
      <w:r>
        <w:rPr>
          <w:rFonts w:eastAsia="Times New Roman" w:cs="Times New Roman" w:ascii="Times New Roman" w:hAnsi="Times New Roman"/>
          <w:b/>
          <w:i/>
          <w:lang w:eastAsia="ru-RU"/>
        </w:rPr>
        <w:t>текущему ремонту систем сброса воды из-под фундаментных плит Филиала ПАО «РусГидро» - «Чебоксарская ГЭС»</w:t>
      </w:r>
      <w:r>
        <w:rPr>
          <w:rFonts w:cs="Times New Roman" w:ascii="Times New Roman" w:hAnsi="Times New Roman"/>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1"/>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Работы по Договору выполняются для нужд </w:t>
      </w:r>
      <w:r>
        <w:rPr>
          <w:rFonts w:eastAsia="Times New Roman" w:cs="Times New Roman" w:ascii="Times New Roman" w:hAnsi="Times New Roman"/>
          <w:bCs/>
          <w:lang w:eastAsia="ru-RU"/>
        </w:rPr>
        <w:t>Ф</w:t>
      </w:r>
      <w:r>
        <w:rPr>
          <w:rFonts w:eastAsia="Times New Roman" w:cs="Times New Roman" w:ascii="Times New Roman" w:hAnsi="Times New Roman"/>
          <w:lang w:eastAsia="ru-RU"/>
        </w:rPr>
        <w:t>илиала ПАО «РусГидро» - «Чебоксарская ГЭС»</w:t>
      </w:r>
      <w:r>
        <w:rPr>
          <w:rFonts w:cs="Times New Roman" w:ascii="Times New Roman" w:hAnsi="Times New Roman"/>
          <w:bCs/>
        </w:rPr>
        <w:t xml:space="preserve">.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Место выполнения Работ: </w:t>
      </w:r>
      <w:r>
        <w:rPr>
          <w:rFonts w:eastAsia="Times New Roman" w:cs="Times New Roman" w:ascii="Times New Roman" w:hAnsi="Times New Roman"/>
        </w:rPr>
        <w:t>Чувашская Республика, г. Новочебоксарск, ул. Набережная, влд. 34.</w:t>
      </w:r>
    </w:p>
    <w:p>
      <w:pPr>
        <w:pStyle w:val="ListParagraph"/>
        <w:numPr>
          <w:ilvl w:val="1"/>
          <w:numId w:val="4"/>
        </w:numPr>
        <w:tabs>
          <w:tab w:val="clear" w:pos="708"/>
          <w:tab w:val="left" w:pos="1134" w:leader="none"/>
        </w:tabs>
        <w:ind w:left="0" w:firstLine="709"/>
        <w:jc w:val="both"/>
        <w:rPr>
          <w:rFonts w:ascii="Times New Roman" w:hAnsi="Times New Roman" w:cs="Times New Roman"/>
          <w:bCs/>
        </w:rPr>
      </w:pPr>
      <w:bookmarkStart w:id="2" w:name="_Ref361320424"/>
      <w:r>
        <w:rPr>
          <w:rFonts w:cs="Times New Roman" w:ascii="Times New Roman" w:hAnsi="Times New Roman"/>
          <w:bCs/>
        </w:rPr>
        <w:t>Работы выполняются Подрядчиком в следующие сроки:</w:t>
      </w:r>
      <w:bookmarkEnd w:id="2"/>
    </w:p>
    <w:p>
      <w:pPr>
        <w:pStyle w:val="ListParagraph"/>
        <w:numPr>
          <w:ilvl w:val="2"/>
          <w:numId w:val="4"/>
        </w:numPr>
        <w:tabs>
          <w:tab w:val="clear" w:pos="708"/>
          <w:tab w:val="left" w:pos="1418" w:leader="none"/>
        </w:tabs>
        <w:ind w:left="0" w:firstLine="709"/>
        <w:jc w:val="both"/>
        <w:rPr>
          <w:rFonts w:ascii="Times New Roman" w:hAnsi="Times New Roman" w:cs="Times New Roman"/>
        </w:rPr>
      </w:pPr>
      <w:r>
        <w:rPr>
          <w:rFonts w:cs="Times New Roman" w:ascii="Times New Roman" w:hAnsi="Times New Roman"/>
          <w:bCs/>
        </w:rPr>
        <w:t xml:space="preserve">начало выполнения Работ: </w:t>
      </w:r>
      <w:r>
        <w:rPr>
          <w:rFonts w:cs="Times New Roman" w:ascii="Times New Roman" w:hAnsi="Times New Roman"/>
        </w:rPr>
        <w:t>с даты, следующей за датой заключения Договора;</w:t>
      </w:r>
    </w:p>
    <w:p>
      <w:pPr>
        <w:pStyle w:val="ListParagraph"/>
        <w:numPr>
          <w:ilvl w:val="2"/>
          <w:numId w:val="4"/>
        </w:numPr>
        <w:tabs>
          <w:tab w:val="clear" w:pos="708"/>
          <w:tab w:val="left" w:pos="1418" w:leader="none"/>
        </w:tabs>
        <w:ind w:left="0" w:firstLine="709"/>
        <w:jc w:val="both"/>
        <w:rPr>
          <w:rFonts w:ascii="Times New Roman" w:hAnsi="Times New Roman" w:cs="Times New Roman"/>
        </w:rPr>
      </w:pPr>
      <w:r>
        <w:rPr>
          <w:rFonts w:cs="Times New Roman" w:ascii="Times New Roman" w:hAnsi="Times New Roman"/>
          <w:bCs/>
        </w:rPr>
        <w:t>окончание выполнения Работ: 15.12.2027</w:t>
      </w:r>
      <w:r>
        <w:rPr>
          <w:rFonts w:cs="Times New Roman" w:ascii="Times New Roman" w:hAnsi="Times New Roman"/>
        </w:rPr>
        <w:t>.</w:t>
      </w:r>
    </w:p>
    <w:p>
      <w:pPr>
        <w:pStyle w:val="ListParagraph"/>
        <w:numPr>
          <w:ilvl w:val="1"/>
          <w:numId w:val="4"/>
        </w:numPr>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Выполнение Работ осуществляется поэтапно. </w:t>
      </w:r>
      <w:r>
        <w:rPr>
          <w:rFonts w:cs="Times New Roman" w:ascii="Times New Roman" w:hAnsi="Times New Roman"/>
          <w:bCs/>
          <w:lang w:val="en-US"/>
        </w:rPr>
        <w:t>C</w:t>
      </w:r>
      <w:r>
        <w:rPr>
          <w:rFonts w:cs="Times New Roman" w:ascii="Times New Roman" w:hAnsi="Times New Roman"/>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1.5 Договора.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Работы, указанные в </w:t>
      </w:r>
      <w:r>
        <w:rPr>
          <w:rFonts w:cs="Times New Roman" w:ascii="Times New Roman" w:hAnsi="Times New Roman"/>
        </w:rPr>
        <w:t>пункте 1.1</w:t>
      </w:r>
      <w:r>
        <w:rPr>
          <w:rFonts w:cs="Times New Roman" w:ascii="Times New Roman" w:hAnsi="Times New Roman"/>
          <w:bCs/>
        </w:rPr>
        <w:t xml:space="preserve"> Договора, подлежат выполнению в отношении Объектов, указанных в Приложении № 2 к Договору.</w:t>
      </w:r>
    </w:p>
    <w:p>
      <w:pPr>
        <w:pStyle w:val="Normal"/>
        <w:widowControl w:val="false"/>
        <w:shd w:val="clear" w:color="auto" w:fill="FFFFFF"/>
        <w:spacing w:lineRule="auto" w:line="240"/>
        <w:ind w:hanging="0"/>
        <w:rPr>
          <w:sz w:val="24"/>
          <w:szCs w:val="24"/>
        </w:rPr>
      </w:pPr>
      <w:r>
        <w:rPr>
          <w:sz w:val="24"/>
          <w:szCs w:val="24"/>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 xml:space="preserve">Права и обязанности Сторон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u w:val="single"/>
        </w:rPr>
        <w:t>Заказчик обязан</w:t>
      </w:r>
      <w:r>
        <w:rPr>
          <w:rFonts w:cs="Times New Roman" w:ascii="Times New Roman" w:hAnsi="Times New Roman"/>
          <w:bCs/>
        </w:rPr>
        <w:t>:</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bCs/>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10"/>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место производства Работ, место (помещение) для складирования Материально-технических ресурсов по соответствующим актам сдачи-приемки (Приложение № 5.1 к Договору);</w:t>
      </w:r>
    </w:p>
    <w:p>
      <w:pPr>
        <w:pStyle w:val="ListParagraph"/>
        <w:numPr>
          <w:ilvl w:val="0"/>
          <w:numId w:val="10"/>
        </w:numPr>
        <w:shd w:val="clear" w:color="auto" w:fill="FFFFFF"/>
        <w:tabs>
          <w:tab w:val="clear" w:pos="708"/>
          <w:tab w:val="left" w:pos="709" w:leader="none"/>
          <w:tab w:val="left" w:pos="1418" w:leader="none"/>
        </w:tabs>
        <w:ind w:left="0" w:firstLine="709"/>
        <w:jc w:val="both"/>
        <w:rPr>
          <w:rFonts w:ascii="Times New Roman" w:hAnsi="Times New Roman" w:cs="Times New Roman"/>
        </w:rPr>
      </w:pPr>
      <w:bookmarkStart w:id="3" w:name="_Ref361396847"/>
      <w:bookmarkStart w:id="4" w:name="_Ref361320734"/>
      <w:bookmarkStart w:id="5" w:name="_Ref361401696"/>
      <w:r>
        <w:rPr>
          <w:rFonts w:cs="Times New Roman" w:ascii="Times New Roman" w:hAnsi="Times New Roman"/>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bookmarkEnd w:id="3"/>
      <w:bookmarkEnd w:id="4"/>
      <w:bookmarkEnd w:id="5"/>
    </w:p>
    <w:p>
      <w:pPr>
        <w:pStyle w:val="PlainText"/>
        <w:numPr>
          <w:ilvl w:val="2"/>
          <w:numId w:val="4"/>
        </w:numPr>
        <w:ind w:left="0"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color="auto" w:fill="FFFFFF"/>
        <w:tabs>
          <w:tab w:val="clear" w:pos="708"/>
          <w:tab w:val="left" w:pos="709" w:leader="none"/>
          <w:tab w:val="left" w:pos="1418" w:leader="none"/>
        </w:tabs>
        <w:spacing w:lineRule="auto" w:line="240"/>
        <w:ind w:firstLine="709"/>
        <w:rPr>
          <w:bCs/>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10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4"/>
        </w:numPr>
        <w:shd w:val="clear" w:color="auto" w:fill="FFFFFF"/>
        <w:tabs>
          <w:tab w:val="clear" w:pos="708"/>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4"/>
        </w:numPr>
        <w:tabs>
          <w:tab w:val="clear" w:pos="708"/>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Производить освидетельствование (приемку) Скрытых работ.</w:t>
      </w:r>
    </w:p>
    <w:p>
      <w:pPr>
        <w:pStyle w:val="ListParagraph"/>
        <w:numPr>
          <w:ilvl w:val="2"/>
          <w:numId w:val="4"/>
        </w:numPr>
        <w:shd w:val="clear" w:color="auto" w:fill="FFFFFF"/>
        <w:tabs>
          <w:tab w:val="clear" w:pos="708"/>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Обеспечить</w:t>
      </w:r>
      <w:r>
        <w:rPr>
          <w:rFonts w:cs="Times New Roman" w:ascii="Times New Roman" w:hAnsi="Times New Roman"/>
        </w:rPr>
        <w:t xml:space="preserve"> Подрядчику доступ к Информационной системе Maximo с целью фиксации факта выполнения Работ по Договору. Параметры и условия доступа к Информационной системе Maximo указаны в </w:t>
      </w:r>
      <w:r>
        <w:rPr>
          <w:rFonts w:cs="Times New Roman" w:ascii="Times New Roman" w:hAnsi="Times New Roman"/>
          <w:bCs/>
        </w:rPr>
        <w:t>Приложении № 8 к Договору</w:t>
      </w:r>
      <w:r>
        <w:rPr>
          <w:rFonts w:cs="Times New Roman" w:ascii="Times New Roman" w:hAnsi="Times New Roman"/>
        </w:rPr>
        <w:t>.</w:t>
      </w:r>
    </w:p>
    <w:p>
      <w:pPr>
        <w:pStyle w:val="ListParagraph"/>
        <w:numPr>
          <w:ilvl w:val="2"/>
          <w:numId w:val="4"/>
        </w:numPr>
        <w:shd w:val="clear" w:color="auto" w:fill="FFFFFF"/>
        <w:tabs>
          <w:tab w:val="clear" w:pos="708"/>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u w:val="single"/>
        </w:rPr>
        <w:t>Заказчик имеет право</w:t>
      </w:r>
      <w:r>
        <w:rPr>
          <w:rFonts w:cs="Times New Roman" w:ascii="Times New Roman" w:hAnsi="Times New Roman"/>
          <w:bCs/>
        </w:rPr>
        <w:t>:</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Круглосуточно осуществлять доступ к месту производства Работ, месту (помещению) для складирования Материально-технических ресурсов. В случае предоставления Подрядчику отдельного помещения для складирования Материально-технических ресурсов, осуществлять осмотр такого помещения по первому требованию и в присутствии представителя Подрядчика.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bookmarkStart w:id="6" w:name="_Ref361334652"/>
      <w:r>
        <w:rPr>
          <w:rFonts w:cs="Times New Roman" w:ascii="Times New Roman" w:hAnsi="Times New Roman"/>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rFonts w:cs="Times New Roman" w:ascii="Times New Roman" w:hAnsi="Times New Roman"/>
          <w:bCs/>
        </w:rPr>
        <w:t xml:space="preserve">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bookmarkStart w:id="7" w:name="_Ref361334468"/>
      <w:r>
        <w:rPr>
          <w:rFonts w:cs="Times New Roman" w:ascii="Times New Roman" w:hAnsi="Times New Roman"/>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7"/>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bookmarkStart w:id="8" w:name="_Ref361319348"/>
      <w:r>
        <w:rPr>
          <w:rFonts w:cs="Times New Roman" w:ascii="Times New Roman" w:hAnsi="Times New Roman"/>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rFonts w:cs="Times New Roman" w:ascii="Times New Roman" w:hAnsi="Times New Roman"/>
          <w:bCs/>
        </w:rPr>
        <w:t xml:space="preserve">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shd w:val="clear" w:color="auto" w:fill="FFFFFF"/>
        <w:tabs>
          <w:tab w:val="clear" w:pos="708"/>
          <w:tab w:val="left" w:pos="567" w:leader="none"/>
        </w:tabs>
        <w:ind w:left="0" w:firstLine="567"/>
        <w:jc w:val="both"/>
        <w:rPr>
          <w:rFonts w:ascii="Times New Roman" w:hAnsi="Times New Roman" w:cs="Times New Roman"/>
          <w:bCs/>
          <w:color w:val="FF0000"/>
        </w:rPr>
      </w:pPr>
      <w:r>
        <w:rPr>
          <w:rFonts w:cs="Times New Roman" w:ascii="Times New Roman" w:hAnsi="Times New Roman"/>
          <w:bCs/>
          <w:color w:val="FF0000"/>
        </w:rPr>
      </w:r>
    </w:p>
    <w:p>
      <w:pPr>
        <w:pStyle w:val="ListParagraph"/>
        <w:numPr>
          <w:ilvl w:val="1"/>
          <w:numId w:val="4"/>
        </w:numPr>
        <w:shd w:val="clear" w:color="auto" w:fill="FFFFFF"/>
        <w:tabs>
          <w:tab w:val="clear" w:pos="708"/>
          <w:tab w:val="left" w:pos="1134" w:leader="none"/>
        </w:tabs>
        <w:ind w:left="0" w:firstLine="567"/>
        <w:jc w:val="both"/>
        <w:rPr>
          <w:rFonts w:ascii="Times New Roman" w:hAnsi="Times New Roman" w:cs="Times New Roman"/>
          <w:bCs/>
        </w:rPr>
      </w:pPr>
      <w:r>
        <w:rPr>
          <w:rFonts w:cs="Times New Roman" w:ascii="Times New Roman" w:hAnsi="Times New Roman"/>
          <w:bCs/>
          <w:u w:val="single"/>
        </w:rPr>
        <w:t>Подрядчик обязан</w:t>
      </w:r>
      <w:r>
        <w:rPr>
          <w:rFonts w:cs="Times New Roman" w:ascii="Times New Roman" w:hAnsi="Times New Roman"/>
          <w:bCs/>
        </w:rPr>
        <w:t>:</w:t>
      </w:r>
    </w:p>
    <w:p>
      <w:pPr>
        <w:pStyle w:val="ListParagraph"/>
        <w:numPr>
          <w:ilvl w:val="2"/>
          <w:numId w:val="4"/>
        </w:numPr>
        <w:shd w:val="clear" w:color="auto" w:fill="FFFFFF"/>
        <w:tabs>
          <w:tab w:val="clear" w:pos="708"/>
          <w:tab w:val="left" w:pos="1418" w:leader="none"/>
        </w:tabs>
        <w:ind w:left="0" w:firstLine="567"/>
        <w:jc w:val="both"/>
        <w:rPr>
          <w:rFonts w:ascii="Times New Roman" w:hAnsi="Times New Roman" w:cs="Times New Roman"/>
          <w:bCs/>
        </w:rPr>
      </w:pPr>
      <w:r>
        <w:rPr>
          <w:rFonts w:cs="Times New Roman" w:ascii="Times New Roman" w:hAnsi="Times New Roman"/>
          <w:bCs/>
        </w:rPr>
        <w:t>Выполнить Работы в объеме, сроки и с качеством, соответствующим требованиям Договора и Применимого права</w:t>
      </w:r>
      <w:r>
        <w:rPr>
          <w:rFonts w:cs="Times New Roman" w:ascii="Times New Roman" w:hAnsi="Times New Roman"/>
        </w:rPr>
        <w:t xml:space="preserve"> </w:t>
      </w:r>
      <w:r>
        <w:rPr>
          <w:rFonts w:cs="Times New Roman" w:ascii="Times New Roman" w:hAnsi="Times New Roman"/>
          <w:bCs/>
        </w:rPr>
        <w:t>и сдать их результат Заказчику.</w:t>
      </w:r>
    </w:p>
    <w:p>
      <w:pPr>
        <w:pStyle w:val="ListParagraph"/>
        <w:numPr>
          <w:ilvl w:val="2"/>
          <w:numId w:val="4"/>
        </w:numPr>
        <w:shd w:val="clear" w:color="auto" w:fill="FFFFFF"/>
        <w:tabs>
          <w:tab w:val="clear" w:pos="708"/>
          <w:tab w:val="left" w:pos="1418" w:leader="none"/>
        </w:tabs>
        <w:ind w:left="0" w:firstLine="567"/>
        <w:jc w:val="both"/>
        <w:rPr>
          <w:rFonts w:ascii="Times New Roman" w:hAnsi="Times New Roman" w:cs="Times New Roman"/>
          <w:bCs/>
        </w:rPr>
      </w:pPr>
      <w:r>
        <w:rPr>
          <w:rFonts w:cs="Times New Roman" w:ascii="Times New Roman" w:hAnsi="Times New Roman"/>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20"/>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место производства Работ,</w:t>
      </w:r>
      <w:r>
        <w:rPr>
          <w:rFonts w:cs="Times New Roman" w:ascii="Times New Roman" w:hAnsi="Times New Roman"/>
          <w:bCs/>
          <w:color w:val="FF0000"/>
        </w:rPr>
        <w:t xml:space="preserve"> </w:t>
      </w:r>
      <w:r>
        <w:rPr>
          <w:rFonts w:cs="Times New Roman" w:ascii="Times New Roman" w:hAnsi="Times New Roman"/>
          <w:bCs/>
        </w:rPr>
        <w:t>место (помещение) для складирования Материально-технических ресурсов по соответствующим актам сдачи-приемки (Приложение № 5.1 к Договору);</w:t>
      </w:r>
    </w:p>
    <w:p>
      <w:pPr>
        <w:pStyle w:val="ListParagraph"/>
        <w:numPr>
          <w:ilvl w:val="0"/>
          <w:numId w:val="20"/>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4"/>
        </w:numPr>
        <w:shd w:val="clear" w:color="auto" w:fill="FFFFFF"/>
        <w:tabs>
          <w:tab w:val="clear" w:pos="708"/>
          <w:tab w:val="left" w:pos="1418" w:leader="none"/>
        </w:tabs>
        <w:ind w:left="0" w:firstLine="567"/>
        <w:jc w:val="both"/>
        <w:rPr>
          <w:rFonts w:ascii="Times New Roman" w:hAnsi="Times New Roman" w:cs="Times New Roman"/>
          <w:bCs/>
        </w:rPr>
      </w:pPr>
      <w:r>
        <w:rPr>
          <w:rFonts w:cs="Times New Roman" w:ascii="Times New Roman" w:hAnsi="Times New Roman"/>
          <w:bCs/>
        </w:rPr>
        <w:t xml:space="preserve">При приемке места производства Работ, места (помещения) для складирования Материально-технических ресурсов,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w:t>
      </w:r>
    </w:p>
    <w:p>
      <w:pPr>
        <w:pStyle w:val="ListParagraph"/>
        <w:shd w:val="clear" w:color="auto" w:fill="FFFFFF"/>
        <w:tabs>
          <w:tab w:val="clear" w:pos="708"/>
          <w:tab w:val="left" w:pos="1418" w:leader="none"/>
        </w:tabs>
        <w:ind w:left="0" w:firstLine="567"/>
        <w:jc w:val="both"/>
        <w:rPr>
          <w:rFonts w:ascii="Times New Roman" w:hAnsi="Times New Roman" w:cs="Times New Roman"/>
          <w:bCs/>
        </w:rPr>
      </w:pPr>
      <w:r>
        <w:rPr>
          <w:rFonts w:cs="Times New Roman" w:ascii="Times New Roman" w:hAnsi="Times New Roman"/>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4"/>
        </w:numPr>
        <w:shd w:val="clear" w:color="auto" w:fill="FFFFFF"/>
        <w:tabs>
          <w:tab w:val="clear" w:pos="708"/>
          <w:tab w:val="left" w:pos="1418" w:leader="none"/>
        </w:tabs>
        <w:ind w:left="0" w:firstLine="567"/>
        <w:jc w:val="both"/>
        <w:rPr>
          <w:rFonts w:ascii="Times New Roman" w:hAnsi="Times New Roman" w:cs="Times New Roman"/>
          <w:bCs/>
        </w:rPr>
      </w:pPr>
      <w:r>
        <w:rPr>
          <w:rFonts w:cs="Times New Roman" w:ascii="Times New Roman" w:hAnsi="Times New Roman"/>
          <w:bCs/>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До фактического начала выполнения Работ предоставить Заказчику:</w:t>
      </w:r>
    </w:p>
    <w:p>
      <w:pPr>
        <w:pStyle w:val="ListParagraph"/>
        <w:numPr>
          <w:ilvl w:val="0"/>
          <w:numId w:val="17"/>
        </w:numPr>
        <w:shd w:val="clear" w:color="auto" w:fill="FFFFFF"/>
        <w:tabs>
          <w:tab w:val="clear" w:pos="708"/>
          <w:tab w:val="left" w:pos="993" w:leader="none"/>
        </w:tabs>
        <w:ind w:left="0" w:firstLine="709"/>
        <w:jc w:val="both"/>
        <w:rPr>
          <w:rFonts w:ascii="Times New Roman" w:hAnsi="Times New Roman" w:cs="Times New Roman"/>
          <w:bCs/>
        </w:rPr>
      </w:pPr>
      <w:r>
        <w:rPr>
          <w:rFonts w:cs="Times New Roman" w:ascii="Times New Roman" w:hAnsi="Times New Roman"/>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а также на доступ к информационной системе </w:t>
      </w:r>
      <w:r>
        <w:rPr>
          <w:rFonts w:cs="Times New Roman" w:ascii="Times New Roman" w:hAnsi="Times New Roman"/>
          <w:bCs/>
          <w:lang w:val="en-US"/>
        </w:rPr>
        <w:t>Maximo</w:t>
      </w:r>
      <w:r>
        <w:rPr>
          <w:rFonts w:cs="Times New Roman" w:ascii="Times New Roman" w:hAnsi="Times New Roman"/>
          <w:bCs/>
        </w:rPr>
        <w:t xml:space="preserve">; </w:t>
      </w:r>
    </w:p>
    <w:p>
      <w:pPr>
        <w:pStyle w:val="ListParagraph"/>
        <w:numPr>
          <w:ilvl w:val="0"/>
          <w:numId w:val="17"/>
        </w:numPr>
        <w:shd w:val="clear" w:color="auto" w:fill="FFFFFF"/>
        <w:tabs>
          <w:tab w:val="clear" w:pos="708"/>
          <w:tab w:val="left" w:pos="709" w:leader="none"/>
          <w:tab w:val="left" w:pos="993" w:leader="none"/>
        </w:tabs>
        <w:ind w:left="0" w:firstLine="709"/>
        <w:jc w:val="both"/>
        <w:rPr>
          <w:rFonts w:ascii="Times New Roman" w:hAnsi="Times New Roman" w:cs="Times New Roman"/>
          <w:bCs/>
        </w:rPr>
      </w:pPr>
      <w:r>
        <w:rPr>
          <w:rFonts w:cs="Times New Roman" w:ascii="Times New Roman" w:hAnsi="Times New Roman"/>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7"/>
        </w:numPr>
        <w:shd w:val="clear" w:color="auto" w:fill="FFFFFF"/>
        <w:tabs>
          <w:tab w:val="clear" w:pos="708"/>
          <w:tab w:val="left" w:pos="709" w:leader="none"/>
          <w:tab w:val="left" w:pos="993" w:leader="none"/>
        </w:tabs>
        <w:ind w:left="0" w:firstLine="709"/>
        <w:jc w:val="both"/>
        <w:rPr>
          <w:rFonts w:ascii="Times New Roman" w:hAnsi="Times New Roman" w:cs="Times New Roman"/>
          <w:bCs/>
        </w:rPr>
      </w:pPr>
      <w:r>
        <w:rPr>
          <w:rFonts w:cs="Times New Roman" w:ascii="Times New Roman" w:hAnsi="Times New Roman"/>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rFonts w:cs="Times New Roman" w:ascii="Times New Roman" w:hAnsi="Times New Roman"/>
        </w:rPr>
        <w:t>соответствующим актам сдачи-приемки (Приложение № 3.1 к Договору) в соответствии с пунктами 2.1.2 и 2.1.3 Договора.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rFonts w:cs="Times New Roman" w:ascii="Times New Roman" w:hAnsi="Times New Roman"/>
          <w:bCs/>
        </w:rPr>
        <w:t>, в том числе указанных в Приложении № 6 к Договору</w:t>
      </w:r>
      <w:r>
        <w:rPr>
          <w:rFonts w:cs="Times New Roman" w:ascii="Times New Roman" w:hAnsi="Times New Roman"/>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rPr>
        <w:t>Выполнять</w:t>
      </w:r>
      <w:r>
        <w:rPr>
          <w:rFonts w:cs="Times New Roman" w:ascii="Times New Roman" w:hAnsi="Times New Roman"/>
          <w:bCs/>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Предоставить Заказчику в полном объеме необходимую для приемки Работ приемо-сдаточную и исполнительную документацию</w:t>
      </w:r>
      <w:r>
        <w:rPr>
          <w:rFonts w:cs="Times New Roman" w:ascii="Times New Roman" w:hAnsi="Times New Roman"/>
        </w:rPr>
        <w:t xml:space="preserve"> </w:t>
      </w:r>
      <w:r>
        <w:rPr>
          <w:rFonts w:cs="Times New Roman" w:ascii="Times New Roman" w:hAnsi="Times New Roman"/>
          <w:bCs/>
        </w:rPr>
        <w:t xml:space="preserve">в 3 (трех) экземплярах. </w:t>
      </w:r>
    </w:p>
    <w:p>
      <w:pPr>
        <w:pStyle w:val="ListParagraph"/>
        <w:shd w:val="clear" w:color="auto" w:fill="FFFFFF"/>
        <w:ind w:left="0" w:firstLine="709"/>
        <w:jc w:val="both"/>
        <w:rPr>
          <w:rFonts w:ascii="Times New Roman" w:hAnsi="Times New Roman" w:cs="Times New Roman"/>
          <w:bCs/>
        </w:rPr>
      </w:pPr>
      <w:r>
        <w:rPr>
          <w:rFonts w:cs="Times New Roman" w:ascii="Times New Roman" w:hAnsi="Times New Roman"/>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Передать Заказчику в полном объеме лом черных и цветных металлов, образовавшийся в ходе выполнения Работ.</w:t>
      </w:r>
    </w:p>
    <w:p>
      <w:pPr>
        <w:pStyle w:val="ListParagraph"/>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Подрядчик обязан предъявлять Заказчику материальные ценности, образованные в результате демонтажа объектов основных средств или их частей, в т.ч. объектов незавершенного строительства, а также малоценные и быстроизнашивающиеся предметы, хозяйственный инвентарь, инструменты и приспособления общего и специального назначения в порядке, установленном в Приложении № 11 к Договору.</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Выполнять полученные в ходе исполнения Договора указания Заказчика</w:t>
      </w:r>
      <w:r>
        <w:rPr>
          <w:rFonts w:cs="Times New Roman" w:ascii="Times New Roman" w:hAnsi="Times New Roman"/>
        </w:rPr>
        <w:t xml:space="preserve"> </w:t>
      </w:r>
      <w:r>
        <w:rPr>
          <w:rFonts w:cs="Times New Roman" w:ascii="Times New Roman" w:hAnsi="Times New Roman"/>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10"/>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2.3.21.1 Договора. </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2.3.21.1 Договора.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rFonts w:ascii="Times New Roman" w:hAnsi="Times New Roman" w:cs="Times New Roman"/>
          <w:bCs/>
        </w:rPr>
      </w:pPr>
      <w:r>
        <w:rPr>
          <w:rFonts w:cs="Times New Roman" w:ascii="Times New Roman" w:hAnsi="Times New Roman"/>
          <w:bCs/>
        </w:rPr>
        <w:t>Невыполнение Подрядчиком требований пункта 2.3.21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Письменно уведомлять</w:t>
      </w:r>
      <w:r>
        <w:rPr>
          <w:rFonts w:cs="Times New Roman" w:ascii="Times New Roman" w:hAnsi="Times New Roman"/>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8"/>
        </w:numPr>
        <w:ind w:left="0" w:right="23" w:firstLine="709"/>
        <w:jc w:val="both"/>
        <w:rPr>
          <w:rFonts w:ascii="Times New Roman" w:hAnsi="Times New Roman" w:cs="Times New Roman"/>
        </w:rPr>
      </w:pPr>
      <w:r>
        <w:rPr>
          <w:rFonts w:cs="Times New Roman" w:ascii="Times New Roman" w:hAnsi="Times New Roman"/>
        </w:rPr>
        <w:t>аварии – в течение 2 (двух) часов;</w:t>
      </w:r>
    </w:p>
    <w:p>
      <w:pPr>
        <w:pStyle w:val="ListParagraph"/>
        <w:numPr>
          <w:ilvl w:val="0"/>
          <w:numId w:val="18"/>
        </w:numPr>
        <w:ind w:left="0" w:right="23" w:firstLine="709"/>
        <w:jc w:val="both"/>
        <w:rPr>
          <w:rFonts w:ascii="Times New Roman" w:hAnsi="Times New Roman" w:cs="Times New Roman"/>
        </w:rPr>
      </w:pPr>
      <w:r>
        <w:rPr>
          <w:rFonts w:cs="Times New Roman" w:ascii="Times New Roman" w:hAnsi="Times New Roman"/>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8"/>
        </w:numPr>
        <w:ind w:left="0" w:right="23" w:firstLine="709"/>
        <w:jc w:val="both"/>
        <w:rPr>
          <w:rFonts w:ascii="Times New Roman" w:hAnsi="Times New Roman" w:cs="Times New Roman"/>
        </w:rPr>
      </w:pPr>
      <w:r>
        <w:rPr>
          <w:rFonts w:cs="Times New Roman" w:ascii="Times New Roman" w:hAnsi="Times New Roman"/>
        </w:rPr>
        <w:t>хищении и иных противоправных действиях – в течение 24 (двадцати четырех) часов;</w:t>
      </w:r>
    </w:p>
    <w:p>
      <w:pPr>
        <w:pStyle w:val="ListParagraph"/>
        <w:numPr>
          <w:ilvl w:val="0"/>
          <w:numId w:val="18"/>
        </w:numPr>
        <w:ind w:left="0" w:right="23" w:firstLine="709"/>
        <w:jc w:val="both"/>
        <w:rPr>
          <w:rFonts w:ascii="Times New Roman" w:hAnsi="Times New Roman" w:cs="Times New Roman"/>
        </w:rPr>
      </w:pPr>
      <w:r>
        <w:rPr>
          <w:rFonts w:cs="Times New Roman" w:ascii="Times New Roman" w:hAnsi="Times New Roman"/>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8"/>
        </w:numPr>
        <w:ind w:left="0" w:right="23" w:firstLine="709"/>
        <w:jc w:val="both"/>
        <w:rPr>
          <w:rFonts w:ascii="Times New Roman" w:hAnsi="Times New Roman" w:cs="Times New Roman"/>
        </w:rPr>
      </w:pPr>
      <w:r>
        <w:rPr>
          <w:rFonts w:cs="Times New Roman" w:ascii="Times New Roman" w:hAnsi="Times New Roman"/>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8"/>
        </w:numPr>
        <w:ind w:left="0" w:right="23" w:firstLine="709"/>
        <w:jc w:val="both"/>
        <w:rPr>
          <w:rFonts w:ascii="Times New Roman" w:hAnsi="Times New Roman" w:cs="Times New Roman"/>
        </w:rPr>
      </w:pPr>
      <w:r>
        <w:rPr>
          <w:rFonts w:cs="Times New Roman" w:ascii="Times New Roman" w:hAnsi="Times New Roman"/>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соответствующему акту сдачи-приемки (Приложения № 5.1 к Договору).</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Подрядчик обязан незамедлительно приступать к устранению недостатков, о которых ему стало известно.</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 xml:space="preserve">Письменно уведомлять Заказчика о необходимости проведения освидетельствования и/или приемки Скрытых работ. </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Указанное уведомление должно быть получено Заказчиком заблаговременно</w:t>
      </w:r>
      <w:r>
        <w:rPr>
          <w:rFonts w:cs="Times New Roman" w:ascii="Times New Roman" w:hAnsi="Times New Roman"/>
          <w:bCs/>
        </w:rPr>
        <w:t xml:space="preserve">, но не позднее, чем за </w:t>
      </w:r>
      <w:r>
        <w:rPr>
          <w:rFonts w:cs="Times New Roman" w:ascii="Times New Roman" w:hAnsi="Times New Roman"/>
        </w:rPr>
        <w:t>5 (пять)</w:t>
      </w:r>
      <w:r>
        <w:rPr>
          <w:rFonts w:cs="Times New Roman" w:ascii="Times New Roman" w:hAnsi="Times New Roman"/>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rFonts w:cs="Times New Roman" w:ascii="Times New Roman" w:hAnsi="Times New Roman"/>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rFonts w:cs="Times New Roman" w:ascii="Times New Roman" w:hAnsi="Times New Roman"/>
        </w:rPr>
        <w:t xml:space="preserve">, </w:t>
      </w:r>
      <w:r>
        <w:rPr>
          <w:rFonts w:cs="Times New Roman" w:ascii="Times New Roman" w:hAnsi="Times New Roman"/>
          <w:bCs/>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4"/>
        </w:numPr>
        <w:shd w:val="clear" w:color="auto" w:fill="FFFFFF"/>
        <w:tabs>
          <w:tab w:val="clear" w:pos="708"/>
          <w:tab w:val="left" w:pos="1418" w:leader="none"/>
        </w:tabs>
        <w:ind w:left="0" w:firstLine="710"/>
        <w:jc w:val="both"/>
        <w:rPr>
          <w:rFonts w:ascii="Times New Roman" w:hAnsi="Times New Roman" w:cs="Times New Roman"/>
          <w:bCs/>
        </w:rPr>
      </w:pPr>
      <w:r>
        <w:rPr>
          <w:rFonts w:cs="Times New Roman" w:ascii="Times New Roman" w:hAnsi="Times New Roman"/>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rFonts w:cs="Times New Roman" w:ascii="Times New Roman" w:hAnsi="Times New Roman"/>
        </w:rPr>
        <w:t xml:space="preserve"> </w:t>
      </w:r>
      <w:r>
        <w:rPr>
          <w:rFonts w:cs="Times New Roman" w:ascii="Times New Roman" w:hAnsi="Times New Roman"/>
          <w:bCs/>
        </w:rPr>
        <w:t xml:space="preserve">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4"/>
        </w:numPr>
        <w:tabs>
          <w:tab w:val="clear" w:pos="708"/>
          <w:tab w:val="left" w:pos="1418" w:leader="none"/>
        </w:tabs>
        <w:ind w:left="0" w:firstLine="709"/>
        <w:jc w:val="both"/>
        <w:rPr>
          <w:rFonts w:ascii="Times New Roman" w:hAnsi="Times New Roman" w:cs="Times New Roman"/>
          <w:color w:val="000000"/>
        </w:rPr>
      </w:pPr>
      <w:r>
        <w:rPr>
          <w:rFonts w:cs="Times New Roman" w:ascii="Times New Roman" w:hAnsi="Times New Roman"/>
          <w:color w:val="000000"/>
        </w:rPr>
        <w:t>Предоставить Заказчику банковские гарантии в соответствии с разделом 6 Договора.</w:t>
      </w:r>
    </w:p>
    <w:p>
      <w:pPr>
        <w:pStyle w:val="ListParagraph"/>
        <w:numPr>
          <w:ilvl w:val="2"/>
          <w:numId w:val="4"/>
        </w:numPr>
        <w:tabs>
          <w:tab w:val="clear" w:pos="708"/>
          <w:tab w:val="left" w:pos="1276" w:leader="none"/>
        </w:tabs>
        <w:ind w:left="0" w:firstLine="709"/>
        <w:jc w:val="both"/>
        <w:rPr>
          <w:rFonts w:ascii="Times New Roman" w:hAnsi="Times New Roman" w:cs="Times New Roman"/>
          <w:color w:val="000000"/>
        </w:rPr>
      </w:pPr>
      <w:r>
        <w:rPr>
          <w:rFonts w:cs="Times New Roman" w:ascii="Times New Roman" w:hAnsi="Times New Roman"/>
          <w:bCs/>
        </w:rPr>
        <w:t xml:space="preserve">Не позднее 2 (двух) рабочих дней даты подписания Сторонами Акта КС-2, оформленного в соответствии с п.4.1. Договора, регистрировать факт выполнения принятых Заказчиком работ по соответствующему Этапу Работ путем заполнения электронной формы в </w:t>
      </w:r>
      <w:r>
        <w:rPr>
          <w:rFonts w:cs="Times New Roman" w:ascii="Times New Roman" w:hAnsi="Times New Roman"/>
        </w:rPr>
        <w:t>Информационной системе Maximo</w:t>
      </w:r>
      <w:r>
        <w:rPr>
          <w:rFonts w:cs="Times New Roman" w:ascii="Times New Roman" w:hAnsi="Times New Roman"/>
          <w:bCs/>
        </w:rPr>
        <w:t xml:space="preserve"> в соответствии с процедурами, установленными в Приложении № 8 к Договору.</w:t>
      </w:r>
    </w:p>
    <w:p>
      <w:pPr>
        <w:pStyle w:val="ListParagraph"/>
        <w:numPr>
          <w:ilvl w:val="2"/>
          <w:numId w:val="4"/>
        </w:numPr>
        <w:ind w:left="0" w:firstLine="709"/>
        <w:jc w:val="both"/>
        <w:rPr>
          <w:rFonts w:ascii="Times New Roman" w:hAnsi="Times New Roman" w:cs="Times New Roman"/>
          <w:color w:val="000000"/>
        </w:rPr>
      </w:pPr>
      <w:r>
        <w:rPr>
          <w:rFonts w:cs="Times New Roman" w:ascii="Times New Roman" w:hAnsi="Times New Roman"/>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Исполнять иные обязанности, предусмотренные Договором и </w:t>
      </w:r>
      <w:r>
        <w:rPr>
          <w:rFonts w:cs="Times New Roman" w:ascii="Times New Roman" w:hAnsi="Times New Roman"/>
          <w:bCs/>
        </w:rPr>
        <w:t>законодательством Российской Федерации.</w:t>
      </w:r>
      <w:r>
        <w:rPr>
          <w:rFonts w:cs="Times New Roman" w:ascii="Times New Roman" w:hAnsi="Times New Roman"/>
        </w:rPr>
        <w:t xml:space="preserve"> </w:t>
      </w:r>
    </w:p>
    <w:p>
      <w:pPr>
        <w:pStyle w:val="Normal"/>
        <w:spacing w:lineRule="auto" w:line="240"/>
        <w:rPr>
          <w:sz w:val="24"/>
          <w:szCs w:val="24"/>
        </w:rPr>
      </w:pPr>
      <w:r>
        <w:rPr>
          <w:sz w:val="24"/>
          <w:szCs w:val="24"/>
        </w:rPr>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u w:val="single"/>
        </w:rPr>
        <w:t>Подрядчик имеет право</w:t>
      </w:r>
      <w:r>
        <w:rPr>
          <w:rFonts w:cs="Times New Roman" w:ascii="Times New Roman" w:hAnsi="Times New Roman"/>
          <w:bCs/>
        </w:rPr>
        <w:t>:</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Самостоятельно организовать выполнение Работ.</w:t>
      </w:r>
    </w:p>
    <w:p>
      <w:pPr>
        <w:pStyle w:val="ListParagraph"/>
        <w:numPr>
          <w:ilvl w:val="2"/>
          <w:numId w:val="4"/>
        </w:numPr>
        <w:shd w:val="clear" w:color="auto" w:fill="FFFFFF"/>
        <w:tabs>
          <w:tab w:val="clear" w:pos="708"/>
          <w:tab w:val="left" w:pos="851"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При необходимости по предварительному письменному согласованию </w:t>
        <w:br/>
        <w:t>с Заказчиком заключать договоры субподряда в совокупности не более чем на ___  (_____) процентов</w:t>
      </w:r>
      <w:r>
        <w:rPr>
          <w:rFonts w:cs="Times New Roman" w:ascii="Times New Roman" w:hAnsi="Times New Roman"/>
          <w:bCs/>
          <w:vertAlign w:val="superscript"/>
        </w:rPr>
        <w:t xml:space="preserve"> </w:t>
      </w:r>
      <w:r>
        <w:rPr>
          <w:rFonts w:cs="Times New Roman" w:ascii="Times New Roman" w:hAnsi="Times New Roman"/>
          <w:bCs/>
        </w:rPr>
        <w:t>от Цены Договора, неся при этом ответственность за действия Субподрядчиков, как за свои собственные.</w:t>
      </w:r>
    </w:p>
    <w:p>
      <w:pPr>
        <w:pStyle w:val="ListParagraph"/>
        <w:shd w:val="clear" w:color="auto" w:fill="FFFFFF"/>
        <w:tabs>
          <w:tab w:val="clear" w:pos="708"/>
          <w:tab w:val="left" w:pos="851" w:leader="none"/>
          <w:tab w:val="left" w:pos="1276" w:leader="none"/>
        </w:tabs>
        <w:ind w:left="0" w:firstLine="709"/>
        <w:jc w:val="both"/>
        <w:rPr>
          <w:rFonts w:ascii="Times New Roman" w:hAnsi="Times New Roman" w:cs="Times New Roman"/>
          <w:bCs/>
        </w:rPr>
      </w:pPr>
      <w:r>
        <w:rPr>
          <w:rFonts w:cs="Times New Roman" w:ascii="Times New Roman" w:hAnsi="Times New Roman"/>
          <w:bCs/>
        </w:rPr>
        <w:t xml:space="preserve">При согласовании привлечения Субподрядчика Подрядчик представляет Заказчику: </w:t>
      </w:r>
    </w:p>
    <w:p>
      <w:pPr>
        <w:pStyle w:val="ListParagraph"/>
        <w:numPr>
          <w:ilvl w:val="0"/>
          <w:numId w:val="26"/>
        </w:numPr>
        <w:shd w:val="clear" w:color="auto" w:fill="FFFFFF"/>
        <w:tabs>
          <w:tab w:val="clear" w:pos="708"/>
          <w:tab w:val="left" w:pos="709" w:leader="none"/>
          <w:tab w:val="left" w:pos="1276" w:leader="none"/>
          <w:tab w:val="left" w:pos="1418" w:leader="none"/>
        </w:tabs>
        <w:ind w:left="0" w:firstLine="709"/>
        <w:jc w:val="both"/>
        <w:rPr>
          <w:rFonts w:ascii="Times New Roman" w:hAnsi="Times New Roman" w:cs="Times New Roman"/>
          <w:bCs/>
        </w:rPr>
      </w:pPr>
      <w:r>
        <w:rPr>
          <w:rFonts w:cs="Times New Roman" w:ascii="Times New Roman" w:hAnsi="Times New Roman"/>
          <w:bCs/>
        </w:rPr>
        <w:t>проект договора с Субподрядчиком;</w:t>
      </w:r>
    </w:p>
    <w:p>
      <w:pPr>
        <w:pStyle w:val="ListParagraph"/>
        <w:numPr>
          <w:ilvl w:val="0"/>
          <w:numId w:val="26"/>
        </w:numPr>
        <w:shd w:val="clear" w:color="auto" w:fill="FFFFFF"/>
        <w:tabs>
          <w:tab w:val="clear" w:pos="708"/>
          <w:tab w:val="left" w:pos="709" w:leader="none"/>
          <w:tab w:val="left" w:pos="1276" w:leader="none"/>
          <w:tab w:val="left" w:pos="1418" w:leader="none"/>
        </w:tabs>
        <w:ind w:left="0" w:firstLine="709"/>
        <w:jc w:val="both"/>
        <w:rPr>
          <w:rFonts w:ascii="Times New Roman" w:hAnsi="Times New Roman" w:cs="Times New Roman"/>
          <w:bCs/>
        </w:rPr>
      </w:pPr>
      <w:r>
        <w:rPr>
          <w:rFonts w:cs="Times New Roman" w:ascii="Times New Roman" w:hAnsi="Times New Roman"/>
          <w:bCs/>
        </w:rPr>
        <w:t>сведения об объемах выполнения работ Субподрядчиком;</w:t>
      </w:r>
    </w:p>
    <w:p>
      <w:pPr>
        <w:pStyle w:val="ListParagraph"/>
        <w:numPr>
          <w:ilvl w:val="0"/>
          <w:numId w:val="26"/>
        </w:numPr>
        <w:tabs>
          <w:tab w:val="clear" w:pos="708"/>
          <w:tab w:val="left" w:pos="709" w:leader="none"/>
          <w:tab w:val="left" w:pos="1276" w:leader="none"/>
        </w:tabs>
        <w:ind w:left="0" w:firstLine="709"/>
        <w:jc w:val="both"/>
        <w:rPr>
          <w:rFonts w:ascii="Times New Roman" w:hAnsi="Times New Roman" w:cs="Times New Roman"/>
          <w:bCs/>
        </w:rPr>
      </w:pPr>
      <w:r>
        <w:rPr>
          <w:rFonts w:cs="Times New Roman" w:ascii="Times New Roman" w:hAnsi="Times New Roman"/>
          <w:bCs/>
        </w:rPr>
        <w:t>пофамильный перечень персонала Субподрядчика, который будет задействован при производстве Работ;</w:t>
      </w:r>
    </w:p>
    <w:p>
      <w:pPr>
        <w:pStyle w:val="ListParagraph"/>
        <w:numPr>
          <w:ilvl w:val="0"/>
          <w:numId w:val="25"/>
        </w:numPr>
        <w:tabs>
          <w:tab w:val="clear" w:pos="708"/>
          <w:tab w:val="left" w:pos="709" w:leader="none"/>
          <w:tab w:val="left" w:pos="1276" w:leader="none"/>
        </w:tabs>
        <w:ind w:left="0" w:firstLine="709"/>
        <w:jc w:val="both"/>
        <w:rPr>
          <w:rFonts w:ascii="Times New Roman" w:hAnsi="Times New Roman" w:cs="Times New Roman"/>
          <w:bCs/>
        </w:rPr>
      </w:pPr>
      <w:r>
        <w:rPr>
          <w:rFonts w:cs="Times New Roman" w:ascii="Times New Roman" w:hAnsi="Times New Roman"/>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color="auto" w:fill="FFFFFF"/>
        <w:tabs>
          <w:tab w:val="clear" w:pos="708"/>
          <w:tab w:val="left" w:pos="1418" w:leader="none"/>
        </w:tabs>
        <w:ind w:left="0" w:firstLine="426"/>
        <w:jc w:val="both"/>
        <w:rPr>
          <w:rFonts w:ascii="Times New Roman" w:hAnsi="Times New Roman" w:cs="Times New Roman"/>
        </w:rPr>
      </w:pPr>
      <w:r>
        <w:rPr>
          <w:rFonts w:cs="Times New Roman" w:ascii="Times New Roman" w:hAnsi="Times New Roman"/>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rPr>
      </w:pPr>
      <w:r>
        <w:rPr>
          <w:rFonts w:cs="Times New Roman" w:ascii="Times New Roman" w:hAnsi="Times New Roman"/>
          <w:b/>
          <w:bCs/>
        </w:rPr>
        <w:t>Цена Договора и порядок расчетов</w:t>
      </w:r>
    </w:p>
    <w:p>
      <w:pPr>
        <w:pStyle w:val="ListParagraph"/>
        <w:numPr>
          <w:ilvl w:val="1"/>
          <w:numId w:val="4"/>
        </w:numPr>
        <w:shd w:val="clear" w:color="auto" w:fill="FFFFFF" w:themeFill="background1"/>
        <w:tabs>
          <w:tab w:val="clear" w:pos="708"/>
          <w:tab w:val="left" w:pos="1276" w:leader="none"/>
        </w:tabs>
        <w:spacing w:before="0" w:after="0"/>
        <w:ind w:left="0" w:firstLine="709"/>
        <w:contextualSpacing w:val="false"/>
        <w:jc w:val="both"/>
        <w:textAlignment w:val="baseline"/>
        <w:rPr>
          <w:rFonts w:ascii="Times New Roman" w:hAnsi="Times New Roman" w:cs="Times New Roman"/>
        </w:rPr>
      </w:pPr>
      <w:bookmarkStart w:id="9" w:name="_Ref361335465"/>
      <w:bookmarkStart w:id="10" w:name="_Ref361834605"/>
      <w:r>
        <w:rPr>
          <w:rFonts w:cs="Times New Roman" w:ascii="Times New Roman" w:hAnsi="Times New Roman"/>
          <w:bCs/>
        </w:rPr>
        <w:t xml:space="preserve">Цена </w:t>
      </w:r>
      <w:r>
        <w:rPr>
          <w:rFonts w:cs="Times New Roman" w:ascii="Times New Roman" w:hAnsi="Times New Roman"/>
        </w:rPr>
        <w:t xml:space="preserve">Договора </w:t>
      </w:r>
      <w:r>
        <w:rPr>
          <w:rFonts w:cs="Times New Roman" w:ascii="Times New Roman" w:hAnsi="Times New Roman"/>
          <w:bCs/>
        </w:rPr>
        <w:t>в соответствии со Сводным сметным расчетом</w:t>
      </w:r>
      <w:r>
        <w:rPr>
          <w:rFonts w:cs="Times New Roman" w:ascii="Times New Roman" w:hAnsi="Times New Roman"/>
        </w:rPr>
        <w:t xml:space="preserve"> </w:t>
      </w:r>
      <w:r>
        <w:rPr>
          <w:rFonts w:cs="Times New Roman" w:ascii="Times New Roman" w:hAnsi="Times New Roman"/>
          <w:bCs/>
        </w:rPr>
        <w:t xml:space="preserve">(Приложение № 4 к Договору) </w:t>
      </w:r>
      <w:r>
        <w:rPr>
          <w:rFonts w:cs="Times New Roman" w:ascii="Times New Roman" w:hAnsi="Times New Roman"/>
          <w:bCs/>
          <w:shd w:fill="FFFFFF" w:val="clear"/>
        </w:rPr>
        <w:t xml:space="preserve">является предельной и составляет </w:t>
      </w:r>
      <w:r>
        <w:rPr>
          <w:rFonts w:cs="Times New Roman" w:ascii="Times New Roman" w:hAnsi="Times New Roman"/>
          <w:shd w:fill="FFFFFF" w:val="clear"/>
        </w:rPr>
        <w:t>_______</w:t>
      </w:r>
      <w:r>
        <w:rPr>
          <w:rFonts w:cs="Times New Roman" w:ascii="Times New Roman" w:hAnsi="Times New Roman"/>
          <w:bCs/>
          <w:shd w:fill="FFFFFF" w:val="clear"/>
        </w:rPr>
        <w:t xml:space="preserve"> (</w:t>
      </w:r>
      <w:r>
        <w:rPr>
          <w:rFonts w:cs="Times New Roman" w:ascii="Times New Roman" w:hAnsi="Times New Roman"/>
          <w:shd w:fill="FFFFFF" w:val="clear"/>
        </w:rPr>
        <w:t>__________________</w:t>
      </w:r>
      <w:r>
        <w:rPr>
          <w:rFonts w:cs="Times New Roman" w:ascii="Times New Roman" w:hAnsi="Times New Roman"/>
          <w:bCs/>
          <w:shd w:fill="FFFFFF" w:val="clear"/>
        </w:rPr>
        <w:t xml:space="preserve">) рублей </w:t>
      </w:r>
      <w:r>
        <w:rPr>
          <w:rFonts w:cs="Times New Roman" w:ascii="Times New Roman" w:hAnsi="Times New Roman"/>
          <w:shd w:fill="FFFFFF" w:val="clear"/>
        </w:rPr>
        <w:t>___</w:t>
      </w:r>
      <w:r>
        <w:rPr>
          <w:rFonts w:cs="Times New Roman" w:ascii="Times New Roman" w:hAnsi="Times New Roman"/>
          <w:bCs/>
        </w:rPr>
        <w:t xml:space="preserve"> копеек, без учёта НДС, при этом НДС исчисляется дополнительно по ставке, установленной ст.164 Налогового кодекса РФ.</w:t>
      </w:r>
    </w:p>
    <w:p>
      <w:pPr>
        <w:pStyle w:val="ListParagraph"/>
        <w:numPr>
          <w:ilvl w:val="2"/>
          <w:numId w:val="4"/>
        </w:numPr>
        <w:shd w:val="clear" w:color="auto" w:fill="FFFFFF" w:themeFill="background1"/>
        <w:tabs>
          <w:tab w:val="clear" w:pos="708"/>
          <w:tab w:val="left" w:pos="1276" w:leader="none"/>
          <w:tab w:val="left" w:pos="2138" w:leader="none"/>
        </w:tabs>
        <w:spacing w:before="0" w:after="0"/>
        <w:ind w:left="0" w:firstLine="709"/>
        <w:contextualSpacing w:val="false"/>
        <w:jc w:val="both"/>
        <w:textAlignment w:val="baseline"/>
        <w:rPr>
          <w:rFonts w:ascii="Times New Roman" w:hAnsi="Times New Roman" w:cs="Times New Roman"/>
          <w:bCs/>
        </w:rPr>
      </w:pPr>
      <w:r>
        <w:rPr>
          <w:rFonts w:cs="Times New Roman" w:ascii="Times New Roman" w:hAnsi="Times New Roman"/>
          <w:bCs/>
        </w:rPr>
        <w:t>Предельная цена Работ (без учета Лимита на непредвиденные работы и затраты) составляет _______ (_______________) рублей ___ копеек, без учёта НДС, при этом НДС исчисляется дополнительно по ставке, установленной ст.164 Налогового кодекса РФ;</w:t>
      </w:r>
    </w:p>
    <w:p>
      <w:pPr>
        <w:pStyle w:val="ListParagraph"/>
        <w:numPr>
          <w:ilvl w:val="2"/>
          <w:numId w:val="4"/>
        </w:numPr>
        <w:shd w:val="clear" w:color="auto" w:fill="FFFFFF" w:themeFill="background1"/>
        <w:tabs>
          <w:tab w:val="clear" w:pos="708"/>
          <w:tab w:val="left" w:pos="1276" w:leader="none"/>
          <w:tab w:val="left" w:pos="2138" w:leader="none"/>
        </w:tabs>
        <w:spacing w:before="0" w:after="0"/>
        <w:ind w:left="0" w:firstLine="709"/>
        <w:contextualSpacing w:val="false"/>
        <w:jc w:val="both"/>
        <w:textAlignment w:val="baseline"/>
        <w:rPr>
          <w:rFonts w:ascii="Times New Roman" w:hAnsi="Times New Roman" w:cs="Times New Roman"/>
          <w:bCs/>
        </w:rPr>
      </w:pPr>
      <w:r>
        <w:rPr>
          <w:rFonts w:cs="Times New Roman" w:ascii="Times New Roman" w:hAnsi="Times New Roman"/>
          <w:bCs/>
        </w:rPr>
        <w:t>Лимит на непредвиденные работы и затраты составляет ______ (___________________) рублей ___ копеек, без учёта НДС, при этом НДС исчисляется дополнительно по ставке, установленной ст.164 Налогового кодекса РФ;</w:t>
      </w:r>
    </w:p>
    <w:p>
      <w:pPr>
        <w:pStyle w:val="ListParagraph"/>
        <w:numPr>
          <w:ilvl w:val="1"/>
          <w:numId w:val="4"/>
        </w:numPr>
        <w:shd w:val="clear" w:color="auto" w:fill="FFFFFF" w:themeFill="background1"/>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Локальные сметы подлежат согласованию Сторонами не позднее истечения </w:t>
      </w:r>
      <w:r>
        <w:rPr>
          <w:rFonts w:cs="Times New Roman" w:ascii="Times New Roman" w:hAnsi="Times New Roman"/>
        </w:rPr>
        <w:t>30</w:t>
      </w:r>
      <w:r>
        <w:rPr>
          <w:rFonts w:cs="Times New Roman" w:ascii="Times New Roman" w:hAnsi="Times New Roman"/>
          <w:bCs/>
        </w:rPr>
        <w:t xml:space="preserve"> (</w:t>
      </w:r>
      <w:r>
        <w:rPr>
          <w:rFonts w:cs="Times New Roman" w:ascii="Times New Roman" w:hAnsi="Times New Roman"/>
        </w:rPr>
        <w:t>тридцати</w:t>
      </w:r>
      <w:r>
        <w:rPr>
          <w:rFonts w:cs="Times New Roman" w:ascii="Times New Roman" w:hAnsi="Times New Roman"/>
          <w:bCs/>
        </w:rPr>
        <w:t>)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 Стороны обязаны уточнить Сводный сметный расчет</w:t>
      </w:r>
      <w:r>
        <w:rPr>
          <w:rFonts w:cs="Times New Roman" w:ascii="Times New Roman" w:hAnsi="Times New Roman"/>
        </w:rPr>
        <w:t xml:space="preserve"> (</w:t>
      </w:r>
      <w:r>
        <w:rPr>
          <w:rFonts w:cs="Times New Roman" w:ascii="Times New Roman" w:hAnsi="Times New Roman"/>
          <w:bCs/>
        </w:rPr>
        <w:t>Приложение № 4 к Договору) путем заключения дополнительного соглашения к Договору.</w:t>
      </w:r>
      <w:bookmarkEnd w:id="9"/>
      <w:bookmarkEnd w:id="10"/>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Цена Договора включает в себя прибыль Подрядчика, а также все расходы и затраты Подрядчика на: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выполнение ремонтных работ;</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 xml:space="preserve">все прочие затраты и расходы Подрядчика, связанные с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11" w:name="_Ref361858588"/>
      <w:bookmarkStart w:id="12" w:name="_Ref361834675"/>
      <w:r>
        <w:rPr>
          <w:rFonts w:cs="Times New Roman" w:ascii="Times New Roman" w:hAnsi="Times New Roman"/>
          <w:bCs/>
        </w:rPr>
        <w:t>Оплата по Договору осуществляется Заказчиком в следующем порядке:</w:t>
      </w:r>
      <w:bookmarkEnd w:id="11"/>
      <w:bookmarkEnd w:id="12"/>
      <w:r>
        <w:rPr>
          <w:rFonts w:cs="Times New Roman" w:ascii="Times New Roman" w:hAnsi="Times New Roman"/>
          <w:bCs/>
        </w:rPr>
        <w:t xml:space="preserve">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bookmarkStart w:id="13" w:name="_Ref361335057"/>
      <w:bookmarkStart w:id="14" w:name="_Ref373242755"/>
      <w:bookmarkEnd w:id="13"/>
      <w:bookmarkEnd w:id="14"/>
      <w:r>
        <w:rPr>
          <w:rFonts w:cs="Times New Roman" w:ascii="Times New Roman" w:hAnsi="Times New Roman"/>
        </w:rPr>
        <w:t>Подрядчик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bookmarkStart w:id="15" w:name="_Ref373242766"/>
      <w:bookmarkStart w:id="16" w:name="_Ref361335023"/>
      <w:bookmarkStart w:id="17" w:name="_Ref361335057_Копия_1"/>
      <w:bookmarkStart w:id="18" w:name="_Ref373242755_Копия_1"/>
      <w:bookmarkStart w:id="19" w:name="_Ref361834178"/>
      <w:bookmarkEnd w:id="16"/>
      <w:bookmarkEnd w:id="17"/>
      <w:bookmarkEnd w:id="18"/>
      <w:bookmarkEnd w:id="19"/>
      <w:r>
        <w:rPr>
          <w:rFonts w:cs="Times New Roman" w:ascii="Times New Roman" w:hAnsi="Times New Roman"/>
        </w:rPr>
        <w:t xml:space="preserve">Авансовые платежи в счет стоимости каждого Этапа Работ в размере 10 (десяти) процентов от стоимости соответствующего Этапа Работ </w:t>
      </w:r>
      <w:r>
        <w:rPr>
          <w:rFonts w:cs="Times New Roman" w:ascii="Times New Roman" w:hAnsi="Times New Roman"/>
          <w:shd w:fill="FFFFFF" w:val="clear"/>
        </w:rPr>
        <w:t>(за исключением непредвиденных работ и затрат)</w:t>
      </w:r>
      <w:r>
        <w:rPr>
          <w:rFonts w:cs="Times New Roman" w:ascii="Times New Roman" w:hAnsi="Times New Roman"/>
        </w:rPr>
        <w:t xml:space="preserve">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3.2 Договора,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3.5.1, 3.5.4 Договора.</w:t>
      </w:r>
      <w:bookmarkEnd w:id="15"/>
    </w:p>
    <w:p>
      <w:pPr>
        <w:pStyle w:val="ListParagraph"/>
        <w:numPr>
          <w:ilvl w:val="2"/>
          <w:numId w:val="4"/>
        </w:numPr>
        <w:ind w:left="0" w:firstLine="709"/>
        <w:jc w:val="both"/>
        <w:rPr>
          <w:rFonts w:ascii="Times New Roman" w:hAnsi="Times New Roman" w:cs="Times New Roman"/>
        </w:rPr>
      </w:pPr>
      <w:r>
        <w:rPr>
          <w:rFonts w:eastAsia="Times New Roman" w:cs="Times New Roman" w:ascii="Times New Roman" w:hAnsi="Times New Roman"/>
          <w:lang w:eastAsia="ru-RU"/>
        </w:rPr>
        <w:t>Последующие платежи в размере разницы между стоимостью Работ,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суммой авансового платежа, ранее уплаченного в соответствии с пунктом 3.5.2 Договора,</w:t>
      </w:r>
      <w:r>
        <w:rPr>
          <w:rFonts w:cs="Times New Roman" w:ascii="Times New Roman" w:hAnsi="Times New Roman"/>
        </w:rPr>
        <w:t xml:space="preserve"> выплачиваются в течение 7 (семи) рабочих дней</w:t>
      </w:r>
      <w:r>
        <w:rPr>
          <w:rFonts w:cs="Times New Roman" w:ascii="Times New Roman" w:hAnsi="Times New Roman"/>
          <w:vertAlign w:val="superscript"/>
        </w:rPr>
        <w:t xml:space="preserve"> </w:t>
      </w:r>
      <w:r>
        <w:rPr>
          <w:rFonts w:cs="Times New Roman" w:ascii="Times New Roman" w:hAnsi="Times New Roman"/>
        </w:rPr>
        <w:t>с даты подписания Сторонами документов, указанных в пункте 4.1 Договора, на основании счёта, выставленного Подрядчиком, и с учетом пункта 3.5.4 Договора.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bookmarkStart w:id="20" w:name="_Ref373242894"/>
      <w:bookmarkStart w:id="21" w:name="_Ref361834178_Копия_1"/>
      <w:bookmarkEnd w:id="21"/>
      <w:r>
        <w:rPr>
          <w:rFonts w:cs="Times New Roman" w:ascii="Times New Roman" w:hAnsi="Times New Roman"/>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w:t>
      </w:r>
      <w:r>
        <w:rPr>
          <w:rFonts w:cs="Times New Roman" w:ascii="Times New Roman" w:hAnsi="Times New Roman"/>
        </w:rPr>
        <w:t>предоставил</w:t>
      </w:r>
      <w:r>
        <w:rPr>
          <w:rFonts w:cs="Times New Roman" w:ascii="Times New Roman" w:hAnsi="Times New Roman"/>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bookmarkEnd w:id="20"/>
      <w:r>
        <w:rPr>
          <w:rFonts w:cs="Times New Roman" w:ascii="Times New Roman" w:hAnsi="Times New Roman"/>
          <w:bCs/>
        </w:rPr>
        <w:t xml:space="preserve">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2" w:name="_Ref361336647"/>
      <w:bookmarkEnd w:id="22"/>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За исключением случая, указанного в пункте 2.3.20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4"/>
        </w:numPr>
        <w:ind w:left="0" w:firstLine="709"/>
        <w:jc w:val="both"/>
        <w:rPr>
          <w:rFonts w:ascii="Times New Roman" w:hAnsi="Times New Roman" w:cs="Times New Roman"/>
          <w:bCs/>
        </w:rPr>
      </w:pPr>
      <w:r>
        <w:rPr>
          <w:rFonts w:cs="Times New Roman" w:ascii="Times New Roman" w:hAnsi="Times New Roman"/>
          <w:bCs/>
        </w:rPr>
        <w:t>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(Приложение № 4 к Договору). Приемка выполненного объема работ производится одновременно с Работами по Договору при подписании Сторонами Акта КС-2 в соответствии с пунктом 4.1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пункта 3.5.4 Договора. Стоимость непредвиденных работ и затрат включается в общую сумму Акта КС-2, подписываемого Сторонами в соответствии с пунктом 4.1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Командировочные расходы включаются в стоимость Этапов Работ в соответствии с расчетом, прилагаемым к Сводному сметному расчету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23" w:name="_Ref361335023_Копия_1"/>
      <w:bookmarkEnd w:id="23"/>
      <w:r>
        <w:rPr>
          <w:rFonts w:cs="Times New Roman" w:ascii="Times New Roman" w:hAnsi="Times New Roman"/>
          <w:bCs/>
        </w:rPr>
        <w:t>Индексация Цены Договора не допускается.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24" w:name="_Ref361834251"/>
      <w:r>
        <w:rPr>
          <w:rFonts w:cs="Times New Roman" w:ascii="Times New Roman" w:hAnsi="Times New Roman"/>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bookmarkEnd w:id="24"/>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567"/>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Порядок сдачи-приемки Работ</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bookmarkStart w:id="25" w:name="_Ref361336865"/>
      <w:r>
        <w:rPr>
          <w:rFonts w:cs="Times New Roman" w:ascii="Times New Roman" w:hAnsi="Times New Roman"/>
          <w:bCs/>
        </w:rPr>
        <w:t>По завершении выполнения Работ по каждому Этапу Работ Подрядчик в течение 3 (трех) рабочих дней представляет Заказчику подписанные со своей стороны:</w:t>
      </w:r>
    </w:p>
    <w:p>
      <w:pPr>
        <w:pStyle w:val="ListParagraph"/>
        <w:numPr>
          <w:ilvl w:val="0"/>
          <w:numId w:val="19"/>
        </w:numPr>
        <w:shd w:val="clear" w:color="auto" w:fill="FFFFFF"/>
        <w:tabs>
          <w:tab w:val="clear" w:pos="708"/>
          <w:tab w:val="left" w:pos="1418" w:leader="none"/>
        </w:tabs>
        <w:ind w:left="0" w:firstLine="709"/>
        <w:jc w:val="both"/>
        <w:rPr>
          <w:rFonts w:ascii="Times New Roman" w:hAnsi="Times New Roman" w:cs="Times New Roman"/>
        </w:rPr>
      </w:pPr>
      <w:r>
        <w:rPr>
          <w:rFonts w:cs="Times New Roman" w:ascii="Times New Roman" w:hAnsi="Times New Roman"/>
        </w:rPr>
        <w:t>Акт КС-2, Справку КС-3 в 2 (двух) экземплярах</w:t>
      </w:r>
      <w:r>
        <w:rPr>
          <w:rFonts w:cs="Times New Roman" w:ascii="Times New Roman" w:hAnsi="Times New Roman"/>
          <w:bCs/>
        </w:rPr>
        <w:t xml:space="preserve"> с приложением Приемо-сдаточной и Исполнительной документации </w:t>
      </w:r>
      <w:r>
        <w:rPr>
          <w:rFonts w:cs="Times New Roman" w:ascii="Times New Roman" w:hAnsi="Times New Roman"/>
        </w:rPr>
        <w:t xml:space="preserve">в 3 (трех) экземплярах, а также электронные версии Акта КС-2 и Справки КС-3 в формате *gsfx ПК «ГРАНД Сметы» на цифровом носителе. </w:t>
      </w:r>
      <w:bookmarkEnd w:id="25"/>
    </w:p>
    <w:p>
      <w:pPr>
        <w:pStyle w:val="ListParagraph"/>
        <w:numPr>
          <w:ilvl w:val="1"/>
          <w:numId w:val="4"/>
        </w:numPr>
        <w:shd w:val="clear" w:color="auto" w:fill="FFFFFF"/>
        <w:tabs>
          <w:tab w:val="clear" w:pos="708"/>
          <w:tab w:val="left" w:pos="568"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4"/>
        </w:numPr>
        <w:shd w:val="clear" w:color="auto" w:fill="FFFFFF"/>
        <w:tabs>
          <w:tab w:val="clear" w:pos="708"/>
          <w:tab w:val="left" w:pos="568"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Если Подрядчик не устранит недостатки, несоответствия и / или дефекты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26" w:name="_Ref361337635"/>
      <w:r>
        <w:rPr>
          <w:rFonts w:cs="Times New Roman" w:ascii="Times New Roman" w:hAnsi="Times New Roman"/>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6"/>
    </w:p>
    <w:p>
      <w:pPr>
        <w:pStyle w:val="ListParagraph"/>
        <w:shd w:val="clear" w:color="auto" w:fill="FFFFFF"/>
        <w:tabs>
          <w:tab w:val="clear" w:pos="708"/>
          <w:tab w:val="left" w:pos="1134" w:leader="none"/>
        </w:tabs>
        <w:ind w:left="567" w:hanging="0"/>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Право собственности и переход рисков</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27" w:name="_Ref361405028"/>
      <w:r>
        <w:rPr>
          <w:rFonts w:cs="Times New Roman" w:ascii="Times New Roman" w:hAnsi="Times New Roman"/>
          <w:bCs/>
        </w:rPr>
        <w:t xml:space="preserve">Риск случайной гибели или повреждения Результата Работ в отношении каждого Объекта, включая Материально-технические ресурсы, переходит к Заказчику с момента подписания соответствующего Акта </w:t>
      </w:r>
      <w:r>
        <w:rPr>
          <w:rFonts w:cs="Times New Roman" w:ascii="Times New Roman" w:hAnsi="Times New Roman"/>
        </w:rPr>
        <w:t>КС-2</w:t>
      </w:r>
      <w:r>
        <w:rPr>
          <w:rFonts w:cs="Times New Roman" w:ascii="Times New Roman" w:hAnsi="Times New Roman"/>
          <w:bCs/>
        </w:rPr>
        <w:t>. До подписания Сторонами указанного Акта риск случайной гибели или повреждения Результата Работ по Объекту и Материально-технических ресурсов, несет Подрядчик.</w:t>
      </w:r>
      <w:bookmarkEnd w:id="27"/>
    </w:p>
    <w:p>
      <w:pPr>
        <w:pStyle w:val="ListParagraph"/>
        <w:shd w:val="clear" w:color="auto" w:fill="FFFFFF"/>
        <w:tabs>
          <w:tab w:val="clear" w:pos="708"/>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Банковские гарантии</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должна быть безотзывной и безусловной (гарантия по первому требованию);</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бенефициар по Банковской гарантии – Заказчик, принципал – Подрядчик;</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сумма Банковской гарантии должна быть выражена в валюте расчетов по Договору;</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сумма Банковской гарантии возврата авансового платежа должна быть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 </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rFonts w:cs="Times New Roman" w:ascii="Times New Roman" w:hAnsi="Times New Roman"/>
        </w:rPr>
        <w:t xml:space="preserve"> </w:t>
      </w:r>
      <w:r>
        <w:rPr>
          <w:rFonts w:cs="Times New Roman" w:ascii="Times New Roman" w:hAnsi="Times New Roman"/>
          <w:bCs/>
        </w:rPr>
        <w:t>как полностью, так и частично, с указанием на существо допущенных Подрядчиком нарушений, в том числе в случаях:</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r>
      <w:r>
        <w:rPr>
          <w:bCs/>
          <w:sz w:val="24"/>
          <w:szCs w:val="24"/>
        </w:rPr>
        <w:t>в отношении Подрядчика;</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7"/>
        </w:numPr>
        <w:tabs>
          <w:tab w:val="clear" w:pos="708"/>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7"/>
        </w:numPr>
        <w:tabs>
          <w:tab w:val="clear" w:pos="708"/>
          <w:tab w:val="left" w:pos="1418" w:leader="none"/>
        </w:tabs>
        <w:spacing w:lineRule="auto" w:line="240"/>
        <w:ind w:left="0" w:firstLine="709"/>
        <w:rPr>
          <w:bCs/>
          <w:sz w:val="24"/>
          <w:szCs w:val="24"/>
        </w:rPr>
      </w:pPr>
      <w:r>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ind w:left="0" w:firstLine="709"/>
        <w:jc w:val="both"/>
        <w:rPr>
          <w:rFonts w:ascii="Times New Roman" w:hAnsi="Times New Roman" w:cs="Times New Roman"/>
          <w:bCs/>
        </w:rPr>
      </w:pPr>
      <w:r>
        <w:rPr>
          <w:rFonts w:cs="Times New Roman" w:ascii="Times New Roman" w:hAnsi="Times New Roman"/>
          <w:bCs/>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eastAsia="Times New Roman" w:cs="Times New Roman" w:ascii="Times New Roman" w:hAnsi="Times New Roman"/>
          <w:bCs/>
          <w:color w:val="000000"/>
          <w:lang w:eastAsia="ru-RU"/>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eastAsia="Times New Roman" w:cs="Times New Roman" w:ascii="Times New Roman" w:hAnsi="Times New Roman"/>
          <w:bCs/>
          <w:color w:val="000000"/>
          <w:lang w:eastAsia="ru-RU"/>
        </w:rPr>
        <w:t>Выбор формы направления такого требования осуществляется Бенефициаром самостоятельно.</w:t>
      </w:r>
      <w:r>
        <w:rPr>
          <w:rFonts w:cs="Times New Roman" w:ascii="Times New Roman" w:hAnsi="Times New Roman"/>
          <w:bCs/>
        </w:rPr>
        <w:t xml:space="preserve"> 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Срок действия Банковской гарантии должен заканчиваться не ранее 70 (семидесяти) календарных дней после наступления даты завершения Работ по Этапу Работ, установленной Договором.</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Банковская гарантия не должна содержать условий или требований, противоречащих требованиям, указанным в пунктах 6.1.1-6.1.8 Договора, или делающих такие требования неисполнимыми.</w:t>
      </w:r>
    </w:p>
    <w:p>
      <w:pPr>
        <w:pStyle w:val="ListParagraph"/>
        <w:numPr>
          <w:ilvl w:val="2"/>
          <w:numId w:val="4"/>
        </w:numPr>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8"/>
          <w:tab w:val="left" w:pos="1418" w:leader="none"/>
        </w:tabs>
        <w:jc w:val="both"/>
        <w:rPr>
          <w:rFonts w:ascii="Times New Roman" w:hAnsi="Times New Roman" w:cs="Times New Roman"/>
          <w:bCs/>
        </w:rPr>
      </w:pPr>
      <w:r>
        <w:rPr>
          <w:rFonts w:cs="Times New Roman" w:ascii="Times New Roman" w:hAnsi="Times New Roman"/>
        </w:rPr>
        <w:t>- в оригинале на бумажном носителе.</w:t>
      </w:r>
    </w:p>
    <w:p>
      <w:pPr>
        <w:pStyle w:val="Normal"/>
        <w:numPr>
          <w:ilvl w:val="1"/>
          <w:numId w:val="4"/>
        </w:numPr>
        <w:spacing w:lineRule="auto" w:line="240"/>
        <w:ind w:left="0" w:firstLine="709"/>
        <w:rPr>
          <w:bCs/>
          <w:sz w:val="24"/>
          <w:szCs w:val="24"/>
        </w:rPr>
      </w:pPr>
      <w:r>
        <w:rPr>
          <w:bCs/>
          <w:sz w:val="24"/>
          <w:szCs w:val="24"/>
        </w:rPr>
        <w:t>Банк, выдавший Банковскую гарантию, должен соответствовать критериям, указанным в Приложении № 9 к Договору.</w:t>
      </w:r>
    </w:p>
    <w:p>
      <w:pPr>
        <w:pStyle w:val="ListParagraph"/>
        <w:numPr>
          <w:ilvl w:val="1"/>
          <w:numId w:val="4"/>
        </w:numPr>
        <w:ind w:left="0" w:firstLine="709"/>
        <w:jc w:val="both"/>
        <w:rPr>
          <w:rFonts w:ascii="Times New Roman" w:hAnsi="Times New Roman" w:cs="Times New Roman"/>
        </w:rPr>
      </w:pPr>
      <w:r>
        <w:rPr>
          <w:rFonts w:cs="Times New Roman" w:ascii="Times New Roman" w:hAnsi="Times New Roman"/>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случаях</w:t>
      </w:r>
      <w:r>
        <w:rPr>
          <w:rFonts w:cs="Times New Roman" w:ascii="Times New Roman" w:hAnsi="Times New Roman"/>
          <w:bCs/>
          <w:lang w:val="en-US"/>
        </w:rPr>
        <w:t>:</w:t>
      </w:r>
      <w:r>
        <w:rPr>
          <w:rFonts w:cs="Times New Roman" w:ascii="Times New Roman" w:hAnsi="Times New Roman"/>
          <w:bCs/>
        </w:rPr>
        <w:t xml:space="preserve"> </w:t>
      </w:r>
    </w:p>
    <w:p>
      <w:pPr>
        <w:pStyle w:val="ListParagraph"/>
        <w:numPr>
          <w:ilvl w:val="1"/>
          <w:numId w:val="16"/>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6"/>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Подрядчик обязан предоставить Заказчику новую Банковскую гарантию</w:t>
      </w:r>
      <w:r>
        <w:rPr>
          <w:rFonts w:cs="Times New Roman" w:ascii="Times New Roman" w:hAnsi="Times New Roman"/>
        </w:rPr>
        <w:t xml:space="preserve"> </w:t>
      </w:r>
      <w:r>
        <w:rPr>
          <w:rFonts w:cs="Times New Roman" w:ascii="Times New Roman" w:hAnsi="Times New Roman"/>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rFonts w:ascii="Times New Roman" w:hAnsi="Times New Roman" w:cs="Times New Roman"/>
          <w:bCs/>
        </w:rPr>
      </w:pPr>
      <w:r>
        <w:rPr>
          <w:rFonts w:cs="Times New Roman" w:ascii="Times New Roman" w:hAnsi="Times New Roman"/>
          <w:bCs/>
        </w:rPr>
        <w:t>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r>
        <w:rPr>
          <w:rFonts w:cs="Times New Roman" w:ascii="Times New Roman" w:hAnsi="Times New Roman"/>
        </w:rPr>
        <w:t>.</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Положения пункта 3.5.1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w:t>
        <w:br/>
        <w:t xml:space="preserve">без учета НДС.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8"/>
          <w:tab w:val="left" w:pos="1134" w:leader="none"/>
        </w:tabs>
        <w:ind w:left="709" w:hanging="0"/>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Ответственность Сторон</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4"/>
        </w:numPr>
        <w:tabs>
          <w:tab w:val="clear" w:pos="708"/>
          <w:tab w:val="left" w:pos="1134" w:leader="none"/>
        </w:tabs>
        <w:spacing w:lineRule="auto" w:line="240"/>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4"/>
        </w:numPr>
        <w:tabs>
          <w:tab w:val="clear" w:pos="708"/>
          <w:tab w:val="left" w:pos="1276" w:leader="none"/>
        </w:tabs>
        <w:spacing w:lineRule="auto" w:line="240"/>
        <w:ind w:left="0" w:firstLine="709"/>
        <w:rPr>
          <w:bCs/>
          <w:sz w:val="24"/>
          <w:szCs w:val="24"/>
        </w:rPr>
      </w:pPr>
      <w:r>
        <w:rPr>
          <w:bCs/>
          <w:sz w:val="24"/>
          <w:szCs w:val="24"/>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4"/>
        </w:numPr>
        <w:tabs>
          <w:tab w:val="clear" w:pos="708"/>
          <w:tab w:val="left" w:pos="1276"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4"/>
        </w:numPr>
        <w:shd w:val="clear" w:color="auto" w:fill="FFFFFF"/>
        <w:tabs>
          <w:tab w:val="clear" w:pos="708"/>
          <w:tab w:val="left" w:pos="0" w:leader="none"/>
          <w:tab w:val="left" w:pos="709" w:leader="none"/>
          <w:tab w:val="left" w:pos="1276" w:leader="none"/>
          <w:tab w:val="left" w:pos="1418" w:leader="none"/>
        </w:tabs>
        <w:ind w:left="0" w:firstLine="709"/>
        <w:jc w:val="both"/>
        <w:rPr>
          <w:rFonts w:ascii="Times New Roman" w:hAnsi="Times New Roman" w:cs="Times New Roman"/>
          <w:bCs/>
        </w:rPr>
      </w:pPr>
      <w:r>
        <w:rPr>
          <w:rFonts w:eastAsia="Calibri" w:cs="Times New Roman" w:ascii="Times New Roman" w:hAnsi="Times New Roman"/>
          <w:bCs/>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4"/>
        </w:numPr>
        <w:shd w:val="clear" w:color="auto" w:fill="FFFFFF"/>
        <w:tabs>
          <w:tab w:val="clear" w:pos="708"/>
          <w:tab w:val="left" w:pos="0" w:leader="none"/>
          <w:tab w:val="left" w:pos="709" w:leader="none"/>
          <w:tab w:val="left" w:pos="1276" w:leader="none"/>
          <w:tab w:val="left" w:pos="1418" w:leader="none"/>
        </w:tabs>
        <w:ind w:left="0" w:firstLine="709"/>
        <w:jc w:val="both"/>
        <w:rPr>
          <w:rFonts w:ascii="Times New Roman" w:hAnsi="Times New Roman" w:cs="Times New Roman"/>
          <w:bCs/>
        </w:rPr>
      </w:pPr>
      <w:r>
        <w:rPr>
          <w:rFonts w:eastAsia="Calibri" w:cs="Times New Roman" w:ascii="Times New Roman" w:hAnsi="Times New Roman"/>
          <w:bCs/>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rFonts w:cs="Times New Roman" w:ascii="Times New Roman" w:hAnsi="Times New Roman"/>
          <w:bCs/>
        </w:rPr>
        <w:t xml:space="preserve">в целом </w:t>
      </w:r>
      <w:r>
        <w:rPr>
          <w:rFonts w:eastAsia="Calibri" w:cs="Times New Roman" w:ascii="Times New Roman" w:hAnsi="Times New Roman"/>
          <w:bCs/>
        </w:rPr>
        <w:t xml:space="preserve">по Договору; </w:t>
      </w:r>
    </w:p>
    <w:p>
      <w:pPr>
        <w:pStyle w:val="ListParagraph"/>
        <w:numPr>
          <w:ilvl w:val="2"/>
          <w:numId w:val="4"/>
        </w:numPr>
        <w:shd w:val="clear" w:color="auto" w:fill="FFFFFF"/>
        <w:tabs>
          <w:tab w:val="clear" w:pos="708"/>
          <w:tab w:val="left" w:pos="0" w:leader="none"/>
          <w:tab w:val="left" w:pos="709" w:leader="none"/>
          <w:tab w:val="left" w:pos="1276" w:leader="none"/>
          <w:tab w:val="left" w:pos="1418" w:leader="none"/>
        </w:tabs>
        <w:ind w:left="0" w:firstLine="709"/>
        <w:jc w:val="both"/>
        <w:rPr>
          <w:rFonts w:ascii="Times New Roman" w:hAnsi="Times New Roman" w:cs="Times New Roman"/>
          <w:bCs/>
        </w:rPr>
      </w:pPr>
      <w:r>
        <w:rPr>
          <w:rFonts w:eastAsia="Calibri" w:cs="Times New Roman" w:ascii="Times New Roman" w:hAnsi="Times New Roman"/>
          <w:bCs/>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rFonts w:cs="Times New Roman" w:ascii="Times New Roman" w:hAnsi="Times New Roman"/>
          <w:bCs/>
        </w:rPr>
        <w:t xml:space="preserve">в целом </w:t>
      </w:r>
      <w:r>
        <w:rPr>
          <w:rFonts w:eastAsia="Calibri" w:cs="Times New Roman" w:ascii="Times New Roman" w:hAnsi="Times New Roman"/>
          <w:bCs/>
        </w:rPr>
        <w:t>по Договору.</w:t>
      </w:r>
    </w:p>
    <w:p>
      <w:pPr>
        <w:pStyle w:val="Normal"/>
        <w:numPr>
          <w:ilvl w:val="1"/>
          <w:numId w:val="4"/>
        </w:numPr>
        <w:tabs>
          <w:tab w:val="clear" w:pos="708"/>
          <w:tab w:val="left" w:pos="0" w:leader="none"/>
          <w:tab w:val="left" w:pos="1276" w:leader="none"/>
        </w:tabs>
        <w:spacing w:lineRule="auto" w:line="240"/>
        <w:ind w:left="0" w:firstLine="709"/>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4"/>
        </w:numPr>
        <w:shd w:val="clear" w:color="auto" w:fill="FFFFFF"/>
        <w:tabs>
          <w:tab w:val="clear" w:pos="708"/>
          <w:tab w:val="left" w:pos="1276" w:leader="none"/>
        </w:tabs>
        <w:ind w:left="0" w:firstLine="709"/>
        <w:jc w:val="both"/>
        <w:rPr>
          <w:rFonts w:ascii="Times New Roman" w:hAnsi="Times New Roman" w:cs="Times New Roman"/>
          <w:bCs/>
        </w:rPr>
      </w:pPr>
      <w:r>
        <w:rPr>
          <w:rFonts w:cs="Times New Roman" w:ascii="Times New Roman" w:hAnsi="Times New Roman"/>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numPr>
          <w:ilvl w:val="1"/>
          <w:numId w:val="4"/>
        </w:numPr>
        <w:shd w:val="clear" w:color="auto" w:fill="FFFFFF"/>
        <w:tabs>
          <w:tab w:val="clear" w:pos="708"/>
          <w:tab w:val="left" w:pos="1276" w:leader="none"/>
        </w:tabs>
        <w:ind w:left="0" w:firstLine="709"/>
        <w:rPr>
          <w:rFonts w:ascii="Times New Roman" w:hAnsi="Times New Roman" w:cs="Times New Roman"/>
          <w:bCs/>
        </w:rPr>
      </w:pPr>
      <w:r>
        <w:rPr>
          <w:rFonts w:cs="Times New Roman" w:ascii="Times New Roman" w:hAnsi="Times New Roman"/>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rFonts w:cs="Times New Roman" w:ascii="Times New Roman" w:hAnsi="Times New Roman"/>
        </w:rPr>
        <w:t xml:space="preserve"> </w:t>
      </w:r>
      <w:r>
        <w:rPr>
          <w:rFonts w:cs="Times New Roman" w:ascii="Times New Roman" w:hAnsi="Times New Roman"/>
          <w:bCs/>
        </w:rPr>
        <w:t>сумма неустойки, подлежащая уплате виновной Стороной, определяется на основании решения суда.</w:t>
      </w:r>
    </w:p>
    <w:p>
      <w:pPr>
        <w:pStyle w:val="Normal"/>
        <w:spacing w:lineRule="auto" w:line="240"/>
        <w:rPr>
          <w:b/>
          <w:color w:val="000000"/>
          <w:sz w:val="24"/>
          <w:szCs w:val="24"/>
        </w:rPr>
      </w:pPr>
      <w:r>
        <w:rPr>
          <w:b/>
          <w:color w:val="000000"/>
          <w:sz w:val="24"/>
          <w:szCs w:val="24"/>
        </w:rPr>
      </w:r>
    </w:p>
    <w:p>
      <w:pPr>
        <w:pStyle w:val="ListParagraph"/>
        <w:numPr>
          <w:ilvl w:val="0"/>
          <w:numId w:val="4"/>
        </w:numPr>
        <w:shd w:val="clear" w:color="auto" w:fill="FFFFFF"/>
        <w:tabs>
          <w:tab w:val="clear" w:pos="708"/>
          <w:tab w:val="left" w:pos="284" w:leader="none"/>
        </w:tabs>
        <w:ind w:left="0" w:hanging="0"/>
        <w:jc w:val="center"/>
        <w:rPr>
          <w:rFonts w:ascii="Times New Roman" w:hAnsi="Times New Roman" w:cs="Times New Roman"/>
          <w:b/>
          <w:bCs/>
        </w:rPr>
      </w:pPr>
      <w:r>
        <w:rPr>
          <w:rFonts w:cs="Times New Roman" w:ascii="Times New Roman" w:hAnsi="Times New Roman"/>
          <w:b/>
          <w:bCs/>
        </w:rPr>
        <w:t>Гарантии качества Результата Работ</w:t>
      </w:r>
    </w:p>
    <w:p>
      <w:pPr>
        <w:pStyle w:val="ListParagraph"/>
        <w:numPr>
          <w:ilvl w:val="1"/>
          <w:numId w:val="4"/>
        </w:numPr>
        <w:tabs>
          <w:tab w:val="clear" w:pos="708"/>
          <w:tab w:val="left" w:pos="1134" w:leader="none"/>
        </w:tabs>
        <w:ind w:left="0" w:firstLine="709"/>
        <w:jc w:val="both"/>
        <w:rPr>
          <w:bCs/>
        </w:rPr>
      </w:pPr>
      <w:r>
        <w:rPr>
          <w:rFonts w:eastAsia="Times New Roman" w:cs="Times New Roman" w:ascii="Times New Roman" w:hAnsi="Times New Roman"/>
          <w:lang w:eastAsia="ru-RU"/>
        </w:rPr>
        <w:t>Гарантийный срок по Договору указывается в Техническом задании (Приложение №1 к Договору) и начинает течь с даты подписания Сторонами Акта КС-2 либо с даты прекращения (расторжения) Договора. Гарантийный срок может быть продлен в соответствии с условиями Договора.</w:t>
      </w:r>
      <w:r>
        <w:rPr>
          <w:bCs/>
        </w:rPr>
        <w:t xml:space="preserve"> </w:t>
      </w:r>
    </w:p>
    <w:p>
      <w:pPr>
        <w:pStyle w:val="ListParagraph"/>
        <w:numPr>
          <w:ilvl w:val="1"/>
          <w:numId w:val="4"/>
        </w:numPr>
        <w:shd w:val="clear" w:color="auto" w:fill="FFFFFF"/>
        <w:tabs>
          <w:tab w:val="clear" w:pos="708"/>
          <w:tab w:val="left" w:pos="568" w:leader="none"/>
          <w:tab w:val="left" w:pos="1134" w:leader="none"/>
        </w:tabs>
        <w:ind w:left="0" w:firstLine="709"/>
        <w:jc w:val="both"/>
        <w:rPr>
          <w:rFonts w:ascii="Times New Roman" w:hAnsi="Times New Roman" w:cs="Times New Roman"/>
          <w:bCs/>
        </w:rPr>
      </w:pPr>
      <w:r>
        <w:rPr>
          <w:rFonts w:cs="Times New Roman" w:ascii="Times New Roman" w:hAnsi="Times New Roman"/>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28" w:name="_Ref361337764"/>
      <w:r>
        <w:rPr>
          <w:rFonts w:cs="Times New Roman" w:ascii="Times New Roman" w:hAnsi="Times New Roman"/>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8"/>
      <w:r>
        <w:rPr>
          <w:rFonts w:cs="Times New Roman" w:ascii="Times New Roman" w:hAnsi="Times New Roman"/>
          <w:bCs/>
        </w:rPr>
        <w:t xml:space="preserve">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Наличие и полный перечень недостатков,</w:t>
      </w:r>
      <w:r>
        <w:rPr>
          <w:rFonts w:cs="Times New Roman" w:ascii="Times New Roman" w:hAnsi="Times New Roman"/>
        </w:rPr>
        <w:t xml:space="preserve"> </w:t>
      </w:r>
      <w:r>
        <w:rPr>
          <w:rFonts w:cs="Times New Roman" w:ascii="Times New Roman" w:hAnsi="Times New Roman"/>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Подрядчик обязан своими силами и за свой счет устранить недостатки,</w:t>
      </w:r>
      <w:r>
        <w:rPr>
          <w:rFonts w:cs="Times New Roman" w:ascii="Times New Roman" w:hAnsi="Times New Roman"/>
        </w:rPr>
        <w:t xml:space="preserve"> </w:t>
      </w:r>
      <w:r>
        <w:rPr>
          <w:rFonts w:cs="Times New Roman" w:ascii="Times New Roman" w:hAnsi="Times New Roman"/>
          <w:bCs/>
        </w:rPr>
        <w:t xml:space="preserve">несоответствия и / или дефекты, обнаруженные Заказчиком в течение Гарантийного срока, в срок, указанный в </w:t>
      </w:r>
      <w:bookmarkStart w:id="29" w:name="OLE_LINK6"/>
      <w:bookmarkStart w:id="30" w:name="OLE_LINK5"/>
      <w:r>
        <w:rPr>
          <w:rFonts w:cs="Times New Roman" w:ascii="Times New Roman" w:hAnsi="Times New Roman"/>
          <w:bCs/>
        </w:rPr>
        <w:t>Акте о недостатках, составленном в порядке, установленном пунктом 8.5 Договора</w:t>
      </w:r>
      <w:bookmarkEnd w:id="29"/>
      <w:bookmarkEnd w:id="30"/>
      <w:r>
        <w:rPr>
          <w:rFonts w:cs="Times New Roman" w:ascii="Times New Roman" w:hAnsi="Times New Roman"/>
          <w:bCs/>
        </w:rPr>
        <w:t>.</w:t>
      </w:r>
      <w:r>
        <w:rPr>
          <w:rFonts w:cs="Times New Roman" w:ascii="Times New Roman" w:hAnsi="Times New Roman"/>
        </w:rPr>
        <w:t xml:space="preserve">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color w:val="000000"/>
        </w:rPr>
      </w:pPr>
      <w:r>
        <w:rPr>
          <w:rFonts w:cs="Times New Roman" w:ascii="Times New Roman" w:hAnsi="Times New Roman"/>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Исключительные права и патенты</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rFonts w:cs="Times New Roman" w:ascii="Times New Roman" w:hAnsi="Times New Roman"/>
        </w:rPr>
        <w:t xml:space="preserve"> </w:t>
      </w:r>
      <w:r>
        <w:rPr>
          <w:rFonts w:cs="Times New Roman" w:ascii="Times New Roman" w:hAnsi="Times New Roman"/>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rFonts w:cs="Times New Roman" w:ascii="Times New Roman" w:hAnsi="Times New Roman"/>
        </w:rPr>
        <w:t xml:space="preserve"> </w:t>
      </w:r>
      <w:r>
        <w:rPr>
          <w:rFonts w:cs="Times New Roman" w:ascii="Times New Roman" w:hAnsi="Times New Roman"/>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rFonts w:cs="Times New Roman" w:ascii="Times New Roman" w:hAnsi="Times New Roman"/>
        </w:rPr>
        <w:t xml:space="preserve"> </w:t>
      </w:r>
      <w:r>
        <w:rPr>
          <w:rFonts w:cs="Times New Roman" w:ascii="Times New Roman" w:hAnsi="Times New Roman"/>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pPr>
        <w:pStyle w:val="ListParagraph"/>
        <w:shd w:val="clear" w:color="auto" w:fill="FFFFFF"/>
        <w:tabs>
          <w:tab w:val="clear" w:pos="708"/>
          <w:tab w:val="left" w:pos="1134" w:leader="none"/>
        </w:tabs>
        <w:ind w:left="709" w:hanging="0"/>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Конфиденциальность</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8"/>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Информация может включать в себя, в том числе, но не ограничиваясь:</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8"/>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1" w:name="_Ref361337849"/>
      <w:r>
        <w:rPr>
          <w:rFonts w:cs="Times New Roman" w:ascii="Times New Roman" w:hAnsi="Times New Roman"/>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ascii="Times New Roman" w:hAnsi="Times New Roman"/>
        </w:rPr>
        <w:t xml:space="preserve"> </w:t>
      </w:r>
      <w:r>
        <w:rPr>
          <w:rFonts w:cs="Times New Roman" w:ascii="Times New Roman" w:hAnsi="Times New Roman"/>
          <w:bCs/>
        </w:rPr>
        <w:t>(расторжения) или исполнения, в том числе:</w:t>
      </w:r>
      <w:bookmarkEnd w:id="31"/>
      <w:r>
        <w:rPr>
          <w:rFonts w:cs="Times New Roman" w:ascii="Times New Roman" w:hAnsi="Times New Roman"/>
          <w:bCs/>
        </w:rPr>
        <w:t xml:space="preserve"> </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 xml:space="preserve">использовать Информацию исключительно для целей, для которых она была предоставлена; </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bookmarkStart w:id="32" w:name="_Ref361337832"/>
      <w:r>
        <w:rPr>
          <w:rFonts w:cs="Times New Roman" w:ascii="Times New Roman" w:hAnsi="Times New Roman"/>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2"/>
    </w:p>
    <w:p>
      <w:pPr>
        <w:pStyle w:val="ListParagraph"/>
        <w:numPr>
          <w:ilvl w:val="2"/>
          <w:numId w:val="4"/>
        </w:numPr>
        <w:shd w:val="clear" w:color="auto" w:fill="FFFFFF"/>
        <w:tabs>
          <w:tab w:val="clear" w:pos="708"/>
          <w:tab w:val="left" w:pos="1701" w:leader="none"/>
        </w:tabs>
        <w:ind w:left="0" w:firstLine="709"/>
        <w:jc w:val="both"/>
        <w:rPr>
          <w:rFonts w:ascii="Times New Roman" w:hAnsi="Times New Roman" w:cs="Times New Roman"/>
          <w:bCs/>
        </w:rPr>
      </w:pPr>
      <w:r>
        <w:rPr>
          <w:rFonts w:cs="Times New Roman" w:ascii="Times New Roman" w:hAnsi="Times New Roman"/>
          <w:bCs/>
        </w:rPr>
        <w:t>не разглашать третьим лицам факты передачи или получения Информации.</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3" w:name="_Ref361337863"/>
      <w:r>
        <w:rPr>
          <w:rFonts w:cs="Times New Roman" w:ascii="Times New Roman" w:hAnsi="Times New Roman"/>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3"/>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rFonts w:ascii="Times New Roman" w:hAnsi="Times New Roman" w:cs="Times New Roman"/>
          <w:b/>
          <w:bCs/>
        </w:rPr>
      </w:pPr>
      <w:r>
        <w:rPr>
          <w:rFonts w:cs="Times New Roman" w:ascii="Times New Roman" w:hAnsi="Times New Roman"/>
          <w:b/>
          <w:bCs/>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Cs/>
        </w:rPr>
      </w:pPr>
      <w:r>
        <w:rPr>
          <w:rFonts w:cs="Times New Roman" w:ascii="Times New Roman" w:hAnsi="Times New Roman"/>
          <w:b/>
          <w:bCs/>
        </w:rPr>
        <w:t>Разрешение споров</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Споры, указанные в пункте 11.1 Договора, которые не были урегулированы Сторонами путем переговоров, подлежат разрешению в Арбитражном суде </w:t>
      </w:r>
      <w:r>
        <w:rPr>
          <w:rFonts w:eastAsia="Times New Roman" w:cs="Times New Roman" w:ascii="Times New Roman" w:hAnsi="Times New Roman"/>
          <w:bCs/>
          <w:lang w:eastAsia="ru-RU"/>
        </w:rPr>
        <w:t>Чувашской Республики</w:t>
      </w:r>
      <w:r>
        <w:rPr>
          <w:rFonts w:cs="Times New Roman" w:ascii="Times New Roman" w:hAnsi="Times New Roman"/>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6.1.8 Договора.</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426" w:leader="none"/>
        </w:tabs>
        <w:jc w:val="center"/>
        <w:rPr>
          <w:b/>
          <w:bCs/>
        </w:rPr>
      </w:pPr>
      <w:r>
        <w:rPr>
          <w:b/>
          <w:bCs/>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Антикоррупционная оговорка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cs="Times New Roman" w:ascii="Times New Roman" w:hAnsi="Times New Roman"/>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color w:val="000000"/>
        </w:rPr>
      </w:pPr>
      <w:r>
        <w:rPr>
          <w:rFonts w:cs="Times New Roman" w:ascii="Times New Roman" w:hAnsi="Times New Roman"/>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4"/>
        </w:numPr>
        <w:shd w:val="clear" w:color="auto" w:fill="FFFFFF"/>
        <w:tabs>
          <w:tab w:val="clear" w:pos="708"/>
          <w:tab w:val="left" w:pos="567" w:leader="none"/>
          <w:tab w:val="left" w:pos="1134" w:leader="none"/>
          <w:tab w:val="left" w:pos="1560" w:leader="none"/>
        </w:tabs>
        <w:ind w:left="0" w:firstLine="709"/>
        <w:jc w:val="both"/>
        <w:rPr>
          <w:rFonts w:ascii="Times New Roman" w:hAnsi="Times New Roman" w:cs="Times New Roman"/>
          <w:color w:val="000000"/>
        </w:rPr>
      </w:pPr>
      <w:r>
        <w:rPr>
          <w:rFonts w:cs="Times New Roman" w:ascii="Times New Roman" w:hAnsi="Times New Roman"/>
          <w:color w:val="000000"/>
        </w:rPr>
        <w:t xml:space="preserve">Каналы связи Линия доверия Группы РусГидро: </w:t>
      </w:r>
    </w:p>
    <w:p>
      <w:pPr>
        <w:pStyle w:val="ListParagraph"/>
        <w:widowControl w:val="false"/>
        <w:numPr>
          <w:ilvl w:val="2"/>
          <w:numId w:val="4"/>
        </w:numPr>
        <w:shd w:val="clear" w:color="auto" w:fill="FFFFFF"/>
        <w:tabs>
          <w:tab w:val="clear" w:pos="708"/>
          <w:tab w:val="left" w:pos="567" w:leader="none"/>
          <w:tab w:val="left" w:pos="1134" w:leader="none"/>
          <w:tab w:val="left" w:pos="1560" w:leader="none"/>
        </w:tabs>
        <w:ind w:left="0" w:firstLine="709"/>
        <w:jc w:val="both"/>
        <w:rPr>
          <w:rFonts w:ascii="Times New Roman" w:hAnsi="Times New Roman" w:cs="Times New Roman"/>
        </w:rPr>
      </w:pPr>
      <w:r>
        <w:rPr>
          <w:rFonts w:cs="Times New Roman" w:ascii="Times New Roman" w:hAnsi="Times New Roman"/>
        </w:rPr>
        <w:t>Электронная почта: ld@rushydro.ru.</w:t>
      </w:r>
    </w:p>
    <w:p>
      <w:pPr>
        <w:pStyle w:val="ListParagraph"/>
        <w:widowControl w:val="false"/>
        <w:numPr>
          <w:ilvl w:val="2"/>
          <w:numId w:val="4"/>
        </w:numPr>
        <w:shd w:val="clear" w:color="auto" w:fill="FFFFFF"/>
        <w:tabs>
          <w:tab w:val="clear" w:pos="708"/>
          <w:tab w:val="left" w:pos="567" w:leader="none"/>
          <w:tab w:val="left" w:pos="1134" w:leader="none"/>
          <w:tab w:val="left" w:pos="1560" w:leader="none"/>
        </w:tabs>
        <w:ind w:left="0" w:firstLine="709"/>
        <w:jc w:val="both"/>
        <w:rPr>
          <w:rFonts w:ascii="Times New Roman" w:hAnsi="Times New Roman" w:cs="Times New Roman"/>
        </w:rPr>
      </w:pPr>
      <w:r>
        <w:rPr>
          <w:rFonts w:cs="Times New Roman" w:ascii="Times New Roman" w:hAnsi="Times New Roman"/>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4"/>
        </w:numPr>
        <w:tabs>
          <w:tab w:val="clear" w:pos="708"/>
          <w:tab w:val="left" w:pos="1134" w:leader="none"/>
          <w:tab w:val="left" w:pos="1560" w:leader="none"/>
        </w:tabs>
        <w:ind w:left="0" w:firstLine="709"/>
        <w:jc w:val="both"/>
        <w:rPr>
          <w:rFonts w:ascii="Times New Roman" w:hAnsi="Times New Roman" w:cs="Times New Roman"/>
        </w:rPr>
      </w:pPr>
      <w:r>
        <w:rPr>
          <w:rFonts w:cs="Times New Roman" w:ascii="Times New Roman" w:hAnsi="Times New Roman"/>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Обстоятельства непреодолимой силы (форс-мажор)</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4"/>
        </w:numPr>
        <w:shd w:val="clear" w:color="auto" w:fill="FFFFFF"/>
        <w:tabs>
          <w:tab w:val="clear" w:pos="708"/>
          <w:tab w:val="left" w:pos="568" w:leader="none"/>
        </w:tabs>
        <w:ind w:left="0" w:firstLine="709"/>
        <w:jc w:val="both"/>
        <w:rPr>
          <w:rFonts w:ascii="Times New Roman" w:hAnsi="Times New Roman" w:cs="Times New Roman"/>
          <w:bCs/>
        </w:rPr>
      </w:pPr>
      <w:r>
        <w:rPr>
          <w:rFonts w:cs="Times New Roman" w:ascii="Times New Roman" w:hAnsi="Times New Roman"/>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rFonts w:ascii="Times New Roman" w:hAnsi="Times New Roman" w:cs="Times New Roman"/>
          <w:bCs/>
        </w:rPr>
      </w:pPr>
      <w:r>
        <w:rPr>
          <w:rFonts w:cs="Times New Roman" w:ascii="Times New Roman" w:hAnsi="Times New Roman"/>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Особые положения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4" w:name="_Ref361337900"/>
      <w:r>
        <w:rPr>
          <w:rFonts w:cs="Times New Roman" w:ascii="Times New Roman" w:hAnsi="Times New Roman"/>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 </w:t>
      </w:r>
      <w:r>
        <w:rPr>
          <w:rFonts w:cs="Times New Roman" w:ascii="Times New Roman" w:hAnsi="Times New Roman"/>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cs="Times New Roman" w:ascii="Times New Roman" w:hAnsi="Times New Roman"/>
            <w:bCs/>
          </w:rPr>
          <w:t>№ 18162/09</w:t>
        </w:r>
      </w:hyperlink>
      <w:r>
        <w:rPr>
          <w:rFonts w:cs="Times New Roman" w:ascii="Times New Roman" w:hAnsi="Times New Roman"/>
          <w:bCs/>
        </w:rPr>
        <w:t xml:space="preserve"> и от 25.05.2010 </w:t>
      </w:r>
      <w:hyperlink r:id="rId3">
        <w:r>
          <w:rPr>
            <w:rFonts w:cs="Times New Roman" w:ascii="Times New Roman" w:hAnsi="Times New Roman"/>
            <w:bCs/>
          </w:rPr>
          <w:t>№ 15658/09</w:t>
        </w:r>
      </w:hyperlink>
      <w:r>
        <w:rPr>
          <w:rFonts w:cs="Times New Roman" w:ascii="Times New Roman" w:hAnsi="Times New Roman"/>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5"/>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соответствующие </w:t>
      </w:r>
      <w:hyperlink r:id="rId4">
        <w:r>
          <w:rPr>
            <w:rFonts w:cs="Times New Roman" w:ascii="Times New Roman" w:hAnsi="Times New Roman"/>
            <w:bCs/>
          </w:rPr>
          <w:t>Критери</w:t>
        </w:r>
      </w:hyperlink>
      <w:r>
        <w:rPr>
          <w:rFonts w:cs="Times New Roman" w:ascii="Times New Roman" w:hAnsi="Times New Roman"/>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4"/>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5" w:name="_Ref361337921"/>
      <w:r>
        <w:rPr>
          <w:rFonts w:cs="Times New Roman" w:ascii="Times New Roman" w:hAnsi="Times New Roman"/>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5"/>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6" w:name="_Ref361337948"/>
      <w:r>
        <w:rPr>
          <w:rFonts w:cs="Times New Roman" w:ascii="Times New Roman" w:hAnsi="Times New Roman"/>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6"/>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7" w:name="_Ref361337980"/>
      <w:r>
        <w:rPr>
          <w:rFonts w:cs="Times New Roman" w:ascii="Times New Roman" w:hAnsi="Times New Roman"/>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7"/>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8" w:name="_Ref373243071"/>
      <w:r>
        <w:rPr>
          <w:rFonts w:cs="Times New Roman" w:ascii="Times New Roman" w:hAnsi="Times New Roman"/>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14.3 Договора.</w:t>
      </w:r>
      <w:bookmarkEnd w:id="38"/>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bookmarkStart w:id="39" w:name="_Ref361337992"/>
      <w:r>
        <w:rPr>
          <w:rFonts w:cs="Times New Roman" w:ascii="Times New Roman" w:hAnsi="Times New Roman"/>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39"/>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bCs/>
        </w:rPr>
      </w:pPr>
      <w:r>
        <w:rPr>
          <w:rFonts w:cs="Times New Roman" w:ascii="Times New Roman" w:hAnsi="Times New Roman"/>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rPr>
      </w:pPr>
      <w:r>
        <w:rPr>
          <w:rFonts w:cs="Times New Roman" w:ascii="Times New Roman" w:hAnsi="Times New Roman"/>
          <w:b/>
          <w:bCs/>
        </w:rPr>
        <w:t>Заверения</w:t>
      </w:r>
      <w:r>
        <w:rPr>
          <w:rFonts w:cs="Times New Roman" w:ascii="Times New Roman" w:hAnsi="Times New Roman"/>
          <w:b/>
        </w:rPr>
        <w:t xml:space="preserve"> Сторон</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bCs/>
        </w:rPr>
        <w:t>Каждая</w:t>
      </w:r>
      <w:r>
        <w:rPr>
          <w:rFonts w:cs="Times New Roman" w:ascii="Times New Roman" w:hAnsi="Times New Roman"/>
        </w:rPr>
        <w:t xml:space="preserve"> из Сторон заявляет и подтверждает другой Стороне, что: </w:t>
      </w:r>
    </w:p>
    <w:p>
      <w:pPr>
        <w:pStyle w:val="ListParagraph"/>
        <w:numPr>
          <w:ilvl w:val="0"/>
          <w:numId w:val="12"/>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2"/>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2"/>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2"/>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лица, подписывающие от имени Сторон Договор, надлежащим образом уполномочены на его подписание;</w:t>
      </w:r>
    </w:p>
    <w:p>
      <w:pPr>
        <w:pStyle w:val="ListParagraph"/>
        <w:numPr>
          <w:ilvl w:val="0"/>
          <w:numId w:val="12"/>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Подрядчик заявляет и заверяет Заказчика в том, что на момент заключения Договора:</w:t>
      </w:r>
    </w:p>
    <w:p>
      <w:pPr>
        <w:pStyle w:val="ListParagraph"/>
        <w:numPr>
          <w:ilvl w:val="0"/>
          <w:numId w:val="14"/>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учредителем / учредителями Подрядчика являются лица, не являющиеся массовыми учредителем / учредителями;</w:t>
      </w:r>
    </w:p>
    <w:p>
      <w:pPr>
        <w:pStyle w:val="ListParagraph"/>
        <w:numPr>
          <w:ilvl w:val="0"/>
          <w:numId w:val="14"/>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руководителем Подрядчика является лицо, не являющееся массовым руководителем;</w:t>
      </w:r>
    </w:p>
    <w:p>
      <w:pPr>
        <w:pStyle w:val="ListParagraph"/>
        <w:numPr>
          <w:ilvl w:val="0"/>
          <w:numId w:val="14"/>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4"/>
        </w:numPr>
        <w:shd w:val="clear" w:color="auto" w:fill="FFFFFF"/>
        <w:tabs>
          <w:tab w:val="clear" w:pos="708"/>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3"/>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3"/>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3"/>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3"/>
        </w:numPr>
        <w:shd w:val="clear" w:color="auto" w:fill="FFFFFF"/>
        <w:tabs>
          <w:tab w:val="clear" w:pos="708"/>
          <w:tab w:val="left" w:pos="567" w:leader="none"/>
          <w:tab w:val="left" w:pos="1418" w:leader="none"/>
        </w:tabs>
        <w:ind w:left="0" w:firstLine="709"/>
        <w:jc w:val="both"/>
        <w:rPr>
          <w:rFonts w:ascii="Times New Roman" w:hAnsi="Times New Roman" w:cs="Times New Roman"/>
        </w:rPr>
      </w:pPr>
      <w:r>
        <w:rPr>
          <w:rFonts w:cs="Times New Roman" w:ascii="Times New Roman" w:hAnsi="Times New Roman"/>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4"/>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если </w:t>
      </w:r>
      <w:r>
        <w:rPr>
          <w:rFonts w:cs="Times New Roman" w:ascii="Times New Roman" w:hAnsi="Times New Roman"/>
          <w:bCs/>
        </w:rPr>
        <w:t>Подрядчик</w:t>
      </w:r>
      <w:r>
        <w:rPr>
          <w:rFonts w:cs="Times New Roman" w:ascii="Times New Roman" w:hAnsi="Times New Roman"/>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rFonts w:cs="Times New Roman" w:ascii="Times New Roman" w:hAnsi="Times New Roman"/>
          <w:bCs/>
        </w:rPr>
        <w:t xml:space="preserve">Подрядчик </w:t>
      </w:r>
      <w:r>
        <w:rPr>
          <w:rFonts w:cs="Times New Roman" w:ascii="Times New Roman" w:hAnsi="Times New Roman"/>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4"/>
        </w:numPr>
        <w:shd w:val="clear" w:color="auto" w:fill="FFFFFF"/>
        <w:tabs>
          <w:tab w:val="clear" w:pos="708"/>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rFonts w:ascii="Times New Roman" w:hAnsi="Times New Roman" w:cs="Times New Roman"/>
          <w:b/>
        </w:rPr>
      </w:pPr>
      <w:r>
        <w:rPr>
          <w:rFonts w:cs="Times New Roman" w:ascii="Times New Roman" w:hAnsi="Times New Roman"/>
          <w:b/>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rPr>
      </w:pPr>
      <w:r>
        <w:rPr>
          <w:rFonts w:cs="Times New Roman" w:ascii="Times New Roman" w:hAnsi="Times New Roman"/>
          <w:b/>
          <w:bCs/>
        </w:rPr>
        <w:t>П</w:t>
      </w:r>
      <w:r>
        <w:rPr>
          <w:rFonts w:cs="Times New Roman" w:ascii="Times New Roman" w:hAnsi="Times New Roman"/>
          <w:b/>
        </w:rPr>
        <w:t>рекращение (расторжение)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Стороны установили, что существенным нарушением Договора Подрядчиком является:</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60 (шестьдесят) календарных дней по причинам, не зависящим от Заказчика;</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11"/>
        </w:numPr>
        <w:tabs>
          <w:tab w:val="clear" w:pos="708"/>
          <w:tab w:val="left" w:pos="1134" w:leader="none"/>
        </w:tabs>
        <w:ind w:left="0" w:right="23" w:firstLine="709"/>
        <w:jc w:val="both"/>
        <w:rPr>
          <w:rFonts w:ascii="Times New Roman" w:hAnsi="Times New Roman" w:cs="Times New Roman"/>
        </w:rPr>
      </w:pPr>
      <w:r>
        <w:rPr>
          <w:rFonts w:cs="Times New Roman" w:ascii="Times New Roman" w:hAnsi="Times New Roman"/>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21"/>
        </w:numPr>
        <w:shd w:val="clear" w:color="auto" w:fill="FFFFFF"/>
        <w:tabs>
          <w:tab w:val="clear" w:pos="708"/>
          <w:tab w:val="left" w:pos="993" w:leader="none"/>
        </w:tabs>
        <w:ind w:left="0" w:firstLine="709"/>
        <w:jc w:val="both"/>
        <w:rPr>
          <w:rFonts w:ascii="Times New Roman" w:hAnsi="Times New Roman" w:cs="Times New Roman"/>
        </w:rPr>
      </w:pPr>
      <w:r>
        <w:rPr>
          <w:rFonts w:cs="Times New Roman" w:ascii="Times New Roman" w:hAnsi="Times New Roman"/>
        </w:rPr>
        <w:t>передать Заказчику Результат Работ, техническую и иную полученную документацию, закупленные Материально-технические ресурсы;</w:t>
      </w:r>
    </w:p>
    <w:p>
      <w:pPr>
        <w:pStyle w:val="ListParagraph"/>
        <w:numPr>
          <w:ilvl w:val="0"/>
          <w:numId w:val="21"/>
        </w:numPr>
        <w:shd w:val="clear" w:color="auto" w:fill="FFFFFF"/>
        <w:tabs>
          <w:tab w:val="clear" w:pos="708"/>
          <w:tab w:val="left" w:pos="993" w:leader="none"/>
        </w:tabs>
        <w:ind w:left="0" w:firstLine="709"/>
        <w:jc w:val="both"/>
        <w:rPr>
          <w:rFonts w:ascii="Times New Roman" w:hAnsi="Times New Roman" w:cs="Times New Roman"/>
        </w:rPr>
      </w:pPr>
      <w:r>
        <w:rPr>
          <w:rFonts w:cs="Times New Roman" w:ascii="Times New Roman" w:hAnsi="Times New Roman"/>
        </w:rPr>
        <w:t xml:space="preserve">вывезти с места производства Работ собственную строительную технику и персонал Подрядчика; </w:t>
      </w:r>
    </w:p>
    <w:p>
      <w:pPr>
        <w:pStyle w:val="ListParagraph"/>
        <w:numPr>
          <w:ilvl w:val="0"/>
          <w:numId w:val="21"/>
        </w:numPr>
        <w:shd w:val="clear" w:color="auto" w:fill="FFFFFF"/>
        <w:tabs>
          <w:tab w:val="clear" w:pos="708"/>
          <w:tab w:val="left" w:pos="993" w:leader="none"/>
        </w:tabs>
        <w:ind w:left="0" w:firstLine="709"/>
        <w:jc w:val="both"/>
        <w:rPr>
          <w:rFonts w:ascii="Times New Roman" w:hAnsi="Times New Roman" w:cs="Times New Roman"/>
        </w:rPr>
      </w:pPr>
      <w:r>
        <w:rPr>
          <w:rFonts w:cs="Times New Roman" w:ascii="Times New Roman" w:hAnsi="Times New Roman"/>
        </w:rPr>
        <w:t>удалить с места производства Работ весь мусор и все остаточные продукты любого рода и оставить Строительную площадку чистой и безопасной.</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rFonts w:ascii="Times New Roman" w:hAnsi="Times New Roman" w:cs="Times New Roman"/>
        </w:rPr>
      </w:pPr>
      <w:r>
        <w:rPr>
          <w:rFonts w:cs="Times New Roman" w:ascii="Times New Roman" w:hAnsi="Times New Roman"/>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Заключительные положения</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4"/>
        </w:numPr>
        <w:snapToGrid w:val="false"/>
        <w:spacing w:lineRule="auto" w:line="240"/>
        <w:ind w:left="0" w:firstLine="709"/>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lineRule="auto" w:line="240"/>
        <w:ind w:firstLine="709"/>
        <w:rPr>
          <w:sz w:val="24"/>
          <w:szCs w:val="24"/>
          <w:lang w:eastAsia="en-US"/>
        </w:rPr>
      </w:pPr>
      <w:r>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lang w:eastAsia="en-US"/>
        </w:rPr>
        <w:footnoteReference w:id="2"/>
      </w:r>
      <w:r>
        <w:rPr>
          <w:sz w:val="24"/>
          <w:szCs w:val="24"/>
          <w:lang w:eastAsia="en-US"/>
        </w:rPr>
        <w:t>.</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17.7 Договора.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bookmarkStart w:id="40" w:name="_Ref361338004"/>
      <w:r>
        <w:rPr>
          <w:rFonts w:cs="Times New Roman" w:ascii="Times New Roman" w:hAnsi="Times New Roman"/>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40"/>
      <w:r>
        <w:rPr>
          <w:rFonts w:cs="Times New Roman" w:ascii="Times New Roman" w:hAnsi="Times New Roman"/>
        </w:rPr>
        <w:t xml:space="preserve"> </w:t>
      </w:r>
    </w:p>
    <w:p>
      <w:pPr>
        <w:pStyle w:val="ListParagraph"/>
        <w:numPr>
          <w:ilvl w:val="1"/>
          <w:numId w:val="4"/>
        </w:numPr>
        <w:shd w:val="clear" w:color="auto" w:fill="FFFFFF"/>
        <w:tabs>
          <w:tab w:val="clear" w:pos="708"/>
          <w:tab w:val="left" w:pos="0" w:leader="none"/>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rPr>
        <w:t>Письма, уведомления и / или сообщения направляются Стороне</w:t>
      </w:r>
      <w:r>
        <w:rPr>
          <w:rFonts w:cs="Times New Roman" w:ascii="Times New Roman" w:hAnsi="Times New Roman"/>
          <w:bCs/>
        </w:rPr>
        <w:t>-</w:t>
      </w:r>
      <w:r>
        <w:rPr>
          <w:rFonts w:cs="Times New Roman" w:ascii="Times New Roman" w:hAnsi="Times New Roman"/>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rFonts w:cs="Times New Roman" w:ascii="Times New Roman" w:hAnsi="Times New Roman"/>
          <w:bCs/>
        </w:rPr>
        <w:t xml:space="preserve"> будет считаться полученным</w:t>
      </w:r>
      <w:r>
        <w:rPr>
          <w:rFonts w:cs="Times New Roman" w:ascii="Times New Roman" w:hAnsi="Times New Roman"/>
        </w:rPr>
        <w:t xml:space="preserve">: </w:t>
      </w:r>
    </w:p>
    <w:p>
      <w:pPr>
        <w:pStyle w:val="ListParagraph"/>
        <w:widowControl w:val="false"/>
        <w:numPr>
          <w:ilvl w:val="2"/>
          <w:numId w:val="4"/>
        </w:numPr>
        <w:tabs>
          <w:tab w:val="clear" w:pos="708"/>
          <w:tab w:val="left" w:pos="1560" w:leader="none"/>
        </w:tabs>
        <w:ind w:left="0" w:firstLine="709"/>
        <w:jc w:val="both"/>
        <w:rPr>
          <w:rFonts w:ascii="Times New Roman" w:hAnsi="Times New Roman" w:cs="Times New Roman"/>
        </w:rPr>
      </w:pPr>
      <w:r>
        <w:rPr>
          <w:rFonts w:cs="Times New Roman" w:ascii="Times New Roman" w:hAnsi="Times New Roman"/>
          <w:bCs/>
        </w:rPr>
        <w:t xml:space="preserve">Заказным почтовым отправлением с уведомлением о вручении – </w:t>
      </w:r>
      <w:r>
        <w:rPr>
          <w:rFonts w:cs="Times New Roman" w:ascii="Times New Roman" w:hAnsi="Times New Roman"/>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4"/>
        </w:numPr>
        <w:tabs>
          <w:tab w:val="clear" w:pos="708"/>
          <w:tab w:val="left" w:pos="1560" w:leader="none"/>
        </w:tabs>
        <w:ind w:left="0" w:firstLine="709"/>
        <w:jc w:val="both"/>
        <w:rPr>
          <w:rFonts w:ascii="Times New Roman" w:hAnsi="Times New Roman" w:cs="Times New Roman"/>
        </w:rPr>
      </w:pPr>
      <w:r>
        <w:rPr>
          <w:rFonts w:cs="Times New Roman" w:ascii="Times New Roman" w:hAnsi="Times New Roman"/>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cs="Times New Roman" w:ascii="Times New Roman" w:hAnsi="Times New Roman"/>
        </w:rPr>
        <w:t xml:space="preserve">; </w:t>
      </w:r>
    </w:p>
    <w:p>
      <w:pPr>
        <w:pStyle w:val="ListParagraph"/>
        <w:widowControl w:val="false"/>
        <w:numPr>
          <w:ilvl w:val="2"/>
          <w:numId w:val="4"/>
        </w:numPr>
        <w:tabs>
          <w:tab w:val="clear" w:pos="708"/>
          <w:tab w:val="left" w:pos="1560" w:leader="none"/>
        </w:tabs>
        <w:ind w:left="0" w:firstLine="709"/>
        <w:jc w:val="both"/>
        <w:rPr>
          <w:rFonts w:ascii="Times New Roman" w:hAnsi="Times New Roman" w:cs="Times New Roman"/>
          <w:bCs/>
        </w:rPr>
      </w:pPr>
      <w:r>
        <w:rPr>
          <w:rFonts w:cs="Times New Roman" w:ascii="Times New Roman" w:hAnsi="Times New Roman"/>
          <w:bCs/>
        </w:rPr>
        <w:t>Посредством электронной почты (</w:t>
      </w:r>
      <w:r>
        <w:rPr>
          <w:rFonts w:cs="Times New Roman" w:ascii="Times New Roman" w:hAnsi="Times New Roman"/>
          <w:bCs/>
          <w:lang w:val="en-US"/>
        </w:rPr>
        <w:t>e</w:t>
      </w:r>
      <w:r>
        <w:rPr>
          <w:rFonts w:cs="Times New Roman" w:ascii="Times New Roman" w:hAnsi="Times New Roman"/>
          <w:bCs/>
        </w:rPr>
        <w:t>-</w:t>
      </w:r>
      <w:r>
        <w:rPr>
          <w:rFonts w:cs="Times New Roman" w:ascii="Times New Roman" w:hAnsi="Times New Roman"/>
          <w:bCs/>
          <w:lang w:val="en-US"/>
        </w:rPr>
        <w:t>mail</w:t>
      </w:r>
      <w:r>
        <w:rPr>
          <w:rFonts w:cs="Times New Roman" w:ascii="Times New Roman" w:hAnsi="Times New Roman"/>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426"/>
        <w:jc w:val="both"/>
        <w:rPr>
          <w:rFonts w:ascii="Times New Roman" w:hAnsi="Times New Roman" w:cs="Times New Roman"/>
          <w:bCs/>
        </w:rPr>
      </w:pPr>
      <w:r>
        <w:rPr>
          <w:rFonts w:cs="Times New Roman" w:ascii="Times New Roman" w:hAnsi="Times New Roman"/>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p>
    <w:p>
      <w:pPr>
        <w:pStyle w:val="Normal"/>
        <w:numPr>
          <w:ilvl w:val="1"/>
          <w:numId w:val="4"/>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4"/>
        </w:numPr>
        <w:shd w:val="clear" w:color="auto" w:fill="FFFFFF"/>
        <w:tabs>
          <w:tab w:val="clear" w:pos="708"/>
          <w:tab w:val="left" w:pos="568" w:leader="none"/>
        </w:tabs>
        <w:ind w:left="0" w:firstLine="709"/>
        <w:jc w:val="both"/>
        <w:rPr>
          <w:rFonts w:ascii="Times New Roman" w:hAnsi="Times New Roman" w:cs="Times New Roman"/>
          <w:bCs/>
        </w:rPr>
      </w:pPr>
      <w:r>
        <w:rPr>
          <w:rFonts w:cs="Times New Roman" w:ascii="Times New Roman" w:hAnsi="Times New Roman"/>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rFonts w:cs="Times New Roman" w:ascii="Times New Roman" w:hAnsi="Times New Roman"/>
          <w:bCs/>
        </w:rPr>
        <w:t>.</w:t>
      </w:r>
      <w:r>
        <w:rPr>
          <w:rFonts w:cs="Times New Roman" w:ascii="Times New Roman" w:hAnsi="Times New Roman"/>
        </w:rPr>
        <w:t xml:space="preserve"> </w:t>
      </w:r>
    </w:p>
    <w:p>
      <w:pPr>
        <w:pStyle w:val="ListParagraph"/>
        <w:shd w:val="clear" w:color="auto" w:fill="FFFFFF"/>
        <w:ind w:left="0" w:firstLine="709"/>
        <w:jc w:val="both"/>
        <w:rPr>
          <w:rFonts w:ascii="Times New Roman" w:hAnsi="Times New Roman" w:cs="Times New Roman"/>
          <w:bCs/>
        </w:rPr>
      </w:pPr>
      <w:r>
        <w:rPr>
          <w:rFonts w:cs="Times New Roman" w:ascii="Times New Roman" w:hAnsi="Times New Roman"/>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4"/>
        </w:numPr>
        <w:shd w:val="clear" w:color="auto" w:fill="FFFFFF"/>
        <w:tabs>
          <w:tab w:val="clear" w:pos="708"/>
          <w:tab w:val="left" w:pos="1134" w:leader="none"/>
        </w:tabs>
        <w:ind w:left="0" w:firstLine="709"/>
        <w:jc w:val="both"/>
        <w:rPr>
          <w:rFonts w:ascii="Times New Roman" w:hAnsi="Times New Roman" w:cs="Times New Roman"/>
        </w:rPr>
      </w:pPr>
      <w:r>
        <w:rPr>
          <w:rFonts w:cs="Times New Roman" w:ascii="Times New Roman" w:hAnsi="Times New Roman"/>
        </w:rPr>
        <w:t>Договор составлен в 2 (двух) оригинальных экземплярах, имеющих равную юридическую силу, по 1 (одному) для каждой из Сторон</w:t>
      </w:r>
      <w:r>
        <w:rPr>
          <w:rStyle w:val="FootnoteReference"/>
          <w:rFonts w:cs="Times New Roman" w:ascii="Times New Roman" w:hAnsi="Times New Roman"/>
        </w:rPr>
        <w:footnoteReference w:id="3"/>
      </w:r>
      <w:r>
        <w:rPr>
          <w:rFonts w:cs="Times New Roman" w:ascii="Times New Roman" w:hAnsi="Times New Roman"/>
        </w:rPr>
        <w:t>.</w:t>
      </w:r>
    </w:p>
    <w:p>
      <w:pPr>
        <w:pStyle w:val="ListParagraph"/>
        <w:shd w:val="clear" w:color="auto" w:fill="FFFFFF"/>
        <w:ind w:left="0" w:firstLine="567"/>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Список приложений</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rPr>
        <w:t xml:space="preserve">Приложение № </w:t>
      </w:r>
      <w:r>
        <w:rPr>
          <w:rFonts w:cs="Times New Roman" w:ascii="Times New Roman" w:hAnsi="Times New Roman"/>
          <w:bCs/>
        </w:rPr>
        <w:t>1 – Техническое задание;</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Приложение № 2 – Перечень Объектов;</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Приложение № 3 – Календарный график выполнения Работ;</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Приложение № 4 – Сводный сметный расчет/Объектный сметный расчет с приложениями;</w:t>
      </w:r>
    </w:p>
    <w:p>
      <w:pPr>
        <w:pStyle w:val="ListParagraph"/>
        <w:shd w:val="clear" w:color="auto" w:fill="FFFFFF"/>
        <w:ind w:left="0" w:hanging="0"/>
        <w:jc w:val="both"/>
        <w:rPr>
          <w:rFonts w:ascii="Times New Roman" w:hAnsi="Times New Roman" w:cs="Times New Roman"/>
        </w:rPr>
      </w:pPr>
      <w:r>
        <w:rPr>
          <w:rFonts w:cs="Times New Roman" w:ascii="Times New Roman" w:hAnsi="Times New Roman"/>
          <w:bCs/>
        </w:rPr>
        <w:t>Приложение № 5.1 – Форма Акта сдачи-приемки места производства работ, места (помещения) для складирования Материально-технических ресурсов,</w:t>
      </w:r>
      <w:r>
        <w:rPr>
          <w:rFonts w:cs="Times New Roman" w:ascii="Times New Roman" w:hAnsi="Times New Roman"/>
        </w:rPr>
        <w:t xml:space="preserve"> </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Приложение № 5.2 – Форма Акта сдачи-приемки технической и иной документации;</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 xml:space="preserve">Приложение № 6 – Перечень допусков, разрешений и лицензий Подрядчика; </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 xml:space="preserve">Приложение № 8 – </w:t>
      </w:r>
      <w:r>
        <w:rPr>
          <w:rFonts w:cs="Times New Roman" w:ascii="Times New Roman" w:hAnsi="Times New Roman"/>
        </w:rPr>
        <w:t>Параметры и условия доступа к Информационной системе Maximo;</w:t>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t>Приложение № 9 – Критерии отбора банков-гарантов;</w:t>
      </w:r>
    </w:p>
    <w:p>
      <w:pPr>
        <w:pStyle w:val="ListParagraph"/>
        <w:shd w:val="clear" w:color="auto" w:fill="FFFFFF"/>
        <w:ind w:left="0" w:hanging="0"/>
        <w:jc w:val="both"/>
        <w:rPr>
          <w:rFonts w:ascii="Times New Roman" w:hAnsi="Times New Roman" w:cs="Times New Roman"/>
        </w:rPr>
      </w:pPr>
      <w:r>
        <w:rPr>
          <w:rFonts w:cs="Times New Roman" w:ascii="Times New Roman" w:hAnsi="Times New Roman"/>
          <w:bCs/>
        </w:rPr>
        <w:t xml:space="preserve">Приложение № 10 – </w:t>
      </w:r>
      <w:r>
        <w:rPr>
          <w:rFonts w:cs="Times New Roman" w:ascii="Times New Roman" w:hAnsi="Times New Roman"/>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tabs>
          <w:tab w:val="clear" w:pos="708"/>
          <w:tab w:val="left" w:pos="851" w:leader="none"/>
        </w:tabs>
        <w:ind w:left="0" w:hanging="0"/>
        <w:jc w:val="both"/>
        <w:rPr>
          <w:rFonts w:ascii="Times New Roman" w:hAnsi="Times New Roman" w:cs="Times New Roman"/>
          <w:b/>
        </w:rPr>
      </w:pPr>
      <w:r>
        <w:rPr>
          <w:rFonts w:cs="Times New Roman" w:ascii="Times New Roman" w:hAnsi="Times New Roman"/>
        </w:rPr>
        <w:t>Приложение № 11 - Порядок возврата Подрядчиком Заказчику лома и отходов черных и цветных металлов, образовавшихся при производстве работ.</w:t>
      </w:r>
    </w:p>
    <w:p>
      <w:pPr>
        <w:pStyle w:val="ListParagraph"/>
        <w:shd w:val="clear" w:color="auto" w:fill="FFFFFF"/>
        <w:ind w:left="0" w:hanging="0"/>
        <w:jc w:val="both"/>
        <w:rPr>
          <w:rFonts w:ascii="Times New Roman" w:hAnsi="Times New Roman" w:cs="Times New Roman"/>
        </w:rPr>
      </w:pPr>
      <w:r>
        <w:rPr>
          <w:rFonts w:cs="Times New Roman" w:ascii="Times New Roman" w:hAnsi="Times New Roman"/>
        </w:rPr>
      </w:r>
    </w:p>
    <w:p>
      <w:pPr>
        <w:pStyle w:val="ListParagraph"/>
        <w:shd w:val="clear" w:color="auto" w:fill="FFFFFF"/>
        <w:ind w:left="0" w:hanging="0"/>
        <w:jc w:val="both"/>
        <w:rPr>
          <w:rFonts w:ascii="Times New Roman" w:hAnsi="Times New Roman" w:cs="Times New Roman"/>
          <w:bCs/>
        </w:rPr>
      </w:pPr>
      <w:r>
        <w:rPr>
          <w:rFonts w:cs="Times New Roman" w:ascii="Times New Roman" w:hAnsi="Times New Roman"/>
          <w:bCs/>
        </w:rPr>
      </w:r>
    </w:p>
    <w:p>
      <w:pPr>
        <w:pStyle w:val="ListParagraph"/>
        <w:numPr>
          <w:ilvl w:val="0"/>
          <w:numId w:val="4"/>
        </w:numPr>
        <w:shd w:val="clear" w:color="auto" w:fill="FFFFFF"/>
        <w:tabs>
          <w:tab w:val="clear" w:pos="708"/>
          <w:tab w:val="left" w:pos="426" w:leader="none"/>
        </w:tabs>
        <w:ind w:left="0" w:hanging="0"/>
        <w:jc w:val="center"/>
        <w:rPr>
          <w:rFonts w:ascii="Times New Roman" w:hAnsi="Times New Roman" w:cs="Times New Roman"/>
          <w:b/>
          <w:bCs/>
        </w:rPr>
      </w:pPr>
      <w:r>
        <w:rPr>
          <w:rFonts w:cs="Times New Roman" w:ascii="Times New Roman" w:hAnsi="Times New Roman"/>
          <w:b/>
          <w:bCs/>
        </w:rPr>
        <w:t>Адреса и платежные реквизиты Сторон</w:t>
      </w:r>
    </w:p>
    <w:p>
      <w:pPr>
        <w:pStyle w:val="ListParagraph"/>
        <w:shd w:val="clear" w:color="auto" w:fill="FFFFFF"/>
        <w:tabs>
          <w:tab w:val="clear" w:pos="708"/>
          <w:tab w:val="left" w:pos="426" w:leader="none"/>
        </w:tabs>
        <w:ind w:left="0" w:hanging="0"/>
        <w:rPr>
          <w:rFonts w:ascii="Times New Roman" w:hAnsi="Times New Roman" w:cs="Times New Roman"/>
          <w:b/>
          <w:bCs/>
        </w:rPr>
      </w:pPr>
      <w:r>
        <w:rPr>
          <w:rFonts w:cs="Times New Roman" w:ascii="Times New Roman" w:hAnsi="Times New Roman"/>
          <w:b/>
          <w:bCs/>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3"/>
        <w:gridCol w:w="155"/>
        <w:gridCol w:w="4631"/>
        <w:gridCol w:w="331"/>
      </w:tblGrid>
      <w:tr>
        <w:trPr/>
        <w:tc>
          <w:tcPr>
            <w:tcW w:w="4928" w:type="dxa"/>
            <w:gridSpan w:val="2"/>
            <w:tcBorders/>
            <w:shd w:color="auto" w:fill="auto" w:val="clear"/>
          </w:tcPr>
          <w:p>
            <w:pPr>
              <w:pStyle w:val="Normal"/>
              <w:widowControl w:val="false"/>
              <w:spacing w:lineRule="auto" w:line="240"/>
              <w:ind w:hanging="0"/>
              <w:rPr>
                <w:sz w:val="24"/>
                <w:szCs w:val="24"/>
              </w:rPr>
            </w:pPr>
            <w:r>
              <w:rPr>
                <w:sz w:val="24"/>
                <w:szCs w:val="24"/>
              </w:rPr>
              <w:t>ЗАКАЗЧИК:</w:t>
            </w:r>
          </w:p>
        </w:tc>
        <w:tc>
          <w:tcPr>
            <w:tcW w:w="4962" w:type="dxa"/>
            <w:gridSpan w:val="2"/>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928" w:type="dxa"/>
            <w:gridSpan w:val="2"/>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b/>
                <w:sz w:val="24"/>
                <w:szCs w:val="24"/>
              </w:rPr>
            </w:pPr>
            <w:r>
              <w:rPr>
                <w:b/>
                <w:sz w:val="24"/>
                <w:szCs w:val="24"/>
              </w:rPr>
              <w:t>Публичное акционерное общество</w:t>
            </w:r>
          </w:p>
          <w:p>
            <w:pPr>
              <w:pStyle w:val="Normal"/>
              <w:widowControl w:val="false"/>
              <w:spacing w:lineRule="auto" w:line="240"/>
              <w:ind w:hanging="0"/>
              <w:jc w:val="left"/>
              <w:rPr>
                <w:b/>
                <w:sz w:val="24"/>
                <w:szCs w:val="24"/>
              </w:rPr>
            </w:pPr>
            <w:r>
              <w:rPr>
                <w:b/>
                <w:sz w:val="24"/>
                <w:szCs w:val="24"/>
              </w:rPr>
              <w:t>«Федеральная гидрогенерирующая компания - РусГидро» (ПАО «РусГидро»)</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Юридический/Почтовый адрес: 660049,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зд.2А, помещ.1. </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ОГРН 1042401810494, </w:t>
            </w:r>
          </w:p>
          <w:p>
            <w:pPr>
              <w:pStyle w:val="Normal"/>
              <w:widowControl w:val="false"/>
              <w:spacing w:lineRule="auto" w:line="240"/>
              <w:ind w:hanging="0"/>
              <w:jc w:val="left"/>
              <w:rPr>
                <w:sz w:val="24"/>
                <w:szCs w:val="24"/>
              </w:rPr>
            </w:pPr>
            <w:r>
              <w:rPr>
                <w:sz w:val="24"/>
                <w:szCs w:val="24"/>
              </w:rPr>
              <w:t>ИНН 2460066195 / КПП 997650001</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962" w:type="dxa"/>
            <w:gridSpan w:val="2"/>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Юридический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77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786" w:type="dxa"/>
            <w:gridSpan w:val="2"/>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331" w:type="dxa"/>
            <w:tcBorders/>
            <w:shd w:color="auto" w:fill="auto" w:val="clear"/>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851"/>
          <w:pgNumType w:fmt="decimal"/>
          <w:formProt w:val="false"/>
          <w:titlePg/>
          <w:textDirection w:val="lrTb"/>
          <w:docGrid w:type="default" w:linePitch="381" w:charSpace="0"/>
        </w:sectPr>
      </w:pP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jc w:val="left"/>
        <w:rPr>
          <w:sz w:val="22"/>
          <w:szCs w:val="22"/>
        </w:rPr>
      </w:pPr>
      <w:r>
        <w:rPr>
          <w:sz w:val="22"/>
          <w:szCs w:val="22"/>
        </w:rPr>
      </w:r>
      <w:r>
        <w:br w:type="page"/>
      </w:r>
    </w:p>
    <w:p>
      <w:pPr>
        <w:pStyle w:val="Normal"/>
        <w:spacing w:lineRule="auto" w:line="240"/>
        <w:ind w:left="4248" w:firstLine="572"/>
        <w:rPr>
          <w:sz w:val="22"/>
          <w:szCs w:val="22"/>
        </w:rPr>
      </w:pPr>
      <w:r>
        <w:rPr>
          <w:sz w:val="22"/>
          <w:szCs w:val="22"/>
        </w:rPr>
        <w:t>Приложение № 2</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ind w:hanging="0"/>
        <w:rPr>
          <w:b/>
          <w:bCs/>
          <w:sz w:val="24"/>
          <w:szCs w:val="24"/>
        </w:rPr>
      </w:pPr>
      <w:r>
        <w:rPr>
          <w:b/>
          <w:bCs/>
          <w:sz w:val="24"/>
          <w:szCs w:val="24"/>
        </w:rPr>
      </w:r>
    </w:p>
    <w:p>
      <w:pPr>
        <w:pStyle w:val="Normal"/>
        <w:spacing w:lineRule="auto" w:line="240"/>
        <w:ind w:hanging="0"/>
        <w:jc w:val="right"/>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Перечень Объектов</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pPr w:bottomFromText="0" w:horzAnchor="margin" w:leftFromText="180" w:rightFromText="180" w:tblpX="108" w:tblpY="170" w:topFromText="0" w:vertAnchor="text"/>
        <w:tblW w:w="50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703"/>
        <w:gridCol w:w="4567"/>
        <w:gridCol w:w="4651"/>
      </w:tblGrid>
      <w:tr>
        <w:trPr/>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 xml:space="preserve">№ </w:t>
            </w:r>
            <w:r>
              <w:rPr>
                <w:sz w:val="24"/>
                <w:szCs w:val="24"/>
              </w:rPr>
              <w:t>п/п</w:t>
            </w:r>
          </w:p>
        </w:tc>
        <w:tc>
          <w:tcPr>
            <w:tcW w:w="4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Наименование Объекта</w:t>
            </w:r>
          </w:p>
        </w:tc>
        <w:tc>
          <w:tcPr>
            <w:tcW w:w="46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 xml:space="preserve">Имущество Заказчика </w:t>
            </w:r>
          </w:p>
          <w:p>
            <w:pPr>
              <w:pStyle w:val="Normal"/>
              <w:widowControl w:val="false"/>
              <w:spacing w:lineRule="auto" w:line="240"/>
              <w:ind w:hanging="0"/>
              <w:jc w:val="center"/>
              <w:rPr>
                <w:sz w:val="24"/>
                <w:szCs w:val="24"/>
              </w:rPr>
            </w:pPr>
            <w:r>
              <w:rPr>
                <w:sz w:val="24"/>
                <w:szCs w:val="24"/>
              </w:rPr>
              <w:t>(основные средства) в составе Объекта</w:t>
            </w:r>
          </w:p>
        </w:tc>
      </w:tr>
      <w:tr>
        <w:trPr>
          <w:trHeight w:val="982" w:hRule="atLeast"/>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4"/>
                <w:szCs w:val="24"/>
              </w:rPr>
            </w:pPr>
            <w:r>
              <w:rPr>
                <w:sz w:val="24"/>
                <w:szCs w:val="24"/>
              </w:rPr>
              <w:t>1</w:t>
            </w:r>
          </w:p>
        </w:tc>
        <w:tc>
          <w:tcPr>
            <w:tcW w:w="45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Cs/>
                <w:sz w:val="24"/>
                <w:szCs w:val="24"/>
              </w:rPr>
            </w:pPr>
            <w:r>
              <w:rPr>
                <w:sz w:val="24"/>
                <w:szCs w:val="24"/>
              </w:rPr>
              <w:t>Система сброса воды из дренажных карт под фундаментной плитой здания Чебоксарской ГЭС в секциях 1-9</w:t>
            </w:r>
          </w:p>
        </w:tc>
        <w:tc>
          <w:tcPr>
            <w:tcW w:w="46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Здание ГЭС с 18 агрегатами. Назначение - гидротехническое, водоподпорное инвентарный номер № ЧБ000319</w:t>
            </w:r>
          </w:p>
          <w:p>
            <w:pPr>
              <w:pStyle w:val="Normal"/>
              <w:widowControl w:val="false"/>
              <w:spacing w:lineRule="auto" w:line="240"/>
              <w:ind w:hanging="0"/>
              <w:jc w:val="center"/>
              <w:rPr>
                <w:sz w:val="24"/>
                <w:szCs w:val="24"/>
              </w:rPr>
            </w:pPr>
            <w:r>
              <w:rPr>
                <w:sz w:val="24"/>
                <w:szCs w:val="24"/>
              </w:rPr>
            </w:r>
          </w:p>
        </w:tc>
      </w:tr>
      <w:tr>
        <w:trPr/>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4"/>
                <w:szCs w:val="24"/>
              </w:rPr>
            </w:pPr>
            <w:r>
              <w:rPr>
                <w:sz w:val="24"/>
                <w:szCs w:val="24"/>
              </w:rPr>
              <w:t>2</w:t>
            </w:r>
          </w:p>
        </w:tc>
        <w:tc>
          <w:tcPr>
            <w:tcW w:w="45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93" w:leader="none"/>
              </w:tabs>
              <w:spacing w:lineRule="auto" w:line="240"/>
              <w:ind w:hanging="0"/>
              <w:rPr>
                <w:bCs/>
                <w:sz w:val="24"/>
                <w:szCs w:val="24"/>
              </w:rPr>
            </w:pPr>
            <w:r>
              <w:rPr>
                <w:bCs/>
                <w:sz w:val="24"/>
                <w:szCs w:val="24"/>
              </w:rPr>
              <w:t>Система сброса воды из разгрузочных скважин под фундаментной плитой секций ВСП Чебоксарской ГЭС в секциях 1-2</w:t>
            </w:r>
          </w:p>
        </w:tc>
        <w:tc>
          <w:tcPr>
            <w:tcW w:w="46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Водосливная плотина. Назначение - водонапорное, водосбросное  инвентарный номер № ЧБ000500</w:t>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b/>
          <w:sz w:val="24"/>
          <w:lang w:val="en-US"/>
        </w:rPr>
      </w:pPr>
      <w:r>
        <w:rPr>
          <w:b/>
          <w:sz w:val="24"/>
          <w:lang w:val="en-US"/>
        </w:rPr>
      </w:r>
      <w:r>
        <w:br w:type="page"/>
      </w:r>
    </w:p>
    <w:p>
      <w:pPr>
        <w:pStyle w:val="Normal"/>
        <w:spacing w:lineRule="auto" w:line="240"/>
        <w:ind w:left="4112" w:firstLine="708"/>
        <w:rPr>
          <w:sz w:val="22"/>
          <w:szCs w:val="22"/>
        </w:rPr>
      </w:pPr>
      <w:r>
        <w:rPr>
          <w:sz w:val="22"/>
          <w:szCs w:val="22"/>
        </w:rPr>
        <w:t>Приложение №3</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911" w:type="dxa"/>
        <w:jc w:val="left"/>
        <w:tblInd w:w="-5" w:type="dxa"/>
        <w:tblLayout w:type="fixed"/>
        <w:tblCellMar>
          <w:top w:w="0" w:type="dxa"/>
          <w:left w:w="108" w:type="dxa"/>
          <w:bottom w:w="0" w:type="dxa"/>
          <w:right w:w="108" w:type="dxa"/>
        </w:tblCellMar>
        <w:tblLook w:noVBand="1" w:val="04a0" w:noHBand="0" w:lastColumn="0" w:firstColumn="1" w:lastRow="0" w:firstRow="1"/>
      </w:tblPr>
      <w:tblGrid>
        <w:gridCol w:w="695"/>
        <w:gridCol w:w="6"/>
        <w:gridCol w:w="1615"/>
        <w:gridCol w:w="1421"/>
        <w:gridCol w:w="1548"/>
        <w:gridCol w:w="841"/>
        <w:gridCol w:w="1176"/>
        <w:gridCol w:w="774"/>
        <w:gridCol w:w="849"/>
        <w:gridCol w:w="985"/>
      </w:tblGrid>
      <w:tr>
        <w:trPr/>
        <w:tc>
          <w:tcPr>
            <w:tcW w:w="69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w:t>
            </w:r>
          </w:p>
        </w:tc>
        <w:tc>
          <w:tcPr>
            <w:tcW w:w="162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(состав Работ)</w:t>
            </w:r>
          </w:p>
        </w:tc>
        <w:tc>
          <w:tcPr>
            <w:tcW w:w="14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w:t>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Объекта</w:t>
            </w:r>
            <w:r>
              <w:rPr>
                <w:rStyle w:val="FootnoteReference"/>
                <w:sz w:val="20"/>
                <w:szCs w:val="20"/>
              </w:rPr>
              <w:footnoteReference w:id="4"/>
            </w:r>
          </w:p>
        </w:tc>
        <w:tc>
          <w:tcPr>
            <w:tcW w:w="20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Период выполнения этапа</w:t>
            </w:r>
          </w:p>
        </w:tc>
        <w:tc>
          <w:tcPr>
            <w:tcW w:w="77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84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w:t>
            </w:r>
          </w:p>
          <w:p>
            <w:pPr>
              <w:pStyle w:val="Normal"/>
              <w:widowControl w:val="false"/>
              <w:spacing w:lineRule="auto" w:line="240"/>
              <w:ind w:hanging="0"/>
              <w:jc w:val="center"/>
              <w:rPr>
                <w:sz w:val="20"/>
                <w:szCs w:val="20"/>
              </w:rPr>
            </w:pPr>
            <w:r>
              <w:rPr>
                <w:sz w:val="20"/>
                <w:szCs w:val="20"/>
              </w:rPr>
              <w:t>(__%) руб.*</w:t>
            </w:r>
          </w:p>
        </w:tc>
        <w:tc>
          <w:tcPr>
            <w:tcW w:w="9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руб. с  НДС*</w:t>
            </w:r>
          </w:p>
        </w:tc>
      </w:tr>
      <w:tr>
        <w:trPr/>
        <w:tc>
          <w:tcPr>
            <w:tcW w:w="6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62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77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1.</w:t>
            </w:r>
          </w:p>
        </w:tc>
        <w:tc>
          <w:tcPr>
            <w:tcW w:w="162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2.</w:t>
            </w:r>
          </w:p>
        </w:tc>
        <w:tc>
          <w:tcPr>
            <w:tcW w:w="162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3.</w:t>
            </w:r>
          </w:p>
        </w:tc>
        <w:tc>
          <w:tcPr>
            <w:tcW w:w="162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4.</w:t>
            </w:r>
          </w:p>
        </w:tc>
        <w:tc>
          <w:tcPr>
            <w:tcW w:w="162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lang w:val="en-US"/>
              </w:rPr>
            </w:pPr>
            <w:r>
              <w:rPr>
                <w:sz w:val="24"/>
                <w:szCs w:val="24"/>
                <w:lang w:val="en-US"/>
              </w:rPr>
              <w:t>-</w:t>
            </w:r>
          </w:p>
        </w:tc>
        <w:tc>
          <w:tcPr>
            <w:tcW w:w="822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left"/>
              <w:rPr>
                <w:sz w:val="24"/>
                <w:szCs w:val="24"/>
              </w:rPr>
            </w:pPr>
            <w:r>
              <w:rPr>
                <w:sz w:val="24"/>
                <w:szCs w:val="24"/>
              </w:rPr>
              <w:t>Непредвиденные работы и затраты (лимит)</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b/>
                <w:sz w:val="24"/>
                <w:szCs w:val="24"/>
              </w:rPr>
            </w:pPr>
            <w:r>
              <w:rPr>
                <w:b/>
                <w:sz w:val="24"/>
                <w:szCs w:val="24"/>
              </w:rPr>
            </w:r>
          </w:p>
        </w:tc>
      </w:tr>
      <w:tr>
        <w:trPr/>
        <w:tc>
          <w:tcPr>
            <w:tcW w:w="8925"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ind w:hanging="0"/>
        <w:rPr>
          <w:sz w:val="20"/>
          <w:szCs w:val="20"/>
        </w:rPr>
      </w:pPr>
      <w:r>
        <w:rPr>
          <w:i/>
          <w:iCs/>
          <w:sz w:val="20"/>
          <w:szCs w:val="20"/>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567" w:gutter="0" w:header="567" w:top="624" w:footer="284" w:bottom="567"/>
          <w:pgNumType w:fmt="decimal"/>
          <w:formProt w:val="false"/>
          <w:textDirection w:val="lrTb"/>
          <w:docGrid w:type="default" w:linePitch="381" w:charSpace="0"/>
        </w:sectPr>
      </w:pPr>
    </w:p>
    <w:p>
      <w:pPr>
        <w:pStyle w:val="Normal"/>
        <w:spacing w:lineRule="auto" w:line="240"/>
        <w:ind w:left="4820" w:hanging="0"/>
        <w:rPr>
          <w:sz w:val="22"/>
          <w:szCs w:val="22"/>
        </w:rPr>
      </w:pPr>
      <w:r>
        <w:rPr>
          <w:sz w:val="22"/>
          <w:szCs w:val="22"/>
        </w:rPr>
        <w:t>Приложение № 4</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Cs/>
          <w:sz w:val="24"/>
          <w:szCs w:val="24"/>
        </w:rPr>
      </w:pPr>
      <w:r>
        <w:rPr>
          <w:b/>
          <w:sz w:val="24"/>
          <w:szCs w:val="24"/>
        </w:rPr>
        <w:t xml:space="preserve">СВОДНЫЙ СМЕТНЫЙ РАСЧЕТ </w:t>
      </w:r>
      <w:r>
        <w:rPr>
          <w:bCs/>
          <w:sz w:val="24"/>
          <w:szCs w:val="24"/>
        </w:rPr>
        <w:t xml:space="preserve">/ </w:t>
      </w:r>
    </w:p>
    <w:p>
      <w:pPr>
        <w:pStyle w:val="Normal"/>
        <w:spacing w:lineRule="auto" w:line="240"/>
        <w:ind w:hanging="0"/>
        <w:jc w:val="center"/>
        <w:rPr>
          <w:b/>
          <w:sz w:val="24"/>
          <w:szCs w:val="24"/>
        </w:rPr>
      </w:pPr>
      <w:r>
        <w:rPr>
          <w:b/>
          <w:bCs/>
          <w:sz w:val="24"/>
          <w:szCs w:val="24"/>
        </w:rPr>
        <w:t>ОБЪЕКТНЫЙ СМЕТНЫЙ РАСЧЕТ</w:t>
      </w:r>
      <w:r>
        <w:rPr>
          <w:bCs/>
        </w:rPr>
        <w:t xml:space="preserve"> </w:t>
      </w:r>
      <w:r>
        <w:rPr>
          <w:b/>
          <w:sz w:val="24"/>
          <w:szCs w:val="24"/>
        </w:rPr>
        <w:t>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4820" w:hanging="0"/>
        <w:rPr>
          <w:sz w:val="22"/>
          <w:szCs w:val="22"/>
        </w:rPr>
      </w:pPr>
      <w:r>
        <w:rPr>
          <w:sz w:val="22"/>
          <w:szCs w:val="22"/>
        </w:rPr>
        <w:t>Приложение № 5.1</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112"/>
        <w:jc w:val="left"/>
        <w:rPr>
          <w:rFonts w:ascii="Times New Roman" w:hAnsi="Times New Roman" w:cs="Times New Roman"/>
          <w:i/>
          <w:i/>
        </w:rPr>
      </w:pPr>
      <w:r>
        <w:rPr>
          <w:rFonts w:cs="Times New Roman" w:ascii="Times New Roman" w:hAnsi="Times New Roman"/>
          <w:i/>
        </w:rPr>
      </w:r>
    </w:p>
    <w:p>
      <w:pPr>
        <w:pStyle w:val="112"/>
        <w:rPr>
          <w:rFonts w:ascii="Times New Roman" w:hAnsi="Times New Roman" w:cs="Times New Roman"/>
          <w:sz w:val="24"/>
          <w:szCs w:val="24"/>
        </w:rPr>
      </w:pPr>
      <w:r>
        <w:rPr>
          <w:rFonts w:cs="Times New Roman" w:ascii="Times New Roman" w:hAnsi="Times New Roman"/>
          <w:iCs/>
          <w:sz w:val="24"/>
          <w:szCs w:val="24"/>
        </w:rPr>
        <w:t>ФОРМА</w:t>
      </w:r>
    </w:p>
    <w:p>
      <w:pPr>
        <w:pStyle w:val="112"/>
        <w:rPr>
          <w:rFonts w:ascii="Times New Roman" w:hAnsi="Times New Roman" w:cs="Times New Roman"/>
          <w:i/>
          <w:i/>
          <w:iCs/>
          <w:sz w:val="24"/>
          <w:szCs w:val="24"/>
        </w:rPr>
      </w:pPr>
      <w:r>
        <w:rPr>
          <w:rFonts w:cs="Times New Roman" w:ascii="Times New Roman" w:hAnsi="Times New Roman"/>
          <w:bCs/>
          <w:sz w:val="24"/>
          <w:szCs w:val="24"/>
        </w:rPr>
        <w:t>Акта сдачи-приемки места производства Работ и / или</w:t>
      </w:r>
      <w:r>
        <w:rPr>
          <w:rFonts w:cs="Times New Roman" w:ascii="Times New Roman" w:hAnsi="Times New Roman"/>
          <w:sz w:val="24"/>
        </w:rPr>
        <w:t xml:space="preserve"> места (помещения) для складирования </w:t>
      </w:r>
      <w:r>
        <w:rPr>
          <w:rFonts w:cs="Times New Roman" w:ascii="Times New Roman" w:hAnsi="Times New Roman"/>
          <w:bCs/>
          <w:sz w:val="24"/>
        </w:rPr>
        <w:t xml:space="preserve">Материально-технических </w:t>
      </w:r>
      <w:r>
        <w:rPr>
          <w:rFonts w:cs="Times New Roman" w:ascii="Times New Roman" w:hAnsi="Times New Roman"/>
          <w:bCs/>
          <w:sz w:val="24"/>
          <w:szCs w:val="24"/>
        </w:rPr>
        <w:t>ресурсов</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9524"/>
      </w:tblGrid>
      <w:tr>
        <w:trPr/>
        <w:tc>
          <w:tcPr>
            <w:tcW w:w="9524" w:type="dxa"/>
            <w:tcBorders>
              <w:top w:val="single" w:sz="4" w:space="0" w:color="000000"/>
              <w:left w:val="single" w:sz="4" w:space="0" w:color="000000"/>
              <w:bottom w:val="single" w:sz="4" w:space="0" w:color="000000"/>
              <w:right w:val="single" w:sz="4" w:space="0" w:color="000000"/>
            </w:tcBorders>
            <w:shd w:color="auto" w:fill="auto" w:val="clear"/>
          </w:tcPr>
          <w:p>
            <w:pPr>
              <w:pStyle w:val="112"/>
              <w:widowControl w:val="false"/>
              <w:rPr>
                <w:rFonts w:ascii="Times New Roman" w:hAnsi="Times New Roman" w:cs="Times New Roman"/>
                <w:b w:val="false"/>
              </w:rPr>
            </w:pPr>
            <w:r>
              <w:rPr>
                <w:rFonts w:cs="Times New Roman" w:ascii="Times New Roman" w:hAnsi="Times New Roman"/>
                <w:b w:val="false"/>
                <w:bCs/>
              </w:rPr>
              <w:t xml:space="preserve">Акт </w:t>
            </w:r>
          </w:p>
          <w:p>
            <w:pPr>
              <w:pStyle w:val="112"/>
              <w:widowControl w:val="false"/>
              <w:rPr>
                <w:rFonts w:ascii="Times New Roman" w:hAnsi="Times New Roman" w:cs="Times New Roman"/>
                <w:b w:val="false"/>
                <w:i/>
                <w:i/>
                <w:iCs/>
              </w:rPr>
            </w:pPr>
            <w:r>
              <w:rPr>
                <w:rFonts w:cs="Times New Roman" w:ascii="Times New Roman" w:hAnsi="Times New Roman"/>
                <w:b w:val="false"/>
                <w:bCs/>
              </w:rPr>
              <w:t>сдачи-приемки места производства Работ</w:t>
            </w:r>
            <w:r>
              <w:rPr>
                <w:rFonts w:cs="Times New Roman" w:ascii="Times New Roman" w:hAnsi="Times New Roman"/>
              </w:rPr>
              <w:t xml:space="preserve"> </w:t>
            </w:r>
            <w:r>
              <w:rPr>
                <w:rFonts w:cs="Times New Roman" w:ascii="Times New Roman" w:hAnsi="Times New Roman"/>
                <w:b w:val="false"/>
              </w:rPr>
              <w:t>и / или</w:t>
            </w:r>
            <w:r>
              <w:rPr>
                <w:rFonts w:cs="Times New Roman" w:ascii="Times New Roman" w:hAnsi="Times New Roman"/>
                <w:b w:val="false"/>
                <w:bCs/>
              </w:rPr>
              <w:t xml:space="preserve"> места (помещения) для складирования Материально-технических ресурсов</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и / или </w:t>
            </w:r>
            <w:r>
              <w:rPr>
                <w:sz w:val="22"/>
                <w:szCs w:val="22"/>
              </w:rPr>
              <w:t xml:space="preserve">место (помещение) для складирования </w:t>
            </w:r>
            <w:r>
              <w:rPr>
                <w:bCs/>
                <w:sz w:val="22"/>
                <w:szCs w:val="22"/>
              </w:rPr>
              <w:t>Материально-технических ресурсов</w:t>
            </w:r>
            <w:r>
              <w:rPr>
                <w:sz w:val="22"/>
                <w:szCs w:val="22"/>
              </w:rPr>
              <w:t xml:space="preserve"> _____________________________ </w:t>
            </w:r>
            <w:r>
              <w:rPr>
                <w:bCs/>
                <w:sz w:val="22"/>
                <w:szCs w:val="22"/>
              </w:rPr>
              <w:t xml:space="preserve">(указываются идентифицирующие признаки) </w:t>
            </w:r>
            <w:r>
              <w:rPr>
                <w:sz w:val="22"/>
                <w:szCs w:val="22"/>
              </w:rPr>
              <w:t>по Договору по</w:t>
            </w:r>
            <w:r>
              <w:rPr>
                <w:bCs/>
                <w:sz w:val="22"/>
                <w:szCs w:val="22"/>
              </w:rPr>
              <w:t>дряда №______ от _____________.</w:t>
            </w:r>
          </w:p>
          <w:p>
            <w:pPr>
              <w:pStyle w:val="Normal"/>
              <w:widowControl w:val="false"/>
              <w:ind w:hanging="0"/>
              <w:rPr>
                <w:bCs/>
                <w:sz w:val="22"/>
                <w:szCs w:val="22"/>
              </w:rPr>
            </w:pPr>
            <w:r>
              <w:rPr>
                <w:bCs/>
                <w:sz w:val="22"/>
                <w:szCs w:val="22"/>
              </w:rPr>
              <w:t xml:space="preserve">Место для производства Работ и </w:t>
            </w:r>
            <w:r>
              <w:rPr>
                <w:sz w:val="22"/>
                <w:szCs w:val="22"/>
              </w:rPr>
              <w:t xml:space="preserve">место (помещение) для складирования </w:t>
            </w:r>
            <w:r>
              <w:rPr>
                <w:bCs/>
                <w:sz w:val="22"/>
                <w:szCs w:val="22"/>
              </w:rPr>
              <w:t>Материально-технических ресурсов,</w:t>
            </w:r>
            <w:r>
              <w:rPr>
                <w:sz w:val="22"/>
                <w:szCs w:val="22"/>
              </w:rPr>
              <w:t xml:space="preserve"> </w:t>
            </w:r>
            <w:r>
              <w:rPr>
                <w:bCs/>
                <w:sz w:val="22"/>
                <w:szCs w:val="22"/>
              </w:rPr>
              <w:t xml:space="preserve">переданы / передано </w:t>
            </w:r>
            <w:r>
              <w:rPr>
                <w:sz w:val="22"/>
                <w:szCs w:val="22"/>
              </w:rPr>
              <w:t>Подрядчику</w:t>
            </w:r>
            <w:r>
              <w:rPr>
                <w:bCs/>
                <w:sz w:val="22"/>
                <w:szCs w:val="22"/>
              </w:rPr>
              <w:t xml:space="preserve"> в установленный Договором срок. </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ind w:hanging="0"/>
              <w:rPr>
                <w:sz w:val="22"/>
              </w:rPr>
            </w:pPr>
            <w:r>
              <w:rPr>
                <w:i/>
                <w:sz w:val="22"/>
              </w:rPr>
              <w:t>(указать конкретные претензии или указать «не имеются»)</w:t>
            </w:r>
            <w:r>
              <w:rPr>
                <w:sz w:val="22"/>
              </w:rPr>
              <w:t>.</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w:t>
            </w:r>
            <w:r>
              <w:rPr>
                <w:sz w:val="22"/>
                <w:szCs w:val="22"/>
              </w:rPr>
              <w:t xml:space="preserve"> складирования </w:t>
            </w:r>
            <w:r>
              <w:rPr>
                <w:bCs/>
                <w:sz w:val="22"/>
                <w:szCs w:val="22"/>
              </w:rPr>
              <w:t>Материально-технических ресурсов: _____________________________</w:t>
            </w:r>
          </w:p>
          <w:p>
            <w:pPr>
              <w:pStyle w:val="Normal"/>
              <w:widowControl w:val="false"/>
              <w:ind w:hanging="0"/>
              <w:rPr>
                <w:sz w:val="22"/>
                <w:szCs w:val="22"/>
              </w:rPr>
            </w:pPr>
            <w:r>
              <w:rPr>
                <w:sz w:val="22"/>
                <w:szCs w:val="22"/>
              </w:rPr>
              <w:t xml:space="preserve"> </w:t>
            </w:r>
            <w:r>
              <w:rPr>
                <w:sz w:val="22"/>
                <w:szCs w:val="22"/>
              </w:rPr>
              <w:t>(</w:t>
            </w:r>
            <w:r>
              <w:rPr>
                <w:i/>
                <w:sz w:val="22"/>
              </w:rPr>
              <w:t>указать конкретные претензии или указать «не имеются»)</w:t>
            </w:r>
            <w:r>
              <w:rPr>
                <w:sz w:val="22"/>
              </w:rPr>
              <w:t>.</w:t>
            </w:r>
          </w:p>
          <w:tbl>
            <w:tblPr>
              <w:tblW w:w="904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520"/>
              <w:gridCol w:w="4520"/>
            </w:tblGrid>
            <w:tr>
              <w:trPr/>
              <w:tc>
                <w:tcPr>
                  <w:tcW w:w="4520" w:type="dxa"/>
                  <w:tcBorders/>
                </w:tcPr>
                <w:p>
                  <w:pPr>
                    <w:pStyle w:val="Normal"/>
                    <w:widowControl w:val="false"/>
                    <w:spacing w:lineRule="auto" w:line="240"/>
                    <w:ind w:hanging="0"/>
                    <w:rPr>
                      <w:sz w:val="22"/>
                    </w:rPr>
                  </w:pPr>
                  <w:r>
                    <w:rPr>
                      <w:sz w:val="22"/>
                    </w:rPr>
                    <w:t>Заказчик:</w:t>
                  </w:r>
                </w:p>
              </w:tc>
              <w:tc>
                <w:tcPr>
                  <w:tcW w:w="4520" w:type="dxa"/>
                  <w:tcBorders/>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12"/>
              <w:widowControl w:val="false"/>
              <w:spacing w:before="0" w:after="120"/>
              <w:jc w:val="left"/>
              <w:rPr>
                <w:rFonts w:ascii="Times New Roman" w:hAnsi="Times New Roman" w:cs="Times New Roman"/>
                <w:i/>
                <w:i/>
                <w:iCs/>
              </w:rPr>
            </w:pPr>
            <w:r>
              <w:rPr>
                <w:rFonts w:cs="Times New Roman" w:ascii="Times New Roman" w:hAnsi="Times New Roman"/>
                <w:i/>
                <w:iCs/>
              </w:rPr>
            </w:r>
          </w:p>
        </w:tc>
      </w:tr>
    </w:tbl>
    <w:p>
      <w:pPr>
        <w:pStyle w:val="112"/>
        <w:jc w:val="left"/>
        <w:rPr>
          <w:rFonts w:ascii="Times New Roman" w:hAnsi="Times New Roman" w:cs="Times New Roman"/>
          <w:i/>
          <w:i/>
          <w:iCs/>
        </w:rPr>
      </w:pPr>
      <w:r>
        <w:rPr>
          <w:rFonts w:cs="Times New Roman" w:ascii="Times New Roman" w:hAnsi="Times New Roman"/>
          <w:i/>
          <w:iCs/>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4820" w:hanging="0"/>
        <w:jc w:val="left"/>
        <w:rPr>
          <w:sz w:val="22"/>
          <w:szCs w:val="22"/>
        </w:rPr>
      </w:pPr>
      <w:r>
        <w:br w:type="page"/>
      </w:r>
      <w:r>
        <w:rPr>
          <w:sz w:val="22"/>
          <w:szCs w:val="22"/>
        </w:rPr>
        <w:t>Приложение № 5.2</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12"/>
        <w:rPr>
          <w:rFonts w:ascii="Times New Roman" w:hAnsi="Times New Roman" w:cs="Times New Roman"/>
          <w:b w:val="false"/>
          <w:sz w:val="24"/>
        </w:rPr>
      </w:pPr>
      <w:r>
        <w:rPr>
          <w:rFonts w:cs="Times New Roman" w:ascii="Times New Roman" w:hAnsi="Times New Roman"/>
          <w:sz w:val="24"/>
        </w:rPr>
        <w:t>ФОРМА</w:t>
      </w:r>
    </w:p>
    <w:p>
      <w:pPr>
        <w:pStyle w:val="112"/>
        <w:rPr>
          <w:rFonts w:ascii="Times New Roman" w:hAnsi="Times New Roman" w:cs="Times New Roman"/>
          <w:i/>
          <w:i/>
          <w:sz w:val="24"/>
        </w:rPr>
      </w:pPr>
      <w:r>
        <w:rPr>
          <w:rFonts w:cs="Times New Roman" w:ascii="Times New Roman" w:hAnsi="Times New Roman"/>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9524"/>
      </w:tblGrid>
      <w:tr>
        <w:trPr/>
        <w:tc>
          <w:tcPr>
            <w:tcW w:w="9524" w:type="dxa"/>
            <w:tcBorders>
              <w:top w:val="single" w:sz="4" w:space="0" w:color="000000"/>
              <w:left w:val="single" w:sz="4" w:space="0" w:color="000000"/>
              <w:bottom w:val="single" w:sz="4" w:space="0" w:color="000000"/>
              <w:right w:val="single" w:sz="4" w:space="0" w:color="000000"/>
            </w:tcBorders>
            <w:shd w:color="auto" w:fill="auto" w:val="clear"/>
          </w:tcPr>
          <w:p>
            <w:pPr>
              <w:pStyle w:val="112"/>
              <w:widowControl w:val="false"/>
              <w:rPr>
                <w:rFonts w:ascii="Times New Roman" w:hAnsi="Times New Roman" w:cs="Times New Roman"/>
                <w:b w:val="false"/>
              </w:rPr>
            </w:pPr>
            <w:r>
              <w:rPr>
                <w:rFonts w:cs="Times New Roman" w:ascii="Times New Roman" w:hAnsi="Times New Roman"/>
                <w:b w:val="false"/>
                <w:bCs/>
              </w:rPr>
              <w:t xml:space="preserve">Акт </w:t>
            </w:r>
          </w:p>
          <w:p>
            <w:pPr>
              <w:pStyle w:val="112"/>
              <w:widowControl w:val="false"/>
              <w:rPr>
                <w:rFonts w:ascii="Times New Roman" w:hAnsi="Times New Roman" w:cs="Times New Roman"/>
                <w:i/>
                <w:i/>
                <w:iCs/>
              </w:rPr>
            </w:pPr>
            <w:r>
              <w:rPr>
                <w:rFonts w:cs="Times New Roman" w:ascii="Times New Roman" w:hAnsi="Times New Roman"/>
                <w:b w:val="false"/>
                <w:bCs/>
              </w:rPr>
              <w:t>сдачи-приемки технической и иной документации</w:t>
            </w:r>
          </w:p>
          <w:p>
            <w:pPr>
              <w:pStyle w:val="Normal"/>
              <w:widowControl w:val="false"/>
              <w:rPr/>
            </w:pPr>
            <w:r>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520"/>
              <w:gridCol w:w="4520"/>
            </w:tblGrid>
            <w:tr>
              <w:trPr/>
              <w:tc>
                <w:tcPr>
                  <w:tcW w:w="4520" w:type="dxa"/>
                  <w:tcBorders/>
                </w:tcPr>
                <w:p>
                  <w:pPr>
                    <w:pStyle w:val="Normal"/>
                    <w:widowControl w:val="false"/>
                    <w:spacing w:lineRule="auto" w:line="240"/>
                    <w:ind w:hanging="0"/>
                    <w:rPr>
                      <w:bCs/>
                      <w:sz w:val="24"/>
                      <w:szCs w:val="24"/>
                    </w:rPr>
                  </w:pPr>
                  <w:r>
                    <w:rPr>
                      <w:bCs/>
                      <w:sz w:val="24"/>
                      <w:szCs w:val="24"/>
                    </w:rPr>
                    <w:t>Заказчик:</w:t>
                  </w:r>
                </w:p>
              </w:tc>
              <w:tc>
                <w:tcPr>
                  <w:tcW w:w="4520" w:type="dxa"/>
                  <w:tcBorders/>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tc>
            </w:tr>
          </w:tbl>
          <w:p>
            <w:pPr>
              <w:pStyle w:val="112"/>
              <w:widowControl w:val="false"/>
              <w:jc w:val="left"/>
              <w:rPr>
                <w:rFonts w:ascii="Times New Roman" w:hAnsi="Times New Roman" w:cs="Times New Roman"/>
                <w:i/>
                <w:i/>
                <w:iCs/>
              </w:rPr>
            </w:pPr>
            <w:r>
              <w:rPr>
                <w:rFonts w:cs="Times New Roman" w:ascii="Times New Roman" w:hAnsi="Times New Roman"/>
                <w:i/>
                <w:iCs/>
              </w:rPr>
            </w:r>
          </w:p>
          <w:p>
            <w:pPr>
              <w:pStyle w:val="112"/>
              <w:widowControl w:val="false"/>
              <w:spacing w:before="0" w:after="120"/>
              <w:jc w:val="left"/>
              <w:rPr>
                <w:rFonts w:ascii="Times New Roman" w:hAnsi="Times New Roman" w:cs="Times New Roman"/>
                <w:i/>
                <w:i/>
                <w:iCs/>
              </w:rPr>
            </w:pPr>
            <w:r>
              <w:rPr>
                <w:rFonts w:cs="Times New Roman" w:ascii="Times New Roman" w:hAnsi="Times New Roman"/>
                <w:i/>
                <w:iCs/>
              </w:rPr>
            </w:r>
          </w:p>
        </w:tc>
      </w:tr>
    </w:tbl>
    <w:p>
      <w:pPr>
        <w:pStyle w:val="112"/>
        <w:jc w:val="left"/>
        <w:rPr>
          <w:rFonts w:ascii="Times New Roman" w:hAnsi="Times New Roman" w:cs="Times New Roman"/>
          <w:i/>
          <w:i/>
          <w:iCs/>
        </w:rPr>
      </w:pPr>
      <w:r>
        <w:rPr>
          <w:rFonts w:cs="Times New Roman" w:ascii="Times New Roman" w:hAnsi="Times New Roman"/>
          <w:i/>
          <w:iCs/>
        </w:rPr>
      </w:r>
    </w:p>
    <w:p>
      <w:pPr>
        <w:pStyle w:val="112"/>
        <w:jc w:val="left"/>
        <w:rPr>
          <w:rFonts w:ascii="Times New Roman" w:hAnsi="Times New Roman" w:cs="Times New Roman"/>
          <w:i/>
          <w:i/>
          <w:iCs/>
        </w:rPr>
      </w:pPr>
      <w:r>
        <w:rPr>
          <w:rFonts w:cs="Times New Roman" w:ascii="Times New Roman" w:hAnsi="Times New Roman"/>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r>
        <w:br w:type="page"/>
      </w:r>
    </w:p>
    <w:p>
      <w:pPr>
        <w:pStyle w:val="Normal"/>
        <w:spacing w:lineRule="auto" w:line="240"/>
        <w:ind w:left="4820" w:hanging="0"/>
        <w:rPr>
          <w:sz w:val="22"/>
          <w:szCs w:val="22"/>
        </w:rPr>
      </w:pPr>
      <w:r>
        <w:rPr>
          <w:sz w:val="22"/>
          <w:szCs w:val="22"/>
        </w:rPr>
        <w:t>Приложение № 6</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48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720"/>
        <w:gridCol w:w="1513"/>
        <w:gridCol w:w="1361"/>
        <w:gridCol w:w="1503"/>
        <w:gridCol w:w="1363"/>
        <w:gridCol w:w="1361"/>
        <w:gridCol w:w="1702"/>
      </w:tblGrid>
      <w:tr>
        <w:trPr>
          <w:trHeight w:val="214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4820" w:hanging="0"/>
        <w:rPr>
          <w:sz w:val="22"/>
          <w:szCs w:val="22"/>
        </w:rPr>
      </w:pPr>
      <w:r>
        <w:rPr>
          <w:sz w:val="22"/>
          <w:szCs w:val="22"/>
        </w:rPr>
        <w:t>Приложение № 7</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70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3750"/>
        <w:gridCol w:w="5574"/>
      </w:tblGrid>
      <w:tr>
        <w:trPr/>
        <w:tc>
          <w:tcPr>
            <w:tcW w:w="3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55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3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5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5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5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5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7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 xml:space="preserve">требований охраны труда, промышленной безопасности, охраны окружающей среды </w:t>
            </w:r>
          </w:p>
        </w:tc>
        <w:tc>
          <w:tcPr>
            <w:tcW w:w="55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bookmarkStart w:id="41" w:name="RANGE!A1%25252525252525252525253AAG42"/>
      <w:bookmarkStart w:id="42" w:name="RANGE!A1%25252525252525252525253AAG40"/>
      <w:bookmarkStart w:id="43" w:name="RANGE!A1%25252525252525252525253AAG42"/>
      <w:bookmarkStart w:id="44" w:name="RANGE!A1%25252525252525252525253AAG40"/>
      <w:bookmarkEnd w:id="43"/>
      <w:bookmarkEnd w:id="44"/>
      <w:r>
        <w:br w:type="page"/>
      </w:r>
    </w:p>
    <w:p>
      <w:pPr>
        <w:pStyle w:val="Normal"/>
        <w:spacing w:lineRule="auto" w:line="240"/>
        <w:ind w:left="4820" w:hanging="0"/>
        <w:rPr>
          <w:sz w:val="22"/>
          <w:szCs w:val="22"/>
        </w:rPr>
      </w:pPr>
      <w:r>
        <w:rPr>
          <w:sz w:val="22"/>
          <w:szCs w:val="22"/>
        </w:rPr>
        <w:t>Приложение № 8</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Параметры и условия доступа к Информационной системе Maximo</w:t>
      </w:r>
    </w:p>
    <w:p>
      <w:pPr>
        <w:pStyle w:val="Normal"/>
        <w:spacing w:lineRule="auto" w:line="240"/>
        <w:ind w:hanging="0"/>
        <w:rPr>
          <w:b/>
          <w:bCs/>
          <w:sz w:val="24"/>
          <w:szCs w:val="24"/>
        </w:rPr>
      </w:pPr>
      <w:r>
        <w:rPr>
          <w:b/>
          <w:bCs/>
          <w:sz w:val="24"/>
          <w:szCs w:val="24"/>
        </w:rPr>
      </w:r>
    </w:p>
    <w:tbl>
      <w:tblPr>
        <w:tblW w:w="500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1881"/>
        <w:gridCol w:w="8039"/>
      </w:tblGrid>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Используемые термины, определения и сокращения</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Информационная система (ИС)</w:t>
            </w:r>
          </w:p>
          <w:p>
            <w:pPr>
              <w:pStyle w:val="Normal"/>
              <w:widowControl w:val="false"/>
              <w:snapToGrid w:val="false"/>
              <w:spacing w:lineRule="auto" w:line="240"/>
              <w:ind w:hanging="0"/>
              <w:rPr>
                <w:b/>
                <w:sz w:val="24"/>
                <w:szCs w:val="24"/>
              </w:rPr>
            </w:pPr>
            <w:r>
              <w:rPr>
                <w:b/>
                <w:sz w:val="24"/>
                <w:szCs w:val="24"/>
              </w:rPr>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Совокупность одного либо нескольких компьютеров, соответствующего программного обеспечения, физических процессов, средств телекоммуникаций и других, образующих автономное целое, способное осуществлять обработку или передачу данных.</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 xml:space="preserve">Информационный сервис </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Сервис со стороны внутреннего или внешнего ИТ - подразделения (эксплуатация, администрирование, поддержка, развитие и т.д.), которым необходимо дополнять Информационную систему для обеспечения возможности ее использования в качестве бизнес -сервиса</w:t>
            </w:r>
          </w:p>
        </w:tc>
      </w:tr>
      <w:tr>
        <w:trPr>
          <w:trHeight w:val="462" w:hRule="atLeast"/>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Бизнес-сервис (БС).</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Одна или несколько информационных систем  и информационных сервисов, обеспечивающих возможность исполнения бизнес процессов компании.</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УФАП</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Управление фондами и активами предприятия</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 xml:space="preserve">Сервис «ИС УФАП», </w:t>
            </w:r>
          </w:p>
          <w:p>
            <w:pPr>
              <w:pStyle w:val="Normal"/>
              <w:widowControl w:val="false"/>
              <w:snapToGrid w:val="false"/>
              <w:spacing w:lineRule="auto" w:line="240"/>
              <w:ind w:hanging="0"/>
              <w:rPr>
                <w:b/>
                <w:sz w:val="24"/>
                <w:szCs w:val="24"/>
              </w:rPr>
            </w:pPr>
            <w:r>
              <w:rPr>
                <w:b/>
                <w:sz w:val="24"/>
                <w:szCs w:val="24"/>
              </w:rPr>
              <w:t xml:space="preserve">Сервис </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Бизнес-сервис, включающий в себя Информационную систему </w:t>
            </w:r>
            <w:r>
              <w:rPr>
                <w:sz w:val="24"/>
                <w:szCs w:val="24"/>
                <w:lang w:val="en-US"/>
              </w:rPr>
              <w:t>Maximo</w:t>
            </w:r>
            <w:r>
              <w:rPr>
                <w:sz w:val="24"/>
                <w:szCs w:val="24"/>
              </w:rPr>
              <w:t xml:space="preserve">, и информационные сервисы по ее администрированию, эксплуатации, развитию, а также сервис по поддержке пользователей ИС </w:t>
            </w:r>
            <w:r>
              <w:rPr>
                <w:sz w:val="24"/>
                <w:szCs w:val="24"/>
                <w:lang w:val="en-US"/>
              </w:rPr>
              <w:t>Maximo</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Пользователь</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Сотрудник Подрядчика, использующий Сервис «ИС УФАП» при осуществлении своих должностных обязанностей и имеющий учетную запись в ИС УФАП.</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ДСЗ</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Дирекция служб заказчика ПАО «РусГидро»</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СПП</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Служба поддержки пользователей ПАО «РусГидро»</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АРМ ИС УФАП</w:t>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Автоматизированное рабочее место пользователя ИС УФАП комплекс программно-аппаратных средств, соответствующий требованиям спецификации «Базовое рабочее место» ДСЗ ПАО «РусГидро» и имеющий возможность подключения к серверу ИС УФАП.</w:t>
            </w:r>
          </w:p>
        </w:tc>
      </w:tr>
      <w:tr>
        <w:trPr/>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80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Назначение документа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Настоящий документ предназначен для формализации отношений между Заказчиком и Подрядчиком в части предоставления и потребления Сервиса «ИС УФАП», чётко, однозначно и понятно для обеих сторон специфицирует данный сервис, условия его предоставления и потребления.</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b/>
                <w:sz w:val="24"/>
                <w:szCs w:val="24"/>
              </w:rPr>
              <w:t>Ответственные лица: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Ответственные лица определяются Сторонами согласно условиям, определенным в Договоре подряда.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Условия и порядок предоставления Сервиса «ИС УФАП»</w:t>
            </w:r>
          </w:p>
        </w:tc>
      </w:tr>
      <w:tr>
        <w:trPr>
          <w:trHeight w:val="311"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Срок действия Сервиса «ИС УФАП»</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Сервис «ИС УФАП»</w:t>
            </w:r>
            <w:r>
              <w:rPr>
                <w:b/>
                <w:sz w:val="24"/>
                <w:szCs w:val="24"/>
              </w:rPr>
              <w:t xml:space="preserve"> </w:t>
            </w:r>
            <w:r>
              <w:rPr>
                <w:sz w:val="24"/>
                <w:szCs w:val="24"/>
              </w:rPr>
              <w:t>предоставляется Заказчиком Подрядчику на срок действия Договора подряда.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Права и обязанности Заказчика:</w:t>
            </w:r>
          </w:p>
        </w:tc>
      </w:tr>
      <w:tr>
        <w:trPr>
          <w:trHeight w:val="246"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u w:val="single"/>
              </w:rPr>
            </w:pPr>
            <w:r>
              <w:rPr>
                <w:sz w:val="24"/>
                <w:szCs w:val="24"/>
                <w:u w:val="single"/>
              </w:rPr>
              <w:t>Права:</w:t>
            </w:r>
          </w:p>
        </w:tc>
      </w:tr>
      <w:tr>
        <w:trPr>
          <w:trHeight w:val="229"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Регламентировать порядок организации доступа и работы Пользователей в ИС УФАП</w:t>
            </w:r>
          </w:p>
        </w:tc>
      </w:tr>
      <w:tr>
        <w:trPr>
          <w:trHeight w:val="181"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Требовать от Подрядчика соблюдения требований корпоративных ИТ-стандартов</w:t>
            </w:r>
          </w:p>
        </w:tc>
      </w:tr>
      <w:tr>
        <w:trPr>
          <w:trHeight w:val="181"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Осуществлять тестирование персонала Подрядчика в части владения знаниями и навыками работы в ИС УФАП.</w:t>
            </w:r>
          </w:p>
        </w:tc>
      </w:tr>
      <w:tr>
        <w:trPr>
          <w:trHeight w:val="20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Оказывать Подрядчику по его просьбе содействие в организации обучения Пользователей. </w:t>
            </w:r>
          </w:p>
        </w:tc>
      </w:tr>
      <w:tr>
        <w:trPr>
          <w:trHeight w:val="20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По просьбе Подрядчика организовывать и проводить на договорной основе консультационные сессии для Пользователей по вопросам использования ИС УФАП.</w:t>
            </w:r>
          </w:p>
        </w:tc>
      </w:tr>
      <w:tr>
        <w:trPr>
          <w:trHeight w:val="181"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Представлять интересы Подрядчика при его взаимодействии с разработчиками ИС УФАП </w:t>
            </w:r>
          </w:p>
        </w:tc>
      </w:tr>
      <w:tr>
        <w:trPr>
          <w:trHeight w:val="20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u w:val="single"/>
              </w:rPr>
            </w:pPr>
            <w:r>
              <w:rPr>
                <w:sz w:val="24"/>
                <w:szCs w:val="24"/>
                <w:u w:val="single"/>
              </w:rPr>
              <w:t xml:space="preserve">Обязанности: </w:t>
            </w:r>
          </w:p>
        </w:tc>
      </w:tr>
      <w:tr>
        <w:trPr>
          <w:trHeight w:val="309"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Оказывать Сервис профессионально, в корректной, уважительной манере.</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Оказывать Сервис с параметрами, не хуже, чем указано в разделе «Параметры Сервиса» настоящих Правил.</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Обеспечить Подрядчика комплектом пользовательской документации, согласно списку, указанному в Таблице 4.</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Рассматривать и давать мотивированный ответ на запросы Подрядчика об организации дополнительных АРМ ИС УФАП для персонала Подрядчика.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Оказывать содействие Подрядчику в приобретении последним пользовательских лицензий ИС УФАП.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Своевременно информировать Подрядчика о планируемых профилактических мероприятиях, следствием которых может явиться временное снижение качества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Рассматривать и давать мотивированный ответ на предложения Подрядчика по улучшению качества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В письменной форме подтверждать либо аргументировано отклонять информацию Подрядчика о времени недоступности Сервиса.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Права и обязанности Подрядчика:</w:t>
            </w:r>
          </w:p>
        </w:tc>
      </w:tr>
      <w:tr>
        <w:trPr>
          <w:trHeight w:val="246"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u w:val="single"/>
              </w:rPr>
            </w:pPr>
            <w:r>
              <w:rPr>
                <w:sz w:val="24"/>
                <w:szCs w:val="24"/>
                <w:u w:val="single"/>
              </w:rPr>
              <w:t>Права: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Получать поддержку в СПП Заказчика по вопросам, касающимся качества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Требовать от Заказчика предоставления доступа персонала Подрядчика как минимум к одному АРМ ИС УФАП на срок действия Договора подряда.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Направлять Заказчику запросы на создание за счет Подрядчика дополнительных АРМ ИС УФАП для персонала Подрядчика, в том числе на территории Подрядчика.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Самостоятельно приобретать пользовательские лицензии на ИС УФАП у официальных представителей компании – разработчика ИС УФАП.</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Делегировать Заказчику право представлять интересы Подрядчика при взаимодействии с разработчиками ИС УФАП</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Требовать от Заказчика проведения дополнительной подготовки персонала в случае внесения  существенных изменений в функционал или пользовательский интерфейс ИС УФАП.</w:t>
            </w:r>
          </w:p>
        </w:tc>
      </w:tr>
      <w:tr>
        <w:trPr>
          <w:trHeight w:val="342"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Направлять Заказчику предложения по улучшению качества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Вести самостоятельный учет времени перерывов в предоставлении Сервиса, произошедших по вине Заказчика, требовать от Заказчика письменного подтверждения сроков недоступности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u w:val="single"/>
              </w:rPr>
            </w:pPr>
            <w:r>
              <w:rPr>
                <w:sz w:val="24"/>
                <w:szCs w:val="24"/>
                <w:u w:val="single"/>
              </w:rPr>
              <w:t>Обязанности:</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Взаимодействовать с представителями Заказчика в корректной, уважительной манере.</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Выполнять требования корпоративных ИТ - стандартов Заказчика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При организации дополнительных АРМ ИС УФАП обеспечить соответствие их тактико-технических характеристик требованиям спецификации  «Базовое рабочее место» ДСЗ ПАО «РусГидро» (см. табл.2).</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Обеспечить изучение Пользователями документации, перечисленной в Таблице 4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Обеспечить наличие у Пользователей базовых навыков использования персональных компьютеров, офисного программного обеспечения и  программного обеспечения по управлению проектами Microsoft Project 2003.</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Обеспечить наличие у Пользователей базовых навыков использования Сервиса путем организации вводного обучения.</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Принимать все зависящие от него меры по содействию специалистам Заказчика в проведении текущего обучения Пользователей.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Обеспечить обращение Пользователей по вопросам поддержки Сервиса только через СПП. Не допускать прямых первоначальных контактов Пользователей с ИТ - специалистами Заказчика.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После регистрации обращения в СПП принимать все зависящие от него меры по содействию СПП в работах, связанных с данным обращением.</w:t>
            </w:r>
          </w:p>
        </w:tc>
      </w:tr>
      <w:tr>
        <w:trPr>
          <w:trHeight w:val="286"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 xml:space="preserve">Предоставлять в СПП всю информацию, необходимую для выполнения обращения. </w:t>
            </w:r>
          </w:p>
        </w:tc>
      </w:tr>
      <w:tr>
        <w:trPr>
          <w:trHeight w:val="34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Не препятствовать выполнению стандартных регламентных процедур: обновление ПО, исправление ошибок ПО и др.</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Риски, катастрофы, чрезвычайные ситуации</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В случае катастрофических обстоятельств, не предусмотренных стандартными эксплуатационными процедурами, препятствующих восстановлению работоспособности Сервиса, обеспечение непрерывности бизнеса производится в соответствии с имеющимся у Заказчика планом основных мероприятий при возникновении ЧС.</w:t>
            </w:r>
          </w:p>
        </w:tc>
      </w:tr>
      <w:tr>
        <w:trPr>
          <w:trHeight w:val="236"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r>
          </w:p>
          <w:p>
            <w:pPr>
              <w:pStyle w:val="Normal"/>
              <w:widowControl w:val="false"/>
              <w:snapToGrid w:val="false"/>
              <w:spacing w:lineRule="auto" w:line="240"/>
              <w:ind w:hanging="0"/>
              <w:rPr>
                <w:b/>
                <w:sz w:val="24"/>
                <w:szCs w:val="24"/>
              </w:rPr>
            </w:pPr>
            <w:r>
              <w:rPr>
                <w:b/>
                <w:sz w:val="24"/>
                <w:szCs w:val="24"/>
              </w:rPr>
              <w:t>Описание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Описание</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Сервис «ИС УФАП» является ИТ - сервисом по автоматизации процесса  управления фондами и активами ПАО «РусГидро» и управляемых объектов.</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b/>
                <w:sz w:val="24"/>
                <w:szCs w:val="24"/>
              </w:rPr>
              <w:t>Пользователи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snapToGrid w:val="false"/>
              <w:spacing w:lineRule="auto" w:line="240"/>
              <w:ind w:left="0" w:hanging="0"/>
              <w:jc w:val="left"/>
              <w:textAlignment w:val="baseline"/>
              <w:rPr>
                <w:sz w:val="24"/>
                <w:szCs w:val="24"/>
              </w:rPr>
            </w:pPr>
            <w:r>
              <w:rPr>
                <w:sz w:val="24"/>
                <w:szCs w:val="24"/>
              </w:rPr>
              <w:t>Пользователями Сервиса могут быть: штатные сотрудники Подрядчика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Количество Пользователей Сервиса определяется количеством пользовательских лицензий, имеющихся у Подрядчика и на момент подписания настоящего документа 1 ед.</w:t>
            </w:r>
          </w:p>
        </w:tc>
      </w:tr>
      <w:tr>
        <w:trPr>
          <w:trHeight w:val="365"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i/>
                <w:i/>
                <w:color w:val="808080"/>
                <w:sz w:val="24"/>
                <w:szCs w:val="24"/>
              </w:rPr>
            </w:pPr>
            <w:r>
              <w:rPr>
                <w:sz w:val="24"/>
                <w:szCs w:val="24"/>
              </w:rPr>
              <w:t>Порядок получения Подрядчиком пользовательских лицензий ИС УФАП определен  «Временным положением о порядке работы внешних контрагентов с информационной системой управления фондами и активами ПАО «РусГидро»</w:t>
            </w:r>
          </w:p>
        </w:tc>
      </w:tr>
      <w:tr>
        <w:trPr>
          <w:trHeight w:val="321"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Функциональность</w:t>
            </w:r>
          </w:p>
        </w:tc>
      </w:tr>
      <w:tr>
        <w:trPr>
          <w:trHeight w:val="27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sz w:val="24"/>
                <w:szCs w:val="24"/>
              </w:rPr>
              <w:t>В составе Сервиса предоставляется:</w:t>
            </w:r>
          </w:p>
        </w:tc>
      </w:tr>
      <w:tr>
        <w:trPr>
          <w:trHeight w:val="231"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возможность использования единой базы данных по Объектам Заказчика</w:t>
            </w:r>
          </w:p>
        </w:tc>
      </w:tr>
      <w:tr>
        <w:trPr>
          <w:trHeight w:val="49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возможность планирования, проведения, контроля и анализа воздействий на обслуживаемые Объекты</w:t>
            </w:r>
          </w:p>
        </w:tc>
      </w:tr>
      <w:tr>
        <w:trPr>
          <w:trHeight w:val="235"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возможность накопления и консолидирования данных отчетности по обслуживаемым Объектам.</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автоматизация выполнения процедур регистрации и отслеживания дефектов Объектов</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автоматизация формирования отчетов, регламентированных РАО ЕЭС России, а также принятых в качестве стандартов внутрикорпоративной отчетности Заказчика;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автоматизация складского учета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автоматизация процессов заказа и закупки МТР</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sz w:val="24"/>
                <w:szCs w:val="24"/>
              </w:rPr>
              <w:t>В составе Сервиса предоставляются дополнительные услуги по поддержке пользователей, устранению инцидентов, выполнению соответствующих запросов на обслуживание через Службу Поддержки Пользователей.</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В состав Сервиса не входит:</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обслуживание или поддержка аппаратного обеспечения Подрядчика (персональные компьютеры, серверы, сетевые устройства и др.)</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установка, обслуживание или поддержка программного обеспечения (ПО) рабочих мест Пользователей, за исключением ПО, необходимого для потребления Сервиса и указанного в Таблице 2.</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резервное копирование информации, хранящейся на внутренних жестких дисках Пользователей;</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left" w:pos="708" w:leader="none"/>
              </w:tabs>
              <w:snapToGrid w:val="false"/>
              <w:spacing w:lineRule="auto" w:line="240"/>
              <w:ind w:left="0" w:hanging="0"/>
              <w:outlineLvl w:val="0"/>
              <w:rPr>
                <w:sz w:val="24"/>
                <w:szCs w:val="24"/>
              </w:rPr>
            </w:pPr>
            <w:r>
              <w:rPr>
                <w:b/>
                <w:sz w:val="24"/>
                <w:szCs w:val="24"/>
              </w:rPr>
              <w:t>Параметры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Сервис предоставляется с одним уровнем – «Базовый» (Б)</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Сервис предоставляется 24 часа в сутки 7 дней в неделю.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Сервис доступен 24 часа в сутки 7 дней в неделю, за исключением времени проведения профилактических работ.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Коэффициент доступности, определяемый как отношение времени фактической доступности Сервиса к времени заявленной доступности: не ниже 80 (восьмидесяти) процентов в течение месяца. </w:t>
            </w:r>
          </w:p>
          <w:p>
            <w:pPr>
              <w:pStyle w:val="Normal"/>
              <w:widowControl w:val="false"/>
              <w:snapToGrid w:val="false"/>
              <w:spacing w:lineRule="auto" w:line="240"/>
              <w:ind w:hanging="0"/>
              <w:rPr>
                <w:sz w:val="24"/>
                <w:szCs w:val="24"/>
              </w:rPr>
            </w:pPr>
            <w:r>
              <w:rPr>
                <w:sz w:val="24"/>
                <w:szCs w:val="24"/>
              </w:rPr>
              <w:t>При этом Сервис считается доступным, если время восстановления Сервиса не превышает 60 минут.</w:t>
            </w:r>
          </w:p>
        </w:tc>
      </w:tr>
      <w:tr>
        <w:trPr>
          <w:trHeight w:val="52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В случае если время восстановления сервиса превышает 120 минут, Подрядчик имеет право инициировать процедуру отсрочки регистрации данных в ИС УФАП. </w:t>
            </w:r>
          </w:p>
        </w:tc>
      </w:tr>
      <w:tr>
        <w:trPr>
          <w:trHeight w:val="52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Допускается приостановление предоставления сервиса для проведения профилактических работ:</w:t>
            </w:r>
          </w:p>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Еженедельные работы – 1 раз в неделю на 4 часа.</w:t>
            </w:r>
          </w:p>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Ежемесячные работы – 1 раз в месяц на 4 часа.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Поддержка Сервиса обеспечивается локальной СПП объекта 8 часов в сутки 5 дней в неделю в соответствии с графиком работы локальных СПП.</w:t>
            </w:r>
          </w:p>
        </w:tc>
      </w:tr>
      <w:tr>
        <w:trPr>
          <w:trHeight w:val="28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b/>
                <w:sz w:val="24"/>
                <w:szCs w:val="24"/>
              </w:rPr>
              <w:t>Параметры надежности</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Под надежностью Сервиса понимается отсутствие аппаратных сбоев и критичных ошибок в системном и прикладном программном обеспечении, сетевом сервисе, отсутствие потери  важных данных.</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Количество сбоев в течение рабочего дня не должно превышать 10</w:t>
            </w:r>
          </w:p>
          <w:p>
            <w:pPr>
              <w:pStyle w:val="ListParagraph"/>
              <w:widowControl w:val="false"/>
              <w:numPr>
                <w:ilvl w:val="0"/>
                <w:numId w:val="22"/>
              </w:numPr>
              <w:snapToGrid w:val="false"/>
              <w:ind w:left="426" w:hanging="360"/>
              <w:rPr>
                <w:rFonts w:ascii="Times New Roman" w:hAnsi="Times New Roman" w:cs="Times New Roman"/>
              </w:rPr>
            </w:pPr>
            <w:r>
              <w:rPr>
                <w:rFonts w:cs="Times New Roman" w:ascii="Times New Roman" w:hAnsi="Times New Roman"/>
              </w:rPr>
              <w:t>Максимально допускаемый объем повторной работы в случае сбоя – 8 часов.</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Сервис обеспечивает возможность конвертирования документов и отчетных форм УФАП Maximo в форматы xls  (Microsoft Excel) и pdf (Adobe Acrobat)</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Инциденты, возникающие при потреблении Сервиса, ликвидируются в соответствии со следующей таблицей, в зависимости от влияния инцидента на бизнес:</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right"/>
              <w:rPr>
                <w:b/>
                <w:sz w:val="24"/>
                <w:szCs w:val="24"/>
              </w:rPr>
            </w:pPr>
            <w:r>
              <w:rPr>
                <w:b/>
                <w:sz w:val="24"/>
                <w:szCs w:val="24"/>
              </w:rPr>
              <w:t>Таблица 1.</w:t>
            </w:r>
          </w:p>
        </w:tc>
      </w:tr>
      <w:tr>
        <w:trPr/>
        <w:tc>
          <w:tcPr>
            <w:tcW w:w="9920" w:type="dxa"/>
            <w:gridSpan w:val="2"/>
            <w:tcBorders>
              <w:top w:val="single" w:sz="4" w:space="0" w:color="000000"/>
              <w:left w:val="single" w:sz="4" w:space="0" w:color="000000"/>
              <w:bottom w:val="single" w:sz="4" w:space="0" w:color="000000"/>
              <w:right w:val="single" w:sz="4" w:space="0" w:color="000000"/>
            </w:tcBorders>
          </w:tcPr>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1313"/>
              <w:gridCol w:w="5537"/>
              <w:gridCol w:w="2855"/>
            </w:tblGrid>
            <w:tr>
              <w:trPr>
                <w:cantSplit w:val="true"/>
              </w:trPr>
              <w:tc>
                <w:tcPr>
                  <w:tcW w:w="6850" w:type="dxa"/>
                  <w:gridSpan w:val="2"/>
                  <w:tcBorders>
                    <w:top w:val="single" w:sz="4" w:space="0" w:color="000000"/>
                    <w:left w:val="single" w:sz="4" w:space="0" w:color="000000"/>
                    <w:bottom w:val="single" w:sz="8" w:space="0" w:color="000000"/>
                    <w:right w:val="single" w:sz="4" w:space="0" w:color="000000"/>
                  </w:tcBorders>
                </w:tcPr>
                <w:p>
                  <w:pPr>
                    <w:pStyle w:val="Normal"/>
                    <w:widowControl w:val="false"/>
                    <w:snapToGrid w:val="false"/>
                    <w:spacing w:lineRule="auto" w:line="240"/>
                    <w:ind w:hanging="0"/>
                    <w:jc w:val="center"/>
                    <w:rPr>
                      <w:b/>
                      <w:bCs/>
                      <w:sz w:val="24"/>
                      <w:szCs w:val="24"/>
                    </w:rPr>
                  </w:pPr>
                  <w:r>
                    <w:rPr>
                      <w:b/>
                      <w:bCs/>
                      <w:sz w:val="24"/>
                      <w:szCs w:val="24"/>
                    </w:rPr>
                    <w:t>Влияние</w:t>
                  </w:r>
                </w:p>
              </w:tc>
              <w:tc>
                <w:tcPr>
                  <w:tcW w:w="2855" w:type="dxa"/>
                  <w:vMerge w:val="restart"/>
                  <w:tcBorders>
                    <w:top w:val="single" w:sz="8" w:space="0" w:color="000000"/>
                    <w:left w:val="single" w:sz="4" w:space="0" w:color="000000"/>
                    <w:bottom w:val="single" w:sz="8" w:space="0" w:color="000000"/>
                    <w:right w:val="single" w:sz="8" w:space="0" w:color="000000"/>
                  </w:tcBorders>
                </w:tcPr>
                <w:p>
                  <w:pPr>
                    <w:pStyle w:val="Normal"/>
                    <w:widowControl w:val="false"/>
                    <w:snapToGrid w:val="false"/>
                    <w:spacing w:lineRule="auto" w:line="240"/>
                    <w:ind w:hanging="0"/>
                    <w:jc w:val="center"/>
                    <w:rPr>
                      <w:b/>
                      <w:bCs/>
                      <w:sz w:val="24"/>
                      <w:szCs w:val="24"/>
                    </w:rPr>
                  </w:pPr>
                  <w:r>
                    <w:rPr>
                      <w:b/>
                      <w:bCs/>
                      <w:sz w:val="24"/>
                      <w:szCs w:val="24"/>
                    </w:rPr>
                    <w:t>Время устранения (Приоритет)</w:t>
                  </w:r>
                </w:p>
              </w:tc>
            </w:tr>
            <w:tr>
              <w:trPr>
                <w:cantSplit w:val="true"/>
              </w:trPr>
              <w:tc>
                <w:tcPr>
                  <w:tcW w:w="1313" w:type="dxa"/>
                  <w:tcBorders>
                    <w:left w:val="single" w:sz="4" w:space="0" w:color="000000"/>
                    <w:bottom w:val="single" w:sz="8" w:space="0" w:color="000000"/>
                    <w:right w:val="single" w:sz="8" w:space="0" w:color="000000"/>
                  </w:tcBorders>
                </w:tcPr>
                <w:p>
                  <w:pPr>
                    <w:pStyle w:val="Normal"/>
                    <w:widowControl w:val="false"/>
                    <w:snapToGrid w:val="false"/>
                    <w:spacing w:lineRule="auto" w:line="240"/>
                    <w:ind w:hanging="0"/>
                    <w:jc w:val="center"/>
                    <w:rPr>
                      <w:b/>
                      <w:bCs/>
                      <w:sz w:val="24"/>
                      <w:szCs w:val="24"/>
                    </w:rPr>
                  </w:pPr>
                  <w:r>
                    <w:rPr>
                      <w:b/>
                      <w:bCs/>
                      <w:sz w:val="24"/>
                      <w:szCs w:val="24"/>
                    </w:rPr>
                    <w:t xml:space="preserve">Уровень </w:t>
                  </w:r>
                </w:p>
              </w:tc>
              <w:tc>
                <w:tcPr>
                  <w:tcW w:w="5537" w:type="dxa"/>
                  <w:tcBorders>
                    <w:bottom w:val="single" w:sz="8" w:space="0" w:color="000000"/>
                    <w:right w:val="single" w:sz="4" w:space="0" w:color="000000"/>
                  </w:tcBorders>
                </w:tcPr>
                <w:p>
                  <w:pPr>
                    <w:pStyle w:val="Normal"/>
                    <w:widowControl w:val="false"/>
                    <w:snapToGrid w:val="false"/>
                    <w:spacing w:lineRule="auto" w:line="240"/>
                    <w:ind w:hanging="0"/>
                    <w:jc w:val="center"/>
                    <w:rPr>
                      <w:b/>
                      <w:bCs/>
                      <w:sz w:val="24"/>
                      <w:szCs w:val="24"/>
                    </w:rPr>
                  </w:pPr>
                  <w:r>
                    <w:rPr>
                      <w:b/>
                      <w:bCs/>
                      <w:sz w:val="24"/>
                      <w:szCs w:val="24"/>
                    </w:rPr>
                    <w:t>Определение</w:t>
                  </w:r>
                </w:p>
              </w:tc>
              <w:tc>
                <w:tcPr>
                  <w:tcW w:w="2855" w:type="dxa"/>
                  <w:vMerge w:val="continue"/>
                  <w:tcBorders>
                    <w:top w:val="single" w:sz="8" w:space="0" w:color="000000"/>
                    <w:left w:val="single" w:sz="4" w:space="0" w:color="000000"/>
                    <w:bottom w:val="single" w:sz="8" w:space="0" w:color="000000"/>
                    <w:right w:val="single" w:sz="8" w:space="0" w:color="000000"/>
                  </w:tcBorders>
                  <w:vAlign w:val="center"/>
                </w:tcPr>
                <w:p>
                  <w:pPr>
                    <w:pStyle w:val="Normal"/>
                    <w:widowControl w:val="false"/>
                    <w:spacing w:lineRule="auto" w:line="240"/>
                    <w:ind w:hanging="0"/>
                    <w:jc w:val="left"/>
                    <w:rPr>
                      <w:b/>
                      <w:bCs/>
                      <w:sz w:val="24"/>
                      <w:szCs w:val="24"/>
                    </w:rPr>
                  </w:pPr>
                  <w:r>
                    <w:rPr>
                      <w:b/>
                      <w:bCs/>
                      <w:sz w:val="24"/>
                      <w:szCs w:val="24"/>
                    </w:rPr>
                  </w:r>
                </w:p>
              </w:tc>
            </w:tr>
            <w:tr>
              <w:trPr>
                <w:cantSplit w:val="true"/>
              </w:trPr>
              <w:tc>
                <w:tcPr>
                  <w:tcW w:w="1313"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rPr>
                      <w:sz w:val="24"/>
                      <w:szCs w:val="24"/>
                    </w:rPr>
                  </w:pPr>
                  <w:r>
                    <w:rPr>
                      <w:sz w:val="24"/>
                      <w:szCs w:val="24"/>
                    </w:rPr>
                    <w:t>Нет</w:t>
                  </w:r>
                </w:p>
              </w:tc>
              <w:tc>
                <w:tcPr>
                  <w:tcW w:w="5537" w:type="dxa"/>
                  <w:tcBorders>
                    <w:bottom w:val="single" w:sz="8" w:space="0" w:color="000000"/>
                    <w:right w:val="single" w:sz="4" w:space="0" w:color="000000"/>
                  </w:tcBorders>
                  <w:vAlign w:val="center"/>
                </w:tcPr>
                <w:p>
                  <w:pPr>
                    <w:pStyle w:val="Normal"/>
                    <w:widowControl w:val="false"/>
                    <w:snapToGrid w:val="false"/>
                    <w:spacing w:lineRule="auto" w:line="240"/>
                    <w:ind w:hanging="0"/>
                    <w:rPr>
                      <w:sz w:val="24"/>
                      <w:szCs w:val="24"/>
                    </w:rPr>
                  </w:pPr>
                  <w:r>
                    <w:rPr>
                      <w:sz w:val="24"/>
                      <w:szCs w:val="24"/>
                    </w:rPr>
                    <w:t>Можно продолжать работу</w:t>
                  </w:r>
                </w:p>
              </w:tc>
              <w:tc>
                <w:tcPr>
                  <w:tcW w:w="2855"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jc w:val="center"/>
                    <w:rPr>
                      <w:sz w:val="24"/>
                      <w:szCs w:val="24"/>
                    </w:rPr>
                  </w:pPr>
                  <w:r>
                    <w:rPr>
                      <w:sz w:val="24"/>
                      <w:szCs w:val="24"/>
                    </w:rPr>
                    <w:t>72 часа (4)</w:t>
                  </w:r>
                </w:p>
              </w:tc>
            </w:tr>
            <w:tr>
              <w:trPr>
                <w:cantSplit w:val="true"/>
              </w:trPr>
              <w:tc>
                <w:tcPr>
                  <w:tcW w:w="1313"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rPr>
                      <w:sz w:val="24"/>
                      <w:szCs w:val="24"/>
                    </w:rPr>
                  </w:pPr>
                  <w:r>
                    <w:rPr>
                      <w:sz w:val="24"/>
                      <w:szCs w:val="24"/>
                    </w:rPr>
                    <w:t>Низкий</w:t>
                  </w:r>
                </w:p>
              </w:tc>
              <w:tc>
                <w:tcPr>
                  <w:tcW w:w="5537" w:type="dxa"/>
                  <w:tcBorders>
                    <w:bottom w:val="single" w:sz="8" w:space="0" w:color="000000"/>
                    <w:right w:val="single" w:sz="4" w:space="0" w:color="000000"/>
                  </w:tcBorders>
                  <w:vAlign w:val="center"/>
                </w:tcPr>
                <w:p>
                  <w:pPr>
                    <w:pStyle w:val="Normal"/>
                    <w:widowControl w:val="false"/>
                    <w:snapToGrid w:val="false"/>
                    <w:spacing w:lineRule="auto" w:line="240"/>
                    <w:ind w:hanging="0"/>
                    <w:rPr>
                      <w:sz w:val="24"/>
                      <w:szCs w:val="24"/>
                    </w:rPr>
                  </w:pPr>
                  <w:r>
                    <w:rPr>
                      <w:sz w:val="24"/>
                      <w:szCs w:val="24"/>
                    </w:rPr>
                    <w:t>Не может работать один сотрудник</w:t>
                  </w:r>
                </w:p>
              </w:tc>
              <w:tc>
                <w:tcPr>
                  <w:tcW w:w="2855"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jc w:val="center"/>
                    <w:rPr>
                      <w:sz w:val="24"/>
                      <w:szCs w:val="24"/>
                    </w:rPr>
                  </w:pPr>
                  <w:r>
                    <w:rPr>
                      <w:sz w:val="24"/>
                      <w:szCs w:val="24"/>
                    </w:rPr>
                    <w:t>24 часа (3)</w:t>
                  </w:r>
                </w:p>
              </w:tc>
            </w:tr>
            <w:tr>
              <w:trPr>
                <w:cantSplit w:val="true"/>
              </w:trPr>
              <w:tc>
                <w:tcPr>
                  <w:tcW w:w="1313"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rPr>
                      <w:sz w:val="24"/>
                      <w:szCs w:val="24"/>
                    </w:rPr>
                  </w:pPr>
                  <w:r>
                    <w:rPr>
                      <w:sz w:val="24"/>
                      <w:szCs w:val="24"/>
                    </w:rPr>
                    <w:t>Средний</w:t>
                  </w:r>
                </w:p>
              </w:tc>
              <w:tc>
                <w:tcPr>
                  <w:tcW w:w="5537" w:type="dxa"/>
                  <w:tcBorders>
                    <w:bottom w:val="single" w:sz="8" w:space="0" w:color="000000"/>
                    <w:right w:val="single" w:sz="4" w:space="0" w:color="000000"/>
                  </w:tcBorders>
                  <w:vAlign w:val="center"/>
                </w:tcPr>
                <w:p>
                  <w:pPr>
                    <w:pStyle w:val="Normal"/>
                    <w:widowControl w:val="false"/>
                    <w:snapToGrid w:val="false"/>
                    <w:spacing w:lineRule="auto" w:line="240"/>
                    <w:ind w:hanging="0"/>
                    <w:rPr>
                      <w:sz w:val="24"/>
                      <w:szCs w:val="24"/>
                    </w:rPr>
                  </w:pPr>
                  <w:r>
                    <w:rPr>
                      <w:sz w:val="24"/>
                      <w:szCs w:val="24"/>
                    </w:rPr>
                    <w:t>Не может выполняться технологическая операция</w:t>
                  </w:r>
                </w:p>
              </w:tc>
              <w:tc>
                <w:tcPr>
                  <w:tcW w:w="2855"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jc w:val="center"/>
                    <w:rPr>
                      <w:sz w:val="24"/>
                      <w:szCs w:val="24"/>
                    </w:rPr>
                  </w:pPr>
                  <w:r>
                    <w:rPr>
                      <w:sz w:val="24"/>
                      <w:szCs w:val="24"/>
                    </w:rPr>
                    <w:t xml:space="preserve">    </w:t>
                  </w:r>
                  <w:r>
                    <w:rPr>
                      <w:sz w:val="24"/>
                      <w:szCs w:val="24"/>
                    </w:rPr>
                    <w:t>8 часов (2)</w:t>
                  </w:r>
                </w:p>
              </w:tc>
            </w:tr>
            <w:tr>
              <w:trPr>
                <w:cantSplit w:val="true"/>
              </w:trPr>
              <w:tc>
                <w:tcPr>
                  <w:tcW w:w="1313" w:type="dxa"/>
                  <w:tcBorders>
                    <w:left w:val="single" w:sz="4" w:space="0" w:color="000000"/>
                    <w:bottom w:val="single" w:sz="4" w:space="0" w:color="000000"/>
                    <w:right w:val="single" w:sz="8" w:space="0" w:color="000000"/>
                  </w:tcBorders>
                  <w:vAlign w:val="center"/>
                </w:tcPr>
                <w:p>
                  <w:pPr>
                    <w:pStyle w:val="Normal"/>
                    <w:widowControl w:val="false"/>
                    <w:snapToGrid w:val="false"/>
                    <w:spacing w:lineRule="auto" w:line="240"/>
                    <w:ind w:hanging="0"/>
                    <w:rPr>
                      <w:sz w:val="24"/>
                      <w:szCs w:val="24"/>
                    </w:rPr>
                  </w:pPr>
                  <w:r>
                    <w:rPr>
                      <w:sz w:val="24"/>
                      <w:szCs w:val="24"/>
                    </w:rPr>
                    <w:t>Высокий</w:t>
                  </w:r>
                </w:p>
              </w:tc>
              <w:tc>
                <w:tcPr>
                  <w:tcW w:w="5537" w:type="dxa"/>
                  <w:tcBorders>
                    <w:bottom w:val="single" w:sz="4" w:space="0" w:color="000000"/>
                    <w:right w:val="single" w:sz="4" w:space="0" w:color="000000"/>
                  </w:tcBorders>
                  <w:vAlign w:val="center"/>
                </w:tcPr>
                <w:p>
                  <w:pPr>
                    <w:pStyle w:val="Normal"/>
                    <w:widowControl w:val="false"/>
                    <w:snapToGrid w:val="false"/>
                    <w:spacing w:lineRule="auto" w:line="240"/>
                    <w:ind w:hanging="0"/>
                    <w:rPr>
                      <w:sz w:val="24"/>
                      <w:szCs w:val="24"/>
                    </w:rPr>
                  </w:pPr>
                  <w:r>
                    <w:rPr>
                      <w:sz w:val="24"/>
                      <w:szCs w:val="24"/>
                    </w:rPr>
                    <w:t>Не может работать предприятие</w:t>
                  </w:r>
                </w:p>
              </w:tc>
              <w:tc>
                <w:tcPr>
                  <w:tcW w:w="2855" w:type="dxa"/>
                  <w:tcBorders>
                    <w:left w:val="single" w:sz="4" w:space="0" w:color="000000"/>
                    <w:bottom w:val="single" w:sz="8" w:space="0" w:color="000000"/>
                    <w:right w:val="single" w:sz="8" w:space="0" w:color="000000"/>
                  </w:tcBorders>
                  <w:vAlign w:val="center"/>
                </w:tcPr>
                <w:p>
                  <w:pPr>
                    <w:pStyle w:val="Normal"/>
                    <w:widowControl w:val="false"/>
                    <w:snapToGrid w:val="false"/>
                    <w:spacing w:lineRule="auto" w:line="240"/>
                    <w:ind w:hanging="0"/>
                    <w:jc w:val="center"/>
                    <w:rPr>
                      <w:sz w:val="24"/>
                      <w:szCs w:val="24"/>
                    </w:rPr>
                  </w:pPr>
                  <w:r>
                    <w:rPr>
                      <w:sz w:val="24"/>
                      <w:szCs w:val="24"/>
                      <w:lang w:val="en-US"/>
                    </w:rPr>
                    <w:t xml:space="preserve">   </w:t>
                  </w:r>
                  <w:r>
                    <w:rPr>
                      <w:sz w:val="24"/>
                      <w:szCs w:val="24"/>
                    </w:rPr>
                    <w:t xml:space="preserve">4 часа </w:t>
                  </w:r>
                  <w:r>
                    <w:rPr>
                      <w:sz w:val="24"/>
                      <w:szCs w:val="24"/>
                      <w:lang w:val="en-US"/>
                    </w:rPr>
                    <w:t xml:space="preserve"> </w:t>
                  </w:r>
                  <w:r>
                    <w:rPr>
                      <w:sz w:val="24"/>
                      <w:szCs w:val="24"/>
                    </w:rPr>
                    <w:t>(1)</w:t>
                  </w:r>
                </w:p>
              </w:tc>
            </w:tr>
          </w:tbl>
          <w:p>
            <w:pPr>
              <w:pStyle w:val="Normal"/>
              <w:widowControl w:val="false"/>
              <w:spacing w:lineRule="auto" w:line="240"/>
              <w:ind w:hanging="0"/>
              <w:jc w:val="left"/>
              <w:rPr>
                <w:rFonts w:eastAsia="Calibri"/>
                <w:sz w:val="22"/>
                <w:szCs w:val="22"/>
                <w:lang w:eastAsia="en-US"/>
              </w:rPr>
            </w:pPr>
            <w:r>
              <w:rPr>
                <w:rFonts w:eastAsia="Calibri"/>
                <w:sz w:val="22"/>
                <w:szCs w:val="22"/>
                <w:lang w:eastAsia="en-US"/>
              </w:rPr>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p>
            <w:pPr>
              <w:pStyle w:val="Normal"/>
              <w:widowControl w:val="false"/>
              <w:snapToGrid w:val="false"/>
              <w:spacing w:lineRule="auto" w:line="240"/>
              <w:ind w:hanging="0"/>
              <w:rPr>
                <w:sz w:val="24"/>
                <w:szCs w:val="24"/>
              </w:rPr>
            </w:pPr>
            <w:r>
              <w:rPr>
                <w:sz w:val="24"/>
                <w:szCs w:val="24"/>
              </w:rPr>
              <w:t xml:space="preserve">Организация поставки Сервиса любому количеству новых Пользователей определяется длительностью процедуры приобретения пользовательских лицензий и составляет не более 30 дней с момента оплаты лицензий.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r>
          </w:p>
          <w:p>
            <w:pPr>
              <w:pStyle w:val="Normal"/>
              <w:widowControl w:val="false"/>
              <w:snapToGrid w:val="false"/>
              <w:spacing w:lineRule="auto" w:line="240"/>
              <w:ind w:hanging="0"/>
              <w:rPr>
                <w:b/>
                <w:sz w:val="24"/>
                <w:szCs w:val="24"/>
              </w:rPr>
            </w:pPr>
            <w:r>
              <w:rPr>
                <w:b/>
                <w:sz w:val="24"/>
                <w:szCs w:val="24"/>
              </w:rPr>
              <w:t>Параметры безопасности</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Сервисом не предусматривается резервирование пользовательской информации, хранящейся на дисках персонального компьютера.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Идентификация пользователей Сервиса в системе производится на основании данных учетной записи пользователя в ИС УФАП (имя пользователя и пароль). В системе не предусмотрено иных дополнительных средств обеспечения конфиденциальности данных, в случае использования учетных данных пользователя ИС УФАП другим лицом.</w:t>
            </w:r>
          </w:p>
          <w:p>
            <w:pPr>
              <w:pStyle w:val="Normal"/>
              <w:widowControl w:val="false"/>
              <w:snapToGrid w:val="false"/>
              <w:spacing w:lineRule="auto" w:line="240"/>
              <w:ind w:hanging="0"/>
              <w:rPr>
                <w:sz w:val="24"/>
                <w:szCs w:val="24"/>
              </w:rPr>
            </w:pPr>
            <w:r>
              <w:rPr>
                <w:sz w:val="24"/>
                <w:szCs w:val="24"/>
              </w:rPr>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left" w:pos="708" w:leader="none"/>
              </w:tabs>
              <w:snapToGrid w:val="false"/>
              <w:spacing w:lineRule="auto" w:line="240"/>
              <w:ind w:left="0" w:hanging="0"/>
              <w:outlineLvl w:val="0"/>
              <w:rPr>
                <w:b/>
                <w:sz w:val="24"/>
                <w:szCs w:val="24"/>
              </w:rPr>
            </w:pPr>
            <w:r>
              <w:rPr>
                <w:b/>
                <w:sz w:val="24"/>
                <w:szCs w:val="24"/>
              </w:rPr>
              <w:t>Процедуры:</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Процедура  регистрации нового Пользователя</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В случае необходимости предоставления Сервиса новому Пользователю, сверх установленного количества Пользователей, Подрядчик производит обращение в СПП, где происходит инициация процедуры подключения и регистрации нового Пользователя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b/>
                <w:sz w:val="24"/>
                <w:szCs w:val="24"/>
              </w:rPr>
              <w:t>Процедура инициации Сервиса</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Процедура инициации Сервиса описана во «Временном положении о порядке работы внешних контрагентов с информационной системой управления фондами и активами ПАО «РусГидро»</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 xml:space="preserve">Процедуры и инструкции для пользователей </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Состав документации, с которой должны быть ознакомлены пользователи, приведен в Таблице 4.</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Процедура информирования об инцидентах</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Информация об инцидентах, связанных с потреблением Сервиса пользователями, должна направляться оператору СПП в соответствии с «Памяткой пользователя СПП».</w:t>
            </w:r>
          </w:p>
        </w:tc>
      </w:tr>
      <w:tr>
        <w:trPr>
          <w:trHeight w:val="302"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b/>
                <w:sz w:val="24"/>
                <w:szCs w:val="24"/>
              </w:rPr>
            </w:pPr>
            <w:r>
              <w:rPr>
                <w:b/>
                <w:sz w:val="24"/>
                <w:szCs w:val="24"/>
              </w:rPr>
              <w:t>Процедура отсрочки регистрации Подрядчиком данных в ИС УФАП</w:t>
            </w:r>
          </w:p>
        </w:tc>
      </w:tr>
      <w:tr>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Данная процедура может быть инициирована Подрядчиком в случае превышения времени непрерывной недоступности Сервиса по вине Заказчика более чем на 4 часа. </w:t>
            </w:r>
          </w:p>
        </w:tc>
      </w:tr>
      <w:tr>
        <w:trPr>
          <w:trHeight w:val="72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Целью процедуры является предоставление Заказчиком Подрядчику отсрочки в регистрации данных в ИС УФАП в ходе осуществления Подрядчиком работ по договору без применения штрафных санкций за нарушение сроков регистрации. </w:t>
            </w:r>
          </w:p>
        </w:tc>
      </w:tr>
      <w:tr>
        <w:trPr>
          <w:trHeight w:val="256"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Процедура выполняется в следующем порядке: </w:t>
            </w:r>
          </w:p>
        </w:tc>
      </w:tr>
      <w:tr>
        <w:trPr>
          <w:trHeight w:val="43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При обнаружении Подрядчиком факта недоступности Сервиса, Подрядчик по телефону, электронной почте или лично производит обращение в СПП в соответствии с «Памяткой пользователя СПП». При обращении в СПП Оператор СПП обязан сообщить Подрядчику регистрационный номер обращения.</w:t>
            </w:r>
          </w:p>
        </w:tc>
      </w:tr>
      <w:tr>
        <w:trPr>
          <w:trHeight w:val="56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После возобновления доступности Сервиса, СПП информирует об этом Подрядчика по электронной почте, телефону либо лично. </w:t>
            </w:r>
          </w:p>
        </w:tc>
      </w:tr>
      <w:tr>
        <w:trPr>
          <w:trHeight w:val="43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Моментом начала возобновления поставки Сервиса Подрядчику считается дата и время закрытия в СПП инцидента по обращению Подрядчика. </w:t>
            </w:r>
          </w:p>
        </w:tc>
      </w:tr>
      <w:tr>
        <w:trPr>
          <w:trHeight w:val="690"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В случае, если доступность Сервиса не была восстановлена в течение 4-х часов после обращения в СПП, Подрядчик обязан проинформировать об этом Оперативную службу станции. После этого Подрядчик имеет право внести в «Журнал учета перерывов поставки сервиса ИС УФАП» по форме согласно табл.5. информацию о дате и времени прекращения поставки Сервиса.</w:t>
            </w:r>
          </w:p>
        </w:tc>
      </w:tr>
      <w:tr>
        <w:trPr>
          <w:trHeight w:val="338"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После получения уведомления СПП о возобновлении поставки Сервиса, в случае, если с момента регистрации обращения в СПП прошло более 4 часов, Подрядчик имеет право внести в «Журнал учета перерывов поставки сервиса ИС УФАП» по форме согласно табл.5. информацию о дате и времени возобновления поставки Сервиса и указать общую продолжительность периода недоступности Сервиса.</w:t>
            </w:r>
          </w:p>
        </w:tc>
      </w:tr>
      <w:tr>
        <w:trPr>
          <w:trHeight w:val="527"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Подрядчик обязан заверить информацию о каждом перерыве в поставке Сервиса у представителя Заказчика – персонала оперативной службы, Технической службы или СПП.</w:t>
            </w:r>
          </w:p>
        </w:tc>
      </w:tr>
      <w:tr>
        <w:trPr>
          <w:trHeight w:val="489"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Информация об общей продолжительности недоступности Сервиса для Подрядчика, заверенная подписью представителя Заказчика является основанием для переноса сроков регистрации Подрядчиком в ИС УФАП работ по договору.</w:t>
            </w:r>
          </w:p>
        </w:tc>
      </w:tr>
      <w:tr>
        <w:trPr>
          <w:trHeight w:val="489" w:hRule="atLeast"/>
        </w:trPr>
        <w:tc>
          <w:tcPr>
            <w:tcW w:w="9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В случае возникновения разногласий между Подрядчиком и Заказчиком о фактических сроках прекращения и возобновления поставки Сервиса, данные сроки исчисляются исходя из информации по данному инциденту, имеющейся в СПП.</w:t>
            </w:r>
          </w:p>
        </w:tc>
      </w:tr>
    </w:tbl>
    <w:p>
      <w:pPr>
        <w:pStyle w:val="Normal"/>
        <w:widowControl w:val="false"/>
        <w:snapToGrid w:val="false"/>
        <w:spacing w:lineRule="auto" w:line="240" w:before="120" w:after="120"/>
        <w:rPr>
          <w:b/>
          <w:bCs/>
          <w:sz w:val="24"/>
          <w:szCs w:val="24"/>
        </w:rPr>
      </w:pPr>
      <w:r>
        <w:rPr>
          <w:b/>
          <w:bCs/>
          <w:sz w:val="24"/>
          <w:szCs w:val="24"/>
        </w:rPr>
        <w:t xml:space="preserve">Таблица 2. Требования к АРМ ИС УФАП. </w:t>
      </w:r>
    </w:p>
    <w:tbl>
      <w:tblPr>
        <w:tblW w:w="500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757"/>
        <w:gridCol w:w="3910"/>
        <w:gridCol w:w="5254"/>
      </w:tblGrid>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 xml:space="preserve">№ </w:t>
            </w:r>
            <w:r>
              <w:rPr>
                <w:sz w:val="24"/>
                <w:szCs w:val="24"/>
              </w:rPr>
              <w:t>п</w:t>
            </w:r>
            <w:r>
              <w:rPr>
                <w:sz w:val="24"/>
                <w:szCs w:val="24"/>
                <w:lang w:val="en-US"/>
              </w:rPr>
              <w:t>/</w:t>
            </w:r>
            <w:r>
              <w:rPr>
                <w:sz w:val="24"/>
                <w:szCs w:val="24"/>
              </w:rPr>
              <w:t>п</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Параметр</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Значение</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1</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Процессор</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lang w:val="en-US"/>
              </w:rPr>
            </w:pPr>
            <w:r>
              <w:rPr>
                <w:sz w:val="24"/>
                <w:szCs w:val="24"/>
              </w:rPr>
              <w:t>Не</w:t>
            </w:r>
            <w:r>
              <w:rPr>
                <w:sz w:val="24"/>
                <w:szCs w:val="24"/>
                <w:lang w:val="en-US"/>
              </w:rPr>
              <w:t xml:space="preserve"> </w:t>
            </w:r>
            <w:r>
              <w:rPr>
                <w:sz w:val="24"/>
                <w:szCs w:val="24"/>
              </w:rPr>
              <w:t>ниже</w:t>
            </w:r>
            <w:r>
              <w:rPr>
                <w:sz w:val="24"/>
                <w:szCs w:val="24"/>
                <w:lang w:val="en-US"/>
              </w:rPr>
              <w:t xml:space="preserve"> Intel-based Pentium 600 MHz </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2</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Операционная система</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lang w:val="en-US"/>
              </w:rPr>
            </w:pPr>
            <w:r>
              <w:rPr>
                <w:sz w:val="24"/>
                <w:szCs w:val="24"/>
                <w:lang w:val="en-US"/>
              </w:rPr>
              <w:t>Windows</w:t>
            </w:r>
            <w:r>
              <w:rPr>
                <w:sz w:val="24"/>
                <w:szCs w:val="24"/>
              </w:rPr>
              <w:t xml:space="preserve"> 2000</w:t>
            </w:r>
            <w:r>
              <w:rPr>
                <w:sz w:val="24"/>
                <w:szCs w:val="24"/>
                <w:lang w:val="en-US"/>
              </w:rPr>
              <w:t>, Windows XP</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3</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Объем ОЗУ</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Не менее 256 Мб</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4</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Объем свободного места на жестком диске</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Не менее 100 Мб</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5</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Разрешение монитора</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Не ниже 1024х768  High Color 16-bit</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6</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Скорость доступа в сеть Интернет</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64 кБит/сек и выше</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7</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lang w:val="en-US"/>
              </w:rPr>
            </w:pPr>
            <w:r>
              <w:rPr>
                <w:sz w:val="24"/>
                <w:szCs w:val="24"/>
              </w:rPr>
              <w:t xml:space="preserve">Версия </w:t>
            </w:r>
            <w:r>
              <w:rPr>
                <w:sz w:val="24"/>
                <w:szCs w:val="24"/>
                <w:lang w:val="en-US"/>
              </w:rPr>
              <w:t>Internet Explorer</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6.2 или выше</w:t>
            </w:r>
          </w:p>
        </w:tc>
      </w:tr>
      <w:tr>
        <w:trPr/>
        <w:tc>
          <w:tcPr>
            <w:tcW w:w="75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8</w:t>
            </w:r>
          </w:p>
        </w:tc>
        <w:tc>
          <w:tcPr>
            <w:tcW w:w="39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Дополнительное программное обеспечение </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lang w:val="en-US"/>
              </w:rPr>
            </w:pPr>
            <w:r>
              <w:rPr>
                <w:sz w:val="24"/>
                <w:szCs w:val="24"/>
                <w:lang w:val="en-US"/>
              </w:rPr>
              <w:t xml:space="preserve">Java Runtime Engine (JRE) v.1.3.08 </w:t>
            </w:r>
            <w:r>
              <w:rPr>
                <w:sz w:val="24"/>
                <w:szCs w:val="24"/>
              </w:rPr>
              <w:t>или</w:t>
            </w:r>
            <w:r>
              <w:rPr>
                <w:sz w:val="24"/>
                <w:szCs w:val="24"/>
                <w:lang w:val="en-US"/>
              </w:rPr>
              <w:t xml:space="preserve"> v.1.4.07</w:t>
            </w:r>
          </w:p>
        </w:tc>
      </w:tr>
      <w:tr>
        <w:trPr/>
        <w:tc>
          <w:tcPr>
            <w:tcW w:w="7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lang w:val="en-US"/>
              </w:rPr>
            </w:pPr>
            <w:r>
              <w:rPr>
                <w:sz w:val="24"/>
                <w:szCs w:val="24"/>
                <w:lang w:val="en-US"/>
              </w:rPr>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lang w:val="en-US"/>
              </w:rPr>
            </w:pPr>
            <w:r>
              <w:rPr>
                <w:sz w:val="24"/>
                <w:szCs w:val="24"/>
                <w:lang w:val="en-US"/>
              </w:rPr>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lang w:val="en-US"/>
              </w:rPr>
              <w:t>Microsoft Office 2003 Professional</w:t>
            </w:r>
          </w:p>
        </w:tc>
      </w:tr>
      <w:tr>
        <w:trPr/>
        <w:tc>
          <w:tcPr>
            <w:tcW w:w="7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lang w:val="en-US"/>
              </w:rPr>
              <w:t>Microsoft Project 2003</w:t>
            </w:r>
          </w:p>
        </w:tc>
      </w:tr>
      <w:tr>
        <w:trPr/>
        <w:tc>
          <w:tcPr>
            <w:tcW w:w="7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4"/>
                <w:szCs w:val="24"/>
              </w:rPr>
            </w:pPr>
            <w:r>
              <w:rPr>
                <w:sz w:val="24"/>
                <w:szCs w:val="24"/>
              </w:rPr>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lang w:val="en-US"/>
              </w:rPr>
            </w:pPr>
            <w:r>
              <w:rPr>
                <w:sz w:val="24"/>
                <w:szCs w:val="24"/>
                <w:lang w:val="en-US"/>
              </w:rPr>
              <w:t xml:space="preserve">Adobe Acrobat Reader 4.0 </w:t>
            </w:r>
            <w:r>
              <w:rPr>
                <w:sz w:val="24"/>
                <w:szCs w:val="24"/>
              </w:rPr>
              <w:t>или</w:t>
            </w:r>
            <w:r>
              <w:rPr>
                <w:sz w:val="24"/>
                <w:szCs w:val="24"/>
                <w:lang w:val="en-US"/>
              </w:rPr>
              <w:t xml:space="preserve"> </w:t>
            </w:r>
            <w:r>
              <w:rPr>
                <w:sz w:val="24"/>
                <w:szCs w:val="24"/>
              </w:rPr>
              <w:t>выше</w:t>
            </w:r>
          </w:p>
        </w:tc>
      </w:tr>
      <w:tr>
        <w:trPr/>
        <w:tc>
          <w:tcPr>
            <w:tcW w:w="7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9</w:t>
            </w:r>
          </w:p>
        </w:tc>
        <w:tc>
          <w:tcPr>
            <w:tcW w:w="39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Прочие требования</w:t>
            </w:r>
          </w:p>
        </w:tc>
        <w:tc>
          <w:tcPr>
            <w:tcW w:w="52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Для всех персональных компьютеров должна быть обеспечена возможность печати черно-белых документов.</w:t>
            </w:r>
          </w:p>
        </w:tc>
      </w:tr>
    </w:tbl>
    <w:p>
      <w:pPr>
        <w:pStyle w:val="Normal"/>
        <w:widowControl w:val="false"/>
        <w:snapToGrid w:val="false"/>
        <w:spacing w:lineRule="auto" w:line="240" w:before="120" w:after="120"/>
        <w:rPr>
          <w:b/>
          <w:bCs/>
          <w:sz w:val="24"/>
          <w:szCs w:val="24"/>
        </w:rPr>
      </w:pPr>
      <w:r>
        <w:rPr>
          <w:b/>
          <w:bCs/>
          <w:sz w:val="24"/>
          <w:szCs w:val="24"/>
        </w:rPr>
        <w:t>Таблица 3.  Список стандартных запросов на обслуживание</w:t>
      </w:r>
    </w:p>
    <w:tbl>
      <w:tblPr>
        <w:tblW w:w="50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6300"/>
        <w:gridCol w:w="1981"/>
        <w:gridCol w:w="1640"/>
      </w:tblGrid>
      <w:tr>
        <w:trPr>
          <w:trHeight w:val="645"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b/>
                <w:bCs/>
                <w:sz w:val="24"/>
                <w:szCs w:val="24"/>
              </w:rPr>
            </w:pPr>
            <w:r>
              <w:rPr>
                <w:b/>
                <w:bCs/>
                <w:sz w:val="24"/>
                <w:szCs w:val="24"/>
              </w:rPr>
              <w:t>Стандартный запрос на обслуживание</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b/>
                <w:bCs/>
                <w:sz w:val="24"/>
                <w:szCs w:val="24"/>
              </w:rPr>
            </w:pPr>
            <w:r>
              <w:rPr>
                <w:b/>
                <w:bCs/>
                <w:sz w:val="24"/>
                <w:szCs w:val="24"/>
              </w:rPr>
              <w:t>Время исполнения</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b/>
                <w:bCs/>
                <w:sz w:val="24"/>
                <w:szCs w:val="24"/>
              </w:rPr>
            </w:pPr>
            <w:r>
              <w:rPr>
                <w:b/>
                <w:bCs/>
                <w:sz w:val="24"/>
                <w:szCs w:val="24"/>
              </w:rPr>
              <w:t>Примечание</w:t>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Создание отчета на основе простого запроса</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3 раб. дн.</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Создание отчета на основе простого в соответствии с заданной выходной формой  </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5 раб. дн.</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Создание отчета на основе сложного запроса</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5 раб. дн.</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Создание отчета на основе сложного запроса в соответствии с заданной выходной формой  </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6 раб. дн.</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Добавление нового запроса к списку стандартных запросов на выборку</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3 раб. дн.</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Изменение содержания справочников</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5 раб. дн.</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rHeight w:val="330" w:hRule="atLeast"/>
        </w:trPr>
        <w:tc>
          <w:tcPr>
            <w:tcW w:w="6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Корректировка прав доступа</w:t>
            </w:r>
          </w:p>
        </w:tc>
        <w:tc>
          <w:tcPr>
            <w:tcW w:w="19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1 раб. день</w:t>
            </w:r>
          </w:p>
        </w:tc>
        <w:tc>
          <w:tcPr>
            <w:tcW w:w="1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bl>
    <w:p>
      <w:pPr>
        <w:pStyle w:val="Normal"/>
        <w:widowControl w:val="false"/>
        <w:snapToGrid w:val="false"/>
        <w:spacing w:lineRule="auto" w:line="240" w:before="120" w:after="120"/>
        <w:rPr>
          <w:b/>
          <w:bCs/>
          <w:sz w:val="24"/>
          <w:szCs w:val="24"/>
        </w:rPr>
      </w:pPr>
      <w:r>
        <w:rPr>
          <w:b/>
          <w:bCs/>
          <w:sz w:val="24"/>
          <w:szCs w:val="24"/>
        </w:rPr>
        <w:t>Таблица 4 . Список пользовательской документации</w:t>
      </w:r>
    </w:p>
    <w:tbl>
      <w:tblPr>
        <w:tblW w:w="500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942"/>
        <w:gridCol w:w="8978"/>
      </w:tblGrid>
      <w:tr>
        <w:trPr/>
        <w:tc>
          <w:tcPr>
            <w:tcW w:w="9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 xml:space="preserve">№ </w:t>
            </w:r>
            <w:r>
              <w:rPr>
                <w:sz w:val="24"/>
                <w:szCs w:val="24"/>
              </w:rPr>
              <w:t>п/п</w:t>
            </w:r>
          </w:p>
        </w:tc>
        <w:tc>
          <w:tcPr>
            <w:tcW w:w="89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Наименование документа</w:t>
            </w:r>
          </w:p>
        </w:tc>
      </w:tr>
      <w:tr>
        <w:trPr/>
        <w:tc>
          <w:tcPr>
            <w:tcW w:w="9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1.</w:t>
            </w:r>
          </w:p>
        </w:tc>
        <w:tc>
          <w:tcPr>
            <w:tcW w:w="89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Руководство пользователя ИС УФАП </w:t>
            </w:r>
            <w:r>
              <w:rPr>
                <w:sz w:val="24"/>
                <w:szCs w:val="24"/>
                <w:lang w:val="en-US"/>
              </w:rPr>
              <w:t>Maximo</w:t>
            </w:r>
          </w:p>
        </w:tc>
      </w:tr>
      <w:tr>
        <w:trPr/>
        <w:tc>
          <w:tcPr>
            <w:tcW w:w="9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2.</w:t>
            </w:r>
          </w:p>
        </w:tc>
        <w:tc>
          <w:tcPr>
            <w:tcW w:w="89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 xml:space="preserve">Комплект рабочих инструкций по работе в </w:t>
            </w:r>
            <w:r>
              <w:rPr>
                <w:sz w:val="24"/>
                <w:szCs w:val="24"/>
                <w:lang w:val="en-US"/>
              </w:rPr>
              <w:t>Maximo</w:t>
            </w:r>
          </w:p>
        </w:tc>
      </w:tr>
      <w:tr>
        <w:trPr/>
        <w:tc>
          <w:tcPr>
            <w:tcW w:w="9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3.</w:t>
            </w:r>
          </w:p>
        </w:tc>
        <w:tc>
          <w:tcPr>
            <w:tcW w:w="89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Положение о Службе Поддержки Пользователей</w:t>
            </w:r>
          </w:p>
        </w:tc>
      </w:tr>
      <w:tr>
        <w:trPr/>
        <w:tc>
          <w:tcPr>
            <w:tcW w:w="9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4.</w:t>
            </w:r>
          </w:p>
        </w:tc>
        <w:tc>
          <w:tcPr>
            <w:tcW w:w="89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t>Памятка пользователя СПП</w:t>
            </w:r>
          </w:p>
        </w:tc>
      </w:tr>
    </w:tbl>
    <w:p>
      <w:pPr>
        <w:pStyle w:val="Normal"/>
        <w:widowControl w:val="false"/>
        <w:snapToGrid w:val="false"/>
        <w:spacing w:lineRule="auto" w:line="240" w:before="120" w:after="120"/>
        <w:rPr>
          <w:b/>
          <w:bCs/>
          <w:sz w:val="24"/>
          <w:szCs w:val="24"/>
        </w:rPr>
      </w:pPr>
      <w:r>
        <w:rPr>
          <w:b/>
          <w:bCs/>
          <w:sz w:val="24"/>
          <w:szCs w:val="24"/>
        </w:rPr>
        <w:t>Таблица 5. Форма журнала учета перерывов поставки сервиса «ИС УФАП».</w:t>
      </w:r>
    </w:p>
    <w:tbl>
      <w:tblPr>
        <w:tblW w:w="500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517"/>
        <w:gridCol w:w="1498"/>
        <w:gridCol w:w="1278"/>
        <w:gridCol w:w="1651"/>
        <w:gridCol w:w="1013"/>
        <w:gridCol w:w="766"/>
        <w:gridCol w:w="1607"/>
        <w:gridCol w:w="1589"/>
      </w:tblGrid>
      <w:tr>
        <w:trPr/>
        <w:tc>
          <w:tcPr>
            <w:tcW w:w="51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 xml:space="preserve">№ </w:t>
            </w:r>
            <w:r>
              <w:rPr>
                <w:sz w:val="24"/>
                <w:szCs w:val="24"/>
              </w:rPr>
              <w:t>п/п</w:t>
            </w:r>
          </w:p>
        </w:tc>
        <w:tc>
          <w:tcPr>
            <w:tcW w:w="149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Дата и время прекращения поставки Сервиса</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Номер обращения в СПП</w:t>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Дата и время</w:t>
            </w:r>
          </w:p>
          <w:p>
            <w:pPr>
              <w:pStyle w:val="Normal"/>
              <w:widowControl w:val="false"/>
              <w:snapToGrid w:val="false"/>
              <w:spacing w:lineRule="auto" w:line="240"/>
              <w:ind w:hanging="0"/>
              <w:jc w:val="center"/>
              <w:rPr>
                <w:sz w:val="24"/>
                <w:szCs w:val="24"/>
              </w:rPr>
            </w:pPr>
            <w:r>
              <w:rPr>
                <w:sz w:val="24"/>
                <w:szCs w:val="24"/>
              </w:rPr>
              <w:t>возобновления</w:t>
            </w:r>
          </w:p>
          <w:p>
            <w:pPr>
              <w:pStyle w:val="Normal"/>
              <w:widowControl w:val="false"/>
              <w:snapToGrid w:val="false"/>
              <w:spacing w:lineRule="auto" w:line="240"/>
              <w:ind w:hanging="0"/>
              <w:jc w:val="center"/>
              <w:rPr>
                <w:sz w:val="24"/>
                <w:szCs w:val="24"/>
              </w:rPr>
            </w:pPr>
            <w:r>
              <w:rPr>
                <w:sz w:val="24"/>
                <w:szCs w:val="24"/>
              </w:rPr>
              <w:t>поставки</w:t>
            </w:r>
          </w:p>
          <w:p>
            <w:pPr>
              <w:pStyle w:val="Normal"/>
              <w:widowControl w:val="false"/>
              <w:snapToGrid w:val="false"/>
              <w:spacing w:lineRule="auto" w:line="240"/>
              <w:ind w:hanging="0"/>
              <w:jc w:val="center"/>
              <w:rPr>
                <w:sz w:val="24"/>
                <w:szCs w:val="24"/>
              </w:rPr>
            </w:pPr>
            <w:r>
              <w:rPr>
                <w:sz w:val="24"/>
                <w:szCs w:val="24"/>
              </w:rPr>
              <w:t>Сервиса</w:t>
            </w:r>
          </w:p>
        </w:tc>
        <w:tc>
          <w:tcPr>
            <w:tcW w:w="10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Общее время простоя Сервиса</w:t>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Примечания</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 xml:space="preserve">Ф.И.О. и подпись представителя Подрядчика </w:t>
            </w:r>
          </w:p>
        </w:tc>
        <w:tc>
          <w:tcPr>
            <w:tcW w:w="1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jc w:val="center"/>
              <w:rPr>
                <w:sz w:val="24"/>
                <w:szCs w:val="24"/>
              </w:rPr>
            </w:pPr>
            <w:r>
              <w:rPr>
                <w:sz w:val="24"/>
                <w:szCs w:val="24"/>
              </w:rPr>
              <w:t>Ф.И.О. и подпись представителя Заказчика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49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0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c>
          <w:tcPr>
            <w:tcW w:w="51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49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0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r>
        <w:trPr/>
        <w:tc>
          <w:tcPr>
            <w:tcW w:w="51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49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65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01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c>
          <w:tcPr>
            <w:tcW w:w="158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sz w:val="24"/>
                <w:szCs w:val="24"/>
              </w:rPr>
            </w:pPr>
            <w:r>
              <w:rPr>
                <w:sz w:val="24"/>
                <w:szCs w:val="24"/>
              </w:rPr>
            </w:r>
          </w:p>
        </w:tc>
      </w:tr>
    </w:tbl>
    <w:p>
      <w:pPr>
        <w:pStyle w:val="Normal"/>
        <w:spacing w:lineRule="auto" w:line="240"/>
        <w:ind w:hanging="0"/>
        <w:rPr>
          <w:b/>
          <w:bCs/>
          <w:sz w:val="24"/>
          <w:szCs w:val="24"/>
        </w:rPr>
      </w:pPr>
      <w:r>
        <w:rPr>
          <w:b/>
          <w:bCs/>
          <w:sz w:val="24"/>
          <w:szCs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 </w:t>
            </w:r>
          </w:p>
          <w:p>
            <w:pPr>
              <w:pStyle w:val="Normal"/>
              <w:widowControl w:val="false"/>
              <w:spacing w:lineRule="auto" w:line="240"/>
              <w:ind w:hanging="0"/>
              <w:rPr>
                <w:sz w:val="22"/>
                <w:szCs w:val="22"/>
              </w:rPr>
            </w:pPr>
            <w:r>
              <w:rPr>
                <w:sz w:val="22"/>
                <w:szCs w:val="22"/>
              </w:rPr>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pPr>
    </w:p>
    <w:p>
      <w:pPr>
        <w:pStyle w:val="Normal"/>
        <w:rPr/>
      </w:pPr>
      <w:r>
        <w:rPr/>
      </w:r>
    </w:p>
    <w:p>
      <w:pPr>
        <w:sectPr>
          <w:footnotePr>
            <w:numFmt w:val="decimal"/>
          </w:footnotePr>
          <w:type w:val="continuous"/>
          <w:pgSz w:w="11906" w:h="16838"/>
          <w:pgMar w:left="1418" w:right="567" w:gutter="0" w:header="567" w:top="624" w:footer="284" w:bottom="567"/>
          <w:formProt w:val="false"/>
          <w:textDirection w:val="lrTb"/>
          <w:docGrid w:type="default" w:linePitch="360" w:charSpace="0"/>
        </w:sectPr>
      </w:pPr>
    </w:p>
    <w:p>
      <w:pPr>
        <w:pStyle w:val="Normal"/>
        <w:rPr/>
      </w:pPr>
      <w:r>
        <w:rPr/>
      </w:r>
    </w:p>
    <w:p>
      <w:pPr>
        <w:sectPr>
          <w:footnotePr>
            <w:numFmt w:val="decimal"/>
          </w:footnotePr>
          <w:type w:val="continuous"/>
          <w:pgSz w:w="11906" w:h="16838"/>
          <w:pgMar w:left="1418" w:right="567" w:gutter="0" w:header="567" w:top="624" w:footer="284" w:bottom="567"/>
          <w:formProt w:val="false"/>
          <w:textDirection w:val="lrTb"/>
          <w:docGrid w:type="default" w:linePitch="360" w:charSpace="0"/>
        </w:sectPr>
      </w:pPr>
    </w:p>
    <w:p>
      <w:pPr>
        <w:pStyle w:val="Normal"/>
        <w:spacing w:lineRule="auto" w:line="240"/>
        <w:ind w:hanging="0"/>
        <w:jc w:val="left"/>
        <w:rPr>
          <w:bCs/>
          <w:sz w:val="24"/>
          <w:szCs w:val="24"/>
        </w:rPr>
      </w:pPr>
      <w:r>
        <w:rPr>
          <w:bCs/>
          <w:sz w:val="24"/>
          <w:szCs w:val="24"/>
        </w:rPr>
      </w:r>
    </w:p>
    <w:p>
      <w:pPr>
        <w:pStyle w:val="Normal"/>
        <w:spacing w:lineRule="auto" w:line="240"/>
        <w:ind w:left="5103" w:hanging="0"/>
        <w:rPr>
          <w:sz w:val="22"/>
          <w:szCs w:val="22"/>
        </w:rPr>
      </w:pPr>
      <w:r>
        <w:rPr>
          <w:sz w:val="22"/>
          <w:szCs w:val="22"/>
        </w:rPr>
      </w:r>
    </w:p>
    <w:p>
      <w:pPr>
        <w:pStyle w:val="Normal"/>
        <w:spacing w:lineRule="auto" w:line="240"/>
        <w:ind w:left="4820" w:hanging="0"/>
        <w:rPr>
          <w:sz w:val="22"/>
          <w:szCs w:val="22"/>
        </w:rPr>
      </w:pPr>
      <w:r>
        <w:rPr>
          <w:sz w:val="22"/>
          <w:szCs w:val="22"/>
        </w:rPr>
        <w:t>Приложение № 9</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Критерии отбора банков-гарантов</w:t>
      </w:r>
    </w:p>
    <w:p>
      <w:pPr>
        <w:pStyle w:val="Normal"/>
        <w:spacing w:lineRule="auto" w:line="240"/>
        <w:rPr>
          <w:sz w:val="24"/>
          <w:szCs w:val="24"/>
        </w:rPr>
      </w:pPr>
      <w:r>
        <w:rPr>
          <w:sz w:val="24"/>
          <w:szCs w:val="24"/>
        </w:rPr>
      </w:r>
    </w:p>
    <w:p>
      <w:pPr>
        <w:pStyle w:val="Normal"/>
        <w:tabs>
          <w:tab w:val="clear" w:pos="708"/>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5"/>
      </w:r>
      <w:r>
        <w:rPr>
          <w:sz w:val="24"/>
          <w:szCs w:val="24"/>
        </w:rPr>
        <w:t>, а также соответствовать следующим критериям:</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6">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6"/>
      </w:r>
      <w:r>
        <w:rPr>
          <w:sz w:val="24"/>
          <w:szCs w:val="24"/>
        </w:rPr>
        <w:t xml:space="preserve">. </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7"/>
      </w:r>
      <w:r>
        <w:rPr>
          <w:sz w:val="24"/>
          <w:szCs w:val="24"/>
        </w:rPr>
        <w:t>.</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Не иметь просроченную задолженность перед Обществом и компаниями Группы РусГидро.</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rPr>
        <w:footnoteReference w:id="8"/>
      </w:r>
      <w:r>
        <w:rPr>
          <w:sz w:val="24"/>
          <w:szCs w:val="24"/>
        </w:rPr>
        <w:t>.</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28"/>
        </w:numPr>
        <w:tabs>
          <w:tab w:val="clear" w:pos="708"/>
          <w:tab w:val="left" w:pos="1134" w:leader="none"/>
        </w:tabs>
        <w:spacing w:lineRule="auto" w:line="240"/>
        <w:ind w:left="0" w:firstLine="709"/>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8"/>
        </w:numPr>
        <w:tabs>
          <w:tab w:val="clear" w:pos="708"/>
          <w:tab w:val="left" w:pos="1134" w:leader="none"/>
        </w:tabs>
        <w:spacing w:lineRule="auto" w:line="240"/>
        <w:ind w:left="0" w:firstLine="709"/>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8"/>
        </w:numPr>
        <w:tabs>
          <w:tab w:val="clear" w:pos="708"/>
          <w:tab w:val="left" w:pos="1134" w:leader="none"/>
        </w:tabs>
        <w:spacing w:lineRule="auto" w:line="240"/>
        <w:ind w:left="0" w:firstLine="709"/>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8"/>
        </w:numPr>
        <w:tabs>
          <w:tab w:val="clear" w:pos="708"/>
          <w:tab w:val="left" w:pos="1134" w:leader="none"/>
        </w:tabs>
        <w:spacing w:lineRule="auto" w:line="240"/>
        <w:ind w:left="0" w:firstLine="709"/>
        <w:rPr>
          <w:sz w:val="24"/>
          <w:szCs w:val="24"/>
        </w:rPr>
      </w:pPr>
      <w:r>
        <w:rPr>
          <w:sz w:val="24"/>
          <w:szCs w:val="24"/>
        </w:rPr>
        <w:t xml:space="preserve"> </w:t>
      </w:r>
      <w:r>
        <w:rPr>
          <w:sz w:val="24"/>
          <w:szCs w:val="24"/>
        </w:rPr>
        <w:t>ВЭБ.РФ.</w:t>
      </w:r>
    </w:p>
    <w:p>
      <w:pPr>
        <w:pStyle w:val="Normal"/>
        <w:numPr>
          <w:ilvl w:val="1"/>
          <w:numId w:val="28"/>
        </w:numPr>
        <w:tabs>
          <w:tab w:val="clear" w:pos="708"/>
          <w:tab w:val="left" w:pos="1134" w:leader="none"/>
        </w:tabs>
        <w:spacing w:lineRule="auto" w:line="240"/>
        <w:ind w:left="0" w:firstLine="709"/>
        <w:rPr>
          <w:sz w:val="24"/>
          <w:szCs w:val="24"/>
        </w:rPr>
      </w:pPr>
      <w:r>
        <w:rPr>
          <w:sz w:val="24"/>
          <w:szCs w:val="24"/>
        </w:rPr>
        <w:t>Нерезидентов Российской Федерации.</w:t>
      </w:r>
    </w:p>
    <w:p>
      <w:pPr>
        <w:pStyle w:val="Normal"/>
        <w:numPr>
          <w:ilvl w:val="1"/>
          <w:numId w:val="27"/>
        </w:numPr>
        <w:tabs>
          <w:tab w:val="clear" w:pos="708"/>
          <w:tab w:val="left" w:pos="1134" w:leader="none"/>
        </w:tabs>
        <w:spacing w:lineRule="auto" w:line="240"/>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1134" w:leader="none"/>
        </w:tabs>
        <w:spacing w:lineRule="auto" w:line="240"/>
        <w:ind w:firstLine="709"/>
        <w:jc w:val="center"/>
        <w:rPr>
          <w:sz w:val="24"/>
          <w:szCs w:val="24"/>
        </w:rPr>
      </w:pPr>
      <w:r>
        <w:rPr>
          <w:sz w:val="24"/>
          <w:szCs w:val="24"/>
        </w:rPr>
      </w:r>
    </w:p>
    <w:p>
      <w:pPr>
        <w:pStyle w:val="Normal"/>
        <w:spacing w:lineRule="auto" w:line="240"/>
        <w:ind w:left="360" w:hanging="0"/>
        <w:jc w:val="center"/>
        <w:rPr>
          <w:sz w:val="24"/>
          <w:szCs w:val="24"/>
        </w:rPr>
      </w:pPr>
      <w:r>
        <w:rPr>
          <w:b/>
          <w:i/>
          <w:sz w:val="24"/>
          <w:szCs w:val="24"/>
          <w:lang w:val="en-US"/>
        </w:rPr>
        <w:t>Lim</w:t>
      </w:r>
      <w:r>
        <w:rPr>
          <w:b/>
          <w:i/>
          <w:sz w:val="24"/>
          <w:szCs w:val="24"/>
          <w:vertAlign w:val="subscript"/>
          <w:lang w:val="en-US"/>
        </w:rPr>
        <w:t>Ai</w:t>
      </w:r>
      <w:r>
        <w:rPr>
          <w:b/>
          <w:sz w:val="24"/>
          <w:szCs w:val="24"/>
          <w:vertAlign w:val="subscript"/>
        </w:rPr>
        <w:t xml:space="preserve"> </w:t>
      </w:r>
      <w:r>
        <w:rPr>
          <w:b/>
          <w:sz w:val="24"/>
          <w:szCs w:val="24"/>
        </w:rPr>
        <w:t xml:space="preserve"> = </w:t>
      </w:r>
      <w:r>
        <w:rPr>
          <w:b/>
          <w:i/>
          <w:sz w:val="24"/>
          <w:szCs w:val="24"/>
          <w:lang w:val="en-US"/>
        </w:rPr>
        <w:t>r</w:t>
      </w:r>
      <w:r>
        <w:rPr>
          <w:b/>
          <w:i/>
          <w:sz w:val="24"/>
          <w:szCs w:val="24"/>
          <w:vertAlign w:val="subscript"/>
          <w:lang w:val="en-US"/>
        </w:rPr>
        <w:t>i</w:t>
      </w:r>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где</w:t>
      </w:r>
    </w:p>
    <w:p>
      <w:pPr>
        <w:pStyle w:val="Normal"/>
        <w:spacing w:lineRule="auto" w:line="240"/>
        <w:ind w:left="360" w:firstLine="349"/>
        <w:rPr>
          <w:sz w:val="24"/>
          <w:szCs w:val="24"/>
        </w:rPr>
      </w:pPr>
      <w:r>
        <w:rPr>
          <w:sz w:val="24"/>
          <w:szCs w:val="24"/>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9"/>
            </w:r>
            <w:r>
              <w:rPr>
                <w:sz w:val="24"/>
                <w:szCs w:val="24"/>
              </w:rPr>
              <w:t>.</w:t>
            </w:r>
          </w:p>
        </w:tc>
      </w:tr>
      <w:tr>
        <w:trPr>
          <w:trHeight w:val="280" w:hRule="atLeast"/>
        </w:trPr>
        <w:tc>
          <w:tcPr>
            <w:tcW w:w="817" w:type="dxa"/>
            <w:tcBorders/>
            <w:shd w:color="auto" w:fill="auto" w:val="clear"/>
          </w:tcPr>
          <w:p>
            <w:pPr>
              <w:pStyle w:val="Normal"/>
              <w:widowControl w:val="false"/>
              <w:spacing w:lineRule="auto" w:line="240"/>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7">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right="-108" w:hanging="0"/>
              <w:rPr>
                <w:sz w:val="24"/>
                <w:szCs w:val="24"/>
              </w:rPr>
            </w:pPr>
            <w:r>
              <w:rPr>
                <w:sz w:val="24"/>
                <w:szCs w:val="24"/>
              </w:rPr>
              <w:t>-</w:t>
            </w:r>
          </w:p>
        </w:tc>
        <w:tc>
          <w:tcPr>
            <w:tcW w:w="8509" w:type="dxa"/>
            <w:tcBorders/>
          </w:tcPr>
          <w:p>
            <w:pPr>
              <w:pStyle w:val="Normal"/>
              <w:widowControl w:val="false"/>
              <w:tabs>
                <w:tab w:val="clear" w:pos="708"/>
                <w:tab w:val="left" w:pos="709" w:leader="none"/>
                <w:tab w:val="left" w:pos="851" w:leader="none"/>
              </w:tabs>
              <w:overflowPunct w:val="true"/>
              <w:spacing w:lineRule="auto" w:line="240"/>
              <w:ind w:left="680" w:hanging="0"/>
              <w:rPr/>
            </w:pPr>
            <w:r>
              <w:rPr>
                <w:sz w:val="24"/>
                <w:szCs w:val="24"/>
              </w:rPr>
              <w:t>рейтинговый коэффициент</w:t>
            </w:r>
            <w:r>
              <w:rPr>
                <w:rStyle w:val="FootnoteReference"/>
                <w:sz w:val="24"/>
                <w:szCs w:val="24"/>
              </w:rPr>
              <w:footnoteReference w:id="10"/>
            </w:r>
            <w:r>
              <w:rPr>
                <w:sz w:val="24"/>
                <w:szCs w:val="24"/>
              </w:rPr>
              <w:t xml:space="preserve"> для i-ой кредитной организации, равный:</w:t>
            </w:r>
          </w:p>
          <w:p>
            <w:pPr>
              <w:pStyle w:val="Normal"/>
              <w:widowControl w:val="false"/>
              <w:tabs>
                <w:tab w:val="clear" w:pos="708"/>
                <w:tab w:val="left" w:pos="709" w:leader="none"/>
                <w:tab w:val="left" w:pos="851" w:leader="none"/>
              </w:tabs>
              <w:spacing w:lineRule="auto" w:line="240"/>
              <w:ind w:right="-108" w:firstLine="709"/>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spacing w:lineRule="auto" w:line="240"/>
              <w:ind w:right="-108" w:firstLine="709"/>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7130" w:leader="none"/>
              </w:tabs>
              <w:spacing w:lineRule="auto" w:line="240"/>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val="false"/>
        <w:spacing w:lineRule="auto" w:line="240"/>
        <w:ind w:right="-108" w:hanging="0"/>
        <w:rPr>
          <w:color w:val="000000"/>
          <w:sz w:val="24"/>
          <w:szCs w:val="24"/>
        </w:rPr>
      </w:pPr>
      <w:r>
        <w:rPr>
          <w:color w:val="000000"/>
          <w:sz w:val="24"/>
          <w:szCs w:val="24"/>
        </w:rPr>
      </w:r>
    </w:p>
    <w:p>
      <w:pPr>
        <w:pStyle w:val="Normal"/>
        <w:tabs>
          <w:tab w:val="clear" w:pos="708"/>
          <w:tab w:val="left" w:pos="1134" w:leader="none"/>
        </w:tabs>
        <w:spacing w:lineRule="auto" w:line="240"/>
        <w:ind w:firstLine="709"/>
        <w:jc w:val="center"/>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00"/>
        <w:gridCol w:w="285"/>
        <w:gridCol w:w="3461"/>
        <w:gridCol w:w="4854"/>
        <w:gridCol w:w="236"/>
      </w:tblGrid>
      <w:tr>
        <w:trPr>
          <w:trHeight w:val="426" w:hRule="atLeast"/>
        </w:trPr>
        <w:tc>
          <w:tcPr>
            <w:tcW w:w="800" w:type="dxa"/>
            <w:tcBorders/>
            <w:shd w:color="auto" w:fill="auto" w:val="clear"/>
          </w:tcPr>
          <w:p>
            <w:pPr>
              <w:pStyle w:val="Normal"/>
              <w:widowControl w:val="false"/>
              <w:spacing w:lineRule="auto" w:line="240"/>
              <w:ind w:right="-108" w:firstLine="38"/>
              <w:rPr>
                <w:color w:val="000000"/>
                <w:sz w:val="24"/>
                <w:szCs w:val="24"/>
              </w:rPr>
            </w:pPr>
            <w:r>
              <w:rPr>
                <w:color w:val="000000"/>
                <w:sz w:val="24"/>
                <w:szCs w:val="24"/>
              </w:rPr>
            </w:r>
          </w:p>
        </w:tc>
        <w:tc>
          <w:tcPr>
            <w:tcW w:w="285" w:type="dxa"/>
            <w:tcBorders/>
            <w:shd w:color="auto" w:fill="auto" w:val="clear"/>
          </w:tcPr>
          <w:p>
            <w:pPr>
              <w:pStyle w:val="Normal"/>
              <w:widowControl w:val="false"/>
              <w:spacing w:lineRule="auto" w:line="240"/>
              <w:ind w:left="317" w:right="-108" w:firstLine="38"/>
              <w:rPr>
                <w:color w:val="000000"/>
                <w:sz w:val="24"/>
                <w:szCs w:val="24"/>
              </w:rPr>
            </w:pPr>
            <w:r>
              <w:rPr>
                <w:color w:val="000000"/>
                <w:sz w:val="24"/>
                <w:szCs w:val="24"/>
              </w:rPr>
            </w:r>
          </w:p>
        </w:tc>
        <w:tc>
          <w:tcPr>
            <w:tcW w:w="8315" w:type="dxa"/>
            <w:gridSpan w:val="2"/>
            <w:tcBorders/>
            <w:shd w:color="auto" w:fill="auto" w:val="clear"/>
          </w:tcPr>
          <w:p>
            <w:pPr>
              <w:pStyle w:val="Normal"/>
              <w:widowControl w:val="false"/>
              <w:spacing w:lineRule="auto" w:line="240"/>
              <w:ind w:left="-75" w:right="-108" w:firstLine="38"/>
              <w:rPr>
                <w:color w:val="000000"/>
                <w:sz w:val="24"/>
                <w:szCs w:val="24"/>
              </w:rPr>
            </w:pPr>
            <w:r>
              <w:rPr>
                <w:color w:val="000000"/>
                <w:sz w:val="24"/>
                <w:szCs w:val="24"/>
              </w:rPr>
            </w:r>
          </w:p>
        </w:tc>
        <w:tc>
          <w:tcPr>
            <w:tcW w:w="236" w:type="dxa"/>
            <w:tcBorders/>
          </w:tcPr>
          <w:p>
            <w:pPr>
              <w:pStyle w:val="Normal"/>
              <w:widowControl w:val="false"/>
              <w:rPr/>
            </w:pPr>
            <w:r>
              <w:rPr/>
            </w:r>
          </w:p>
        </w:tc>
      </w:tr>
      <w:tr>
        <w:trPr>
          <w:trHeight w:val="280" w:hRule="atLeast"/>
        </w:trPr>
        <w:tc>
          <w:tcPr>
            <w:tcW w:w="800" w:type="dxa"/>
            <w:tcBorders/>
            <w:shd w:color="auto" w:fill="auto" w:val="clear"/>
          </w:tcPr>
          <w:p>
            <w:pPr>
              <w:pStyle w:val="Normal"/>
              <w:widowControl w:val="false"/>
              <w:spacing w:lineRule="auto" w:line="240"/>
              <w:ind w:right="-108" w:firstLine="38"/>
              <w:rPr>
                <w:color w:val="000000"/>
                <w:sz w:val="24"/>
                <w:szCs w:val="24"/>
              </w:rPr>
            </w:pPr>
            <w:r>
              <w:rPr>
                <w:color w:val="000000"/>
                <w:sz w:val="24"/>
                <w:szCs w:val="24"/>
              </w:rPr>
            </w:r>
          </w:p>
        </w:tc>
        <w:tc>
          <w:tcPr>
            <w:tcW w:w="285" w:type="dxa"/>
            <w:tcBorders/>
            <w:shd w:color="auto" w:fill="auto" w:val="clear"/>
          </w:tcPr>
          <w:p>
            <w:pPr>
              <w:pStyle w:val="Normal"/>
              <w:widowControl w:val="false"/>
              <w:spacing w:lineRule="auto" w:line="240"/>
              <w:ind w:right="-108" w:firstLine="38"/>
              <w:rPr>
                <w:color w:val="000000"/>
                <w:sz w:val="24"/>
                <w:szCs w:val="24"/>
              </w:rPr>
            </w:pPr>
            <w:r>
              <w:rPr>
                <w:color w:val="000000"/>
                <w:sz w:val="24"/>
                <w:szCs w:val="24"/>
              </w:rPr>
            </w:r>
          </w:p>
        </w:tc>
        <w:tc>
          <w:tcPr>
            <w:tcW w:w="8315" w:type="dxa"/>
            <w:gridSpan w:val="2"/>
            <w:tcBorders/>
            <w:shd w:color="auto" w:fill="auto" w:val="clear"/>
          </w:tcPr>
          <w:p>
            <w:pPr>
              <w:pStyle w:val="Normal"/>
              <w:widowControl w:val="false"/>
              <w:spacing w:lineRule="auto" w:line="240"/>
              <w:ind w:left="-75" w:right="-108" w:firstLine="38"/>
              <w:rPr>
                <w:color w:val="000000"/>
                <w:sz w:val="24"/>
                <w:szCs w:val="24"/>
              </w:rPr>
            </w:pPr>
            <w:r>
              <w:rPr>
                <w:color w:val="000000"/>
                <w:sz w:val="24"/>
                <w:szCs w:val="24"/>
              </w:rPr>
            </w:r>
          </w:p>
        </w:tc>
        <w:tc>
          <w:tcPr>
            <w:tcW w:w="236" w:type="dxa"/>
            <w:tcBorders/>
          </w:tcPr>
          <w:p>
            <w:pPr>
              <w:pStyle w:val="Normal"/>
              <w:widowControl w:val="false"/>
              <w:rPr/>
            </w:pPr>
            <w:r>
              <w:rPr/>
            </w:r>
          </w:p>
        </w:tc>
      </w:tr>
      <w:tr>
        <w:trPr>
          <w:trHeight w:val="993" w:hRule="atLeast"/>
        </w:trPr>
        <w:tc>
          <w:tcPr>
            <w:tcW w:w="800" w:type="dxa"/>
            <w:tcBorders/>
          </w:tcPr>
          <w:p>
            <w:pPr>
              <w:pStyle w:val="Normal"/>
              <w:widowControl w:val="false"/>
              <w:spacing w:lineRule="auto" w:line="240"/>
              <w:ind w:right="-108" w:hanging="0"/>
              <w:rPr>
                <w:b/>
                <w:i/>
                <w:i/>
                <w:color w:val="000000"/>
                <w:sz w:val="24"/>
                <w:szCs w:val="24"/>
              </w:rPr>
            </w:pPr>
            <w:r>
              <w:rPr>
                <w:b/>
                <w:i/>
                <w:color w:val="000000"/>
                <w:sz w:val="24"/>
                <w:szCs w:val="24"/>
              </w:rPr>
            </w:r>
          </w:p>
        </w:tc>
        <w:tc>
          <w:tcPr>
            <w:tcW w:w="285" w:type="dxa"/>
            <w:tcBorders/>
          </w:tcPr>
          <w:p>
            <w:pPr>
              <w:pStyle w:val="Normal"/>
              <w:widowControl w:val="false"/>
              <w:spacing w:lineRule="auto" w:line="240"/>
              <w:ind w:right="-108" w:firstLine="567"/>
              <w:rPr>
                <w:sz w:val="24"/>
                <w:szCs w:val="24"/>
              </w:rPr>
            </w:pPr>
            <w:r>
              <w:rPr>
                <w:sz w:val="24"/>
                <w:szCs w:val="24"/>
              </w:rPr>
            </w:r>
          </w:p>
        </w:tc>
        <w:tc>
          <w:tcPr>
            <w:tcW w:w="8315" w:type="dxa"/>
            <w:gridSpan w:val="2"/>
            <w:tcBorders/>
          </w:tcPr>
          <w:p>
            <w:pPr>
              <w:pStyle w:val="Normal"/>
              <w:widowControl w:val="false"/>
              <w:spacing w:lineRule="auto" w:line="240"/>
              <w:ind w:firstLine="492"/>
              <w:rPr>
                <w:sz w:val="24"/>
                <w:szCs w:val="24"/>
              </w:rPr>
            </w:pPr>
            <w:r>
              <w:rPr>
                <w:sz w:val="24"/>
                <w:szCs w:val="24"/>
              </w:rPr>
            </w:r>
          </w:p>
        </w:tc>
        <w:tc>
          <w:tcPr>
            <w:tcW w:w="236" w:type="dxa"/>
            <w:tcBorders/>
          </w:tcPr>
          <w:p>
            <w:pPr>
              <w:pStyle w:val="Normal"/>
              <w:widowControl w:val="false"/>
              <w:rPr/>
            </w:pPr>
            <w:r>
              <w:rPr/>
            </w:r>
          </w:p>
        </w:tc>
      </w:tr>
      <w:tr>
        <w:trPr>
          <w:trHeight w:val="1380" w:hRule="atLeast"/>
        </w:trPr>
        <w:tc>
          <w:tcPr>
            <w:tcW w:w="4546" w:type="dxa"/>
            <w:gridSpan w:val="3"/>
            <w:tcBorders/>
            <w:shd w:color="auto" w:fill="auto" w:val="clear"/>
          </w:tcPr>
          <w:p>
            <w:pPr>
              <w:pStyle w:val="Normal"/>
              <w:widowControl w:val="false"/>
              <w:spacing w:lineRule="auto" w:line="240"/>
              <w:rPr>
                <w:b/>
                <w:sz w:val="24"/>
                <w:szCs w:val="24"/>
              </w:rPr>
            </w:pPr>
            <w:r>
              <w:rPr>
                <w:b/>
                <w:sz w:val="24"/>
                <w:szCs w:val="24"/>
              </w:rPr>
              <w:t>Заказчик: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 xml:space="preserve">_______________ / _______________ </w:t>
            </w:r>
          </w:p>
          <w:p>
            <w:pPr>
              <w:pStyle w:val="Normal"/>
              <w:widowControl w:val="false"/>
              <w:spacing w:lineRule="auto" w:line="240"/>
              <w:rPr>
                <w:b/>
                <w:sz w:val="24"/>
                <w:szCs w:val="24"/>
              </w:rPr>
            </w:pPr>
            <w:r>
              <w:rPr>
                <w:b/>
                <w:sz w:val="24"/>
                <w:szCs w:val="24"/>
              </w:rPr>
            </w:r>
          </w:p>
        </w:tc>
        <w:tc>
          <w:tcPr>
            <w:tcW w:w="5090" w:type="dxa"/>
            <w:gridSpan w:val="2"/>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 xml:space="preserve">_______________ / _______________ </w:t>
            </w:r>
          </w:p>
          <w:p>
            <w:pPr>
              <w:pStyle w:val="Normal"/>
              <w:widowControl w:val="false"/>
              <w:spacing w:lineRule="auto" w:line="240"/>
              <w:rPr>
                <w:b/>
                <w:sz w:val="24"/>
                <w:szCs w:val="24"/>
              </w:rPr>
            </w:pPr>
            <w:r>
              <w:rPr>
                <w:b/>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napToGrid w:val="false"/>
        <w:spacing w:lineRule="auto" w:line="240"/>
        <w:ind w:firstLine="4820"/>
        <w:rPr>
          <w:sz w:val="22"/>
          <w:szCs w:val="22"/>
        </w:rPr>
      </w:pPr>
      <w:r>
        <w:rPr>
          <w:sz w:val="22"/>
          <w:szCs w:val="22"/>
        </w:rPr>
        <w:t>Приложение № 10</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3"/>
        </w:numPr>
        <w:tabs>
          <w:tab w:val="clear" w:pos="708"/>
          <w:tab w:val="left" w:pos="284" w:leader="none"/>
        </w:tabs>
        <w:ind w:left="0" w:hanging="0"/>
        <w:jc w:val="center"/>
        <w:rPr>
          <w:rFonts w:ascii="Times New Roman" w:hAnsi="Times New Roman" w:cs="Times New Roman"/>
          <w:b/>
        </w:rPr>
      </w:pPr>
      <w:r>
        <w:rPr>
          <w:rFonts w:cs="Times New Roman" w:ascii="Times New Roman" w:hAnsi="Times New Roman"/>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45"/>
        </w:numPr>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46"/>
        </w:numPr>
        <w:spacing w:lineRule="auto" w:line="240"/>
        <w:ind w:left="0" w:firstLine="709"/>
        <w:rPr>
          <w:sz w:val="24"/>
          <w:szCs w:val="24"/>
        </w:rPr>
      </w:pPr>
      <w:r>
        <w:rPr>
          <w:sz w:val="24"/>
          <w:szCs w:val="24"/>
        </w:rPr>
        <w:t>Коммунальные ресурсы:</w:t>
      </w:r>
    </w:p>
    <w:p>
      <w:pPr>
        <w:pStyle w:val="Normal"/>
        <w:numPr>
          <w:ilvl w:val="1"/>
          <w:numId w:val="47"/>
        </w:numPr>
        <w:spacing w:lineRule="auto" w:line="240"/>
        <w:ind w:left="0" w:firstLine="709"/>
        <w:rPr>
          <w:sz w:val="24"/>
          <w:szCs w:val="24"/>
        </w:rPr>
      </w:pPr>
      <w:r>
        <w:rPr>
          <w:sz w:val="24"/>
          <w:szCs w:val="24"/>
        </w:rPr>
        <w:t>Электроэнергия.</w:t>
      </w:r>
    </w:p>
    <w:p>
      <w:pPr>
        <w:pStyle w:val="Normal"/>
        <w:numPr>
          <w:ilvl w:val="1"/>
          <w:numId w:val="48"/>
        </w:numPr>
        <w:spacing w:lineRule="auto" w:line="240"/>
        <w:ind w:left="0" w:firstLine="709"/>
        <w:rPr>
          <w:sz w:val="24"/>
          <w:szCs w:val="24"/>
        </w:rPr>
      </w:pPr>
      <w:r>
        <w:rPr>
          <w:sz w:val="24"/>
          <w:szCs w:val="24"/>
        </w:rPr>
        <w:t>Водоснабжение и водоотведение.</w:t>
      </w:r>
    </w:p>
    <w:p>
      <w:pPr>
        <w:pStyle w:val="Normal"/>
        <w:numPr>
          <w:ilvl w:val="1"/>
          <w:numId w:val="49"/>
        </w:numPr>
        <w:spacing w:lineRule="auto" w:line="240"/>
        <w:ind w:left="0" w:firstLine="709"/>
        <w:rPr>
          <w:sz w:val="24"/>
          <w:szCs w:val="24"/>
        </w:rPr>
      </w:pPr>
      <w:r>
        <w:rPr>
          <w:sz w:val="24"/>
          <w:szCs w:val="24"/>
        </w:rPr>
        <w:t>Сжатый воздух.</w:t>
      </w:r>
    </w:p>
    <w:p>
      <w:pPr>
        <w:pStyle w:val="Normal"/>
        <w:numPr>
          <w:ilvl w:val="0"/>
          <w:numId w:val="50"/>
        </w:numPr>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51"/>
        </w:numPr>
        <w:spacing w:lineRule="auto" w:line="240"/>
        <w:ind w:left="0" w:firstLine="709"/>
        <w:rPr>
          <w:sz w:val="24"/>
          <w:szCs w:val="24"/>
        </w:rPr>
      </w:pPr>
      <w:r>
        <w:rPr>
          <w:sz w:val="24"/>
          <w:szCs w:val="24"/>
        </w:rPr>
        <w:t>Содержание пожарной и сторожевой охраны.</w:t>
      </w:r>
    </w:p>
    <w:p>
      <w:pPr>
        <w:pStyle w:val="Normal"/>
        <w:numPr>
          <w:ilvl w:val="0"/>
          <w:numId w:val="52"/>
        </w:numPr>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53"/>
        </w:numPr>
        <w:spacing w:lineRule="auto" w:line="240"/>
        <w:ind w:left="0" w:firstLine="709"/>
        <w:rPr>
          <w:sz w:val="24"/>
          <w:szCs w:val="24"/>
        </w:rPr>
      </w:pPr>
      <w:r>
        <w:rPr>
          <w:sz w:val="24"/>
          <w:szCs w:val="24"/>
        </w:rPr>
        <w:t>Проведение химического анализа масел.</w:t>
      </w:r>
    </w:p>
    <w:p>
      <w:pPr>
        <w:pStyle w:val="Normal"/>
        <w:numPr>
          <w:ilvl w:val="0"/>
          <w:numId w:val="54"/>
        </w:numPr>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55"/>
        </w:numPr>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56"/>
        </w:numPr>
        <w:spacing w:lineRule="auto" w:line="240"/>
        <w:ind w:left="0" w:firstLine="709"/>
        <w:rPr>
          <w:sz w:val="24"/>
          <w:szCs w:val="24"/>
        </w:rPr>
      </w:pPr>
      <w:r>
        <w:rPr>
          <w:sz w:val="24"/>
          <w:szCs w:val="24"/>
        </w:rPr>
        <w:t>Предоставление помещений:</w:t>
      </w:r>
    </w:p>
    <w:p>
      <w:pPr>
        <w:pStyle w:val="Normal"/>
        <w:numPr>
          <w:ilvl w:val="1"/>
          <w:numId w:val="57"/>
        </w:numPr>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58"/>
        </w:numPr>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23"/>
        </w:numPr>
        <w:tabs>
          <w:tab w:val="clear" w:pos="708"/>
          <w:tab w:val="left" w:pos="284" w:leader="none"/>
          <w:tab w:val="left" w:pos="1418" w:leader="none"/>
        </w:tabs>
        <w:ind w:left="0" w:hanging="0"/>
        <w:jc w:val="center"/>
        <w:rPr>
          <w:rFonts w:ascii="Times New Roman" w:hAnsi="Times New Roman" w:cs="Times New Roman"/>
          <w:b/>
        </w:rPr>
      </w:pPr>
      <w:r>
        <w:rPr>
          <w:rFonts w:cs="Times New Roman" w:ascii="Times New Roman" w:hAnsi="Times New Roman"/>
          <w:b/>
        </w:rPr>
        <w:t>Порядок предоставления ресурсов и услуг</w:t>
      </w:r>
    </w:p>
    <w:p>
      <w:pPr>
        <w:pStyle w:val="ListParagraph"/>
        <w:numPr>
          <w:ilvl w:val="0"/>
          <w:numId w:val="24"/>
        </w:numPr>
        <w:tabs>
          <w:tab w:val="clear" w:pos="708"/>
          <w:tab w:val="left" w:pos="1134" w:leader="none"/>
          <w:tab w:val="left" w:pos="1418" w:leader="none"/>
        </w:tabs>
        <w:spacing w:before="0" w:after="120"/>
        <w:ind w:left="0" w:firstLine="709"/>
        <w:contextualSpacing/>
        <w:jc w:val="both"/>
        <w:rPr>
          <w:rFonts w:ascii="Times New Roman" w:hAnsi="Times New Roman" w:cs="Times New Roman"/>
          <w:b/>
          <w:u w:val="single"/>
        </w:rPr>
      </w:pPr>
      <w:r>
        <w:rPr>
          <w:rFonts w:cs="Times New Roman" w:ascii="Times New Roman" w:hAnsi="Times New Roman"/>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4"/>
        </w:numPr>
        <w:tabs>
          <w:tab w:val="clear" w:pos="708"/>
          <w:tab w:val="left" w:pos="1134" w:leader="none"/>
        </w:tabs>
        <w:spacing w:before="0" w:after="120"/>
        <w:ind w:left="0" w:firstLine="709"/>
        <w:contextualSpacing/>
        <w:rPr>
          <w:rFonts w:ascii="Times New Roman" w:hAnsi="Times New Roman" w:cs="Times New Roman"/>
          <w:u w:val="single"/>
        </w:rPr>
      </w:pPr>
      <w:r>
        <w:rPr>
          <w:rFonts w:cs="Times New Roman" w:ascii="Times New Roman" w:hAnsi="Times New Roman"/>
          <w:u w:val="single"/>
        </w:rPr>
        <w:t>Предоставление ресурсов</w:t>
      </w:r>
    </w:p>
    <w:p>
      <w:pPr>
        <w:pStyle w:val="Normal"/>
        <w:tabs>
          <w:tab w:val="clear" w:pos="708"/>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4"/>
        </w:numPr>
        <w:tabs>
          <w:tab w:val="clear" w:pos="708"/>
          <w:tab w:val="left" w:pos="1134" w:leader="none"/>
        </w:tabs>
        <w:spacing w:before="0" w:after="120"/>
        <w:ind w:left="0" w:firstLine="709"/>
        <w:contextualSpacing/>
        <w:jc w:val="both"/>
        <w:rPr>
          <w:rFonts w:ascii="Times New Roman" w:hAnsi="Times New Roman" w:cs="Times New Roman"/>
          <w:u w:val="single"/>
        </w:rPr>
      </w:pPr>
      <w:r>
        <w:rPr>
          <w:rFonts w:cs="Times New Roman" w:ascii="Times New Roman" w:hAnsi="Times New Roman"/>
          <w:u w:val="single"/>
        </w:rPr>
        <w:t>Обеспечение санитарно-гигиенических и бытовых условий</w:t>
      </w:r>
    </w:p>
    <w:p>
      <w:pPr>
        <w:pStyle w:val="Normal"/>
        <w:tabs>
          <w:tab w:val="clear" w:pos="708"/>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24"/>
        </w:numPr>
        <w:tabs>
          <w:tab w:val="clear" w:pos="708"/>
          <w:tab w:val="left" w:pos="1134" w:leader="none"/>
        </w:tabs>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4"/>
        </w:numPr>
        <w:tabs>
          <w:tab w:val="clear" w:pos="708"/>
          <w:tab w:val="left" w:pos="1134" w:leader="none"/>
        </w:tabs>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4"/>
        </w:numPr>
        <w:tabs>
          <w:tab w:val="clear" w:pos="708"/>
          <w:tab w:val="left" w:pos="1134" w:leader="none"/>
          <w:tab w:val="left" w:pos="1418" w:leader="none"/>
        </w:tabs>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4"/>
        </w:numPr>
        <w:tabs>
          <w:tab w:val="clear" w:pos="708"/>
          <w:tab w:val="left" w:pos="1134" w:leader="none"/>
          <w:tab w:val="left" w:pos="1418" w:leader="none"/>
        </w:tabs>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4"/>
        </w:numPr>
        <w:tabs>
          <w:tab w:val="clear" w:pos="708"/>
          <w:tab w:val="left" w:pos="1134" w:leader="none"/>
        </w:tabs>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spacing w:lineRule="auto" w:line="240"/>
        <w:ind w:hanging="0"/>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43"/>
        <w:gridCol w:w="4995"/>
      </w:tblGrid>
      <w:tr>
        <w:trPr/>
        <w:tc>
          <w:tcPr>
            <w:tcW w:w="4643"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5"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995"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tc>
      </w:tr>
    </w:tbl>
    <w:p>
      <w:pPr>
        <w:pStyle w:val="Normal"/>
        <w:spacing w:lineRule="auto" w:line="240"/>
        <w:ind w:hanging="0"/>
        <w:rPr>
          <w:sz w:val="22"/>
          <w:szCs w:val="22"/>
        </w:rPr>
      </w:pPr>
      <w:r>
        <w:rPr>
          <w:sz w:val="22"/>
          <w:szCs w:val="22"/>
        </w:rPr>
      </w:r>
    </w:p>
    <w:p>
      <w:pPr>
        <w:pStyle w:val="Normal"/>
        <w:spacing w:lineRule="auto" w:line="240"/>
        <w:ind w:left="4820" w:hanging="0"/>
        <w:jc w:val="left"/>
        <w:rPr>
          <w:sz w:val="22"/>
          <w:szCs w:val="22"/>
          <w:lang w:val="en-US"/>
        </w:rPr>
      </w:pPr>
      <w:r>
        <w:rPr>
          <w:sz w:val="22"/>
          <w:szCs w:val="22"/>
        </w:rPr>
        <w:t xml:space="preserve">Приложение № </w:t>
      </w:r>
      <w:r>
        <w:rPr>
          <w:sz w:val="22"/>
          <w:szCs w:val="22"/>
          <w:lang w:val="en-US"/>
        </w:rPr>
        <w:t>11</w:t>
      </w:r>
    </w:p>
    <w:p>
      <w:pPr>
        <w:pStyle w:val="Normal"/>
        <w:spacing w:lineRule="auto" w:line="240"/>
        <w:ind w:left="4820" w:hanging="0"/>
        <w:rPr>
          <w:sz w:val="22"/>
          <w:szCs w:val="22"/>
        </w:rPr>
      </w:pPr>
      <w:r>
        <w:rPr>
          <w:sz w:val="22"/>
          <w:szCs w:val="22"/>
        </w:rPr>
        <w:t xml:space="preserve">к Договору подряда № </w:t>
      </w:r>
      <w:r>
        <w:rPr>
          <w:bCs/>
          <w:color w:val="000000"/>
          <w:sz w:val="22"/>
          <w:szCs w:val="22"/>
        </w:rPr>
        <w:t>1350-___- 2026/0030-РЕМ ПРОД-2026-ЧеГЭС</w:t>
      </w:r>
    </w:p>
    <w:p>
      <w:pPr>
        <w:pStyle w:val="Normal"/>
        <w:spacing w:lineRule="auto" w:line="240"/>
        <w:ind w:left="4820" w:hanging="0"/>
        <w:rPr>
          <w:sz w:val="22"/>
          <w:szCs w:val="22"/>
        </w:rPr>
      </w:pPr>
      <w:r>
        <w:rPr>
          <w:sz w:val="22"/>
          <w:szCs w:val="22"/>
        </w:rPr>
        <w:t>от «____» __________ 2026 г</w:t>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jc w:val="center"/>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pPr>
        <w:pStyle w:val="Normal"/>
        <w:spacing w:lineRule="auto" w:line="240"/>
        <w:ind w:hanging="0"/>
        <w:jc w:val="center"/>
        <w:rPr>
          <w:b/>
          <w:sz w:val="24"/>
          <w:szCs w:val="24"/>
        </w:rPr>
      </w:pPr>
      <w:r>
        <w:rPr>
          <w:b/>
          <w:sz w:val="24"/>
          <w:szCs w:val="24"/>
        </w:rPr>
      </w:r>
    </w:p>
    <w:p>
      <w:pPr>
        <w:pStyle w:val="Normal"/>
        <w:numPr>
          <w:ilvl w:val="0"/>
          <w:numId w:val="29"/>
        </w:numPr>
        <w:spacing w:lineRule="auto" w:line="240"/>
        <w:ind w:left="0" w:firstLine="426"/>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pPr>
        <w:pStyle w:val="Normal"/>
        <w:numPr>
          <w:ilvl w:val="1"/>
          <w:numId w:val="29"/>
        </w:numPr>
        <w:spacing w:lineRule="auto" w:line="240"/>
        <w:ind w:left="0" w:firstLine="426"/>
        <w:rPr>
          <w:sz w:val="24"/>
          <w:szCs w:val="24"/>
        </w:rPr>
      </w:pPr>
      <w:r>
        <w:rPr>
          <w:sz w:val="24"/>
          <w:szCs w:val="24"/>
        </w:rPr>
        <w:t xml:space="preserve"> </w:t>
      </w:r>
      <w:r>
        <w:rPr>
          <w:sz w:val="24"/>
          <w:szCs w:val="24"/>
        </w:rPr>
        <w:t>о материальных ценностях, пригодных для дальнейшего использования, порядке и сроках их передачи Заказчику, в том числе:</w:t>
      </w:r>
    </w:p>
    <w:p>
      <w:pPr>
        <w:pStyle w:val="Normal"/>
        <w:numPr>
          <w:ilvl w:val="0"/>
          <w:numId w:val="30"/>
        </w:numPr>
        <w:spacing w:lineRule="auto" w:line="240"/>
        <w:ind w:left="0" w:firstLine="426"/>
        <w:rPr>
          <w:sz w:val="24"/>
          <w:szCs w:val="24"/>
        </w:rPr>
      </w:pPr>
      <w:r>
        <w:rPr>
          <w:sz w:val="24"/>
          <w:szCs w:val="24"/>
        </w:rPr>
        <w:t>о необходимости разборки/разукрупнения материальных ценностей;</w:t>
      </w:r>
    </w:p>
    <w:p>
      <w:pPr>
        <w:pStyle w:val="Normal"/>
        <w:numPr>
          <w:ilvl w:val="0"/>
          <w:numId w:val="30"/>
        </w:numPr>
        <w:spacing w:lineRule="auto" w:line="240"/>
        <w:ind w:left="0" w:firstLine="426"/>
        <w:rPr>
          <w:sz w:val="24"/>
          <w:szCs w:val="24"/>
        </w:rPr>
      </w:pPr>
      <w:r>
        <w:rPr>
          <w:sz w:val="24"/>
          <w:szCs w:val="24"/>
        </w:rPr>
        <w:t>о сроках передачи и складе/площадке для размещения материальных ценностей;</w:t>
      </w:r>
    </w:p>
    <w:p>
      <w:pPr>
        <w:pStyle w:val="Normal"/>
        <w:numPr>
          <w:ilvl w:val="0"/>
          <w:numId w:val="30"/>
        </w:numPr>
        <w:spacing w:lineRule="auto" w:line="240"/>
        <w:ind w:left="0" w:firstLine="426"/>
        <w:rPr>
          <w:sz w:val="24"/>
          <w:szCs w:val="24"/>
        </w:rPr>
      </w:pPr>
      <w:r>
        <w:rPr>
          <w:sz w:val="24"/>
          <w:szCs w:val="24"/>
        </w:rPr>
        <w:t>о сроках и порядке проведения взвешивания (при необходимости).</w:t>
      </w:r>
    </w:p>
    <w:p>
      <w:pPr>
        <w:pStyle w:val="Normal"/>
        <w:numPr>
          <w:ilvl w:val="1"/>
          <w:numId w:val="29"/>
        </w:numPr>
        <w:spacing w:lineRule="auto" w:line="240"/>
        <w:ind w:left="0" w:firstLine="426"/>
        <w:rPr>
          <w:sz w:val="24"/>
          <w:szCs w:val="24"/>
        </w:rPr>
      </w:pPr>
      <w:r>
        <w:rPr>
          <w:sz w:val="24"/>
          <w:szCs w:val="24"/>
        </w:rPr>
        <w:t xml:space="preserve"> </w:t>
      </w:r>
      <w:r>
        <w:rPr>
          <w:sz w:val="24"/>
          <w:szCs w:val="24"/>
        </w:rPr>
        <w:t>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pPr>
        <w:pStyle w:val="Normal"/>
        <w:numPr>
          <w:ilvl w:val="0"/>
          <w:numId w:val="30"/>
        </w:numPr>
        <w:spacing w:lineRule="auto" w:line="240"/>
        <w:ind w:left="0" w:firstLine="426"/>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pPr>
        <w:pStyle w:val="Normal"/>
        <w:numPr>
          <w:ilvl w:val="0"/>
          <w:numId w:val="30"/>
        </w:numPr>
        <w:spacing w:lineRule="auto" w:line="240"/>
        <w:ind w:left="0" w:firstLine="426"/>
        <w:rPr>
          <w:sz w:val="24"/>
          <w:szCs w:val="24"/>
        </w:rPr>
      </w:pPr>
      <w:r>
        <w:rPr>
          <w:sz w:val="24"/>
          <w:szCs w:val="24"/>
        </w:rPr>
        <w:t xml:space="preserve">о допустимых габаритах отдельных кусков лома, маркировке демонтированных деталей; </w:t>
      </w:r>
    </w:p>
    <w:p>
      <w:pPr>
        <w:pStyle w:val="Normal"/>
        <w:numPr>
          <w:ilvl w:val="0"/>
          <w:numId w:val="30"/>
        </w:numPr>
        <w:spacing w:lineRule="auto" w:line="240"/>
        <w:ind w:left="0" w:firstLine="426"/>
        <w:rPr>
          <w:sz w:val="24"/>
          <w:szCs w:val="24"/>
        </w:rPr>
      </w:pPr>
      <w:r>
        <w:rPr>
          <w:sz w:val="24"/>
          <w:szCs w:val="24"/>
        </w:rPr>
        <w:t>об условиях размещения лома и месте накопления отходов;</w:t>
      </w:r>
    </w:p>
    <w:p>
      <w:pPr>
        <w:pStyle w:val="Normal"/>
        <w:numPr>
          <w:ilvl w:val="0"/>
          <w:numId w:val="30"/>
        </w:numPr>
        <w:spacing w:lineRule="auto" w:line="240"/>
        <w:ind w:left="0" w:firstLine="426"/>
        <w:rPr>
          <w:sz w:val="24"/>
          <w:szCs w:val="24"/>
        </w:rPr>
      </w:pPr>
      <w:r>
        <w:rPr>
          <w:sz w:val="24"/>
          <w:szCs w:val="24"/>
        </w:rPr>
        <w:t>о сроках и условиях размещения лома в месте накопления отходов и взвешивания лома;</w:t>
      </w:r>
    </w:p>
    <w:p>
      <w:pPr>
        <w:pStyle w:val="Normal"/>
        <w:numPr>
          <w:ilvl w:val="0"/>
          <w:numId w:val="30"/>
        </w:numPr>
        <w:spacing w:lineRule="auto" w:line="240"/>
        <w:ind w:left="0" w:firstLine="426"/>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pPr>
        <w:pStyle w:val="Normal"/>
        <w:numPr>
          <w:ilvl w:val="0"/>
          <w:numId w:val="29"/>
        </w:numPr>
        <w:spacing w:lineRule="auto" w:line="240"/>
        <w:ind w:left="0" w:firstLine="426"/>
        <w:rPr>
          <w:sz w:val="24"/>
          <w:szCs w:val="24"/>
        </w:rPr>
      </w:pPr>
      <w:r>
        <w:rPr>
          <w:sz w:val="24"/>
          <w:szCs w:val="24"/>
        </w:rPr>
        <w:t>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т.ч.:</w:t>
      </w:r>
    </w:p>
    <w:p>
      <w:pPr>
        <w:pStyle w:val="Normal"/>
        <w:numPr>
          <w:ilvl w:val="1"/>
          <w:numId w:val="29"/>
        </w:numPr>
        <w:spacing w:lineRule="auto" w:line="240"/>
        <w:ind w:left="0" w:firstLine="426"/>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pPr>
        <w:pStyle w:val="Normal"/>
        <w:numPr>
          <w:ilvl w:val="1"/>
          <w:numId w:val="29"/>
        </w:numPr>
        <w:spacing w:lineRule="auto" w:line="240"/>
        <w:ind w:left="0" w:firstLine="426"/>
        <w:rPr>
          <w:sz w:val="24"/>
          <w:szCs w:val="24"/>
        </w:rPr>
      </w:pPr>
      <w:r>
        <w:rPr>
          <w:sz w:val="24"/>
          <w:szCs w:val="24"/>
        </w:rPr>
        <w:t>Выполнить разделку крупногабаритного демонтированного лома металлов;</w:t>
      </w:r>
    </w:p>
    <w:p>
      <w:pPr>
        <w:pStyle w:val="Normal"/>
        <w:numPr>
          <w:ilvl w:val="1"/>
          <w:numId w:val="29"/>
        </w:numPr>
        <w:spacing w:lineRule="auto" w:line="240"/>
        <w:ind w:left="0" w:firstLine="426"/>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pPr>
        <w:pStyle w:val="Normal"/>
        <w:numPr>
          <w:ilvl w:val="1"/>
          <w:numId w:val="29"/>
        </w:numPr>
        <w:spacing w:lineRule="auto" w:line="240"/>
        <w:ind w:left="0" w:firstLine="426"/>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pPr>
        <w:pStyle w:val="Normal"/>
        <w:numPr>
          <w:ilvl w:val="1"/>
          <w:numId w:val="29"/>
        </w:numPr>
        <w:spacing w:lineRule="auto" w:line="240"/>
        <w:ind w:left="0" w:firstLine="426"/>
        <w:rPr>
          <w:sz w:val="24"/>
          <w:szCs w:val="24"/>
        </w:rPr>
      </w:pPr>
      <w:r>
        <w:rPr>
          <w:sz w:val="24"/>
          <w:szCs w:val="24"/>
        </w:rPr>
        <w:t>Выполнить очистку от засора образцов лома цветных металлов для определения засоренности.</w:t>
      </w:r>
    </w:p>
    <w:p>
      <w:pPr>
        <w:pStyle w:val="Normal"/>
        <w:spacing w:lineRule="auto" w:line="240"/>
        <w:ind w:firstLine="426"/>
        <w:rPr>
          <w:sz w:val="24"/>
          <w:szCs w:val="24"/>
        </w:rPr>
      </w:pPr>
      <w:r>
        <w:rPr>
          <w:sz w:val="24"/>
          <w:szCs w:val="24"/>
        </w:rPr>
      </w:r>
    </w:p>
    <w:p>
      <w:pPr>
        <w:pStyle w:val="Normal"/>
        <w:spacing w:lineRule="auto" w:line="240"/>
        <w:ind w:firstLine="426"/>
        <w:rPr>
          <w:sz w:val="24"/>
          <w:szCs w:val="24"/>
        </w:rPr>
      </w:pPr>
      <w:r>
        <w:rPr>
          <w:sz w:val="24"/>
          <w:szCs w:val="24"/>
        </w:rPr>
      </w:r>
    </w:p>
    <w:p>
      <w:pPr>
        <w:pStyle w:val="Normal"/>
        <w:spacing w:lineRule="auto" w:line="240"/>
        <w:ind w:firstLine="426"/>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961"/>
        <w:gridCol w:w="8789"/>
      </w:tblGrid>
      <w:tr>
        <w:trPr/>
        <w:tc>
          <w:tcPr>
            <w:tcW w:w="4961" w:type="dxa"/>
            <w:tcBorders/>
          </w:tcPr>
          <w:p>
            <w:pPr>
              <w:pStyle w:val="Normal"/>
              <w:widowControl w:val="false"/>
              <w:spacing w:lineRule="auto" w:line="240"/>
              <w:ind w:firstLine="426"/>
              <w:rPr>
                <w:b/>
                <w:sz w:val="24"/>
                <w:szCs w:val="24"/>
              </w:rPr>
            </w:pPr>
            <w:r>
              <w:rPr>
                <w:b/>
                <w:sz w:val="24"/>
                <w:szCs w:val="24"/>
              </w:rPr>
              <w:t>Заказчик:</w:t>
            </w:r>
          </w:p>
        </w:tc>
        <w:tc>
          <w:tcPr>
            <w:tcW w:w="8789" w:type="dxa"/>
            <w:tcBorders/>
          </w:tcPr>
          <w:p>
            <w:pPr>
              <w:pStyle w:val="Normal"/>
              <w:widowControl w:val="false"/>
              <w:spacing w:lineRule="auto" w:line="240"/>
              <w:ind w:firstLine="426"/>
              <w:rPr>
                <w:b/>
                <w:sz w:val="24"/>
                <w:szCs w:val="24"/>
              </w:rPr>
            </w:pPr>
            <w:r>
              <w:rPr>
                <w:b/>
                <w:sz w:val="24"/>
                <w:szCs w:val="24"/>
              </w:rPr>
              <w:t>Подрядчик:</w:t>
            </w:r>
          </w:p>
        </w:tc>
      </w:tr>
      <w:tr>
        <w:trPr>
          <w:trHeight w:val="95" w:hRule="atLeast"/>
        </w:trPr>
        <w:tc>
          <w:tcPr>
            <w:tcW w:w="4961" w:type="dxa"/>
            <w:tcBorders/>
          </w:tcPr>
          <w:p>
            <w:pPr>
              <w:pStyle w:val="Normal"/>
              <w:widowControl w:val="false"/>
              <w:spacing w:lineRule="auto" w:line="240"/>
              <w:ind w:firstLine="426"/>
              <w:rPr>
                <w:sz w:val="24"/>
                <w:szCs w:val="24"/>
              </w:rPr>
            </w:pPr>
            <w:r>
              <w:rPr>
                <w:sz w:val="24"/>
                <w:szCs w:val="24"/>
              </w:rPr>
            </w:r>
          </w:p>
          <w:p>
            <w:pPr>
              <w:pStyle w:val="Normal"/>
              <w:widowControl w:val="false"/>
              <w:spacing w:lineRule="auto" w:line="240"/>
              <w:ind w:firstLine="426"/>
              <w:rPr>
                <w:sz w:val="24"/>
                <w:szCs w:val="24"/>
              </w:rPr>
            </w:pPr>
            <w:r>
              <w:rPr>
                <w:sz w:val="24"/>
                <w:szCs w:val="24"/>
              </w:rPr>
              <w:t xml:space="preserve">_______________ / _______________ </w:t>
            </w:r>
          </w:p>
        </w:tc>
        <w:tc>
          <w:tcPr>
            <w:tcW w:w="8789" w:type="dxa"/>
            <w:tcBorders/>
          </w:tcPr>
          <w:p>
            <w:pPr>
              <w:pStyle w:val="Normal"/>
              <w:widowControl w:val="false"/>
              <w:spacing w:lineRule="auto" w:line="240"/>
              <w:ind w:firstLine="426"/>
              <w:rPr>
                <w:sz w:val="24"/>
                <w:szCs w:val="24"/>
              </w:rPr>
            </w:pPr>
            <w:r>
              <w:rPr>
                <w:sz w:val="24"/>
                <w:szCs w:val="24"/>
              </w:rPr>
            </w:r>
          </w:p>
          <w:p>
            <w:pPr>
              <w:pStyle w:val="Normal"/>
              <w:widowControl w:val="false"/>
              <w:spacing w:lineRule="auto" w:line="240"/>
              <w:ind w:firstLine="426"/>
              <w:rPr>
                <w:sz w:val="24"/>
                <w:szCs w:val="24"/>
              </w:rPr>
            </w:pPr>
            <w:r>
              <w:rPr>
                <w:sz w:val="24"/>
                <w:szCs w:val="24"/>
              </w:rPr>
              <w:t xml:space="preserve">_______________ / _______________ </w:t>
            </w:r>
          </w:p>
          <w:p>
            <w:pPr>
              <w:pStyle w:val="Normal"/>
              <w:widowControl w:val="false"/>
              <w:spacing w:lineRule="auto" w:line="240"/>
              <w:ind w:firstLine="426"/>
              <w:rPr>
                <w:sz w:val="24"/>
                <w:szCs w:val="24"/>
              </w:rPr>
            </w:pPr>
            <w:r>
              <w:rPr>
                <w:sz w:val="24"/>
                <w:szCs w:val="24"/>
              </w:rPr>
            </w:r>
          </w:p>
        </w:tc>
      </w:tr>
    </w:tbl>
    <w:p>
      <w:pPr>
        <w:pStyle w:val="Normal"/>
        <w:spacing w:lineRule="auto" w:line="240"/>
        <w:ind w:firstLine="426"/>
        <w:rPr>
          <w:sz w:val="24"/>
          <w:szCs w:val="24"/>
        </w:rPr>
      </w:pPr>
      <w:r>
        <w:rPr>
          <w:sz w:val="24"/>
          <w:szCs w:val="24"/>
        </w:rPr>
      </w:r>
    </w:p>
    <w:p>
      <w:pPr>
        <w:pStyle w:val="Normal"/>
        <w:rPr/>
      </w:pPr>
      <w:r>
        <w:rPr/>
      </w:r>
    </w:p>
    <w:sectPr>
      <w:headerReference w:type="default" r:id="rId18"/>
      <w:footerReference w:type="default" r:id="rId19"/>
      <w:footnotePr>
        <w:numFmt w:val="decimal"/>
      </w:footnotePr>
      <w:type w:val="nextPage"/>
      <w:pgSz w:w="11906" w:h="16838"/>
      <w:pgMar w:left="1418" w:right="849"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Segoe UI">
    <w:charset w:val="01"/>
    <w:family w:val="roman"/>
    <w:pitch w:val="variable"/>
  </w:font>
  <w:font w:name="Consolas">
    <w:charset w:val="01"/>
    <w:family w:val="roman"/>
    <w:pitch w:val="variable"/>
  </w:font>
  <w:font w:name="PT Sans">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29</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48</w:t>
    </w:r>
    <w:r>
      <w:rPr>
        <w:sz w:val="24"/>
        <w:szCs w:val="24"/>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rFonts w:cs="Times New Roman" w:ascii="Times New Roman" w:hAnsi="Times New Roman"/>
        </w:rPr>
        <w:t xml:space="preserve"> </w:t>
      </w:r>
      <w:r>
        <w:rPr>
          <w:rFonts w:cs="Times New Roman" w:ascii="Times New Roman" w:hAnsi="Times New Roman"/>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6"/>
        </w:rPr>
        <w:footnoteRef/>
      </w:r>
      <w:r>
        <w:rPr>
          <w:rFonts w:cs="Times New Roman" w:ascii="Times New Roman" w:hAnsi="Times New Roman"/>
        </w:rPr>
        <w:t xml:space="preserve"> </w:t>
      </w:r>
      <w:r>
        <w:rPr>
          <w:rFonts w:cs="Times New Roman" w:ascii="Times New Roman" w:hAnsi="Times New Roman"/>
        </w:rPr>
        <w:t>Применяется в случае подписания собственноручно без использования усиленных квалифицированных электронных подписей (УКЭП).</w:t>
      </w:r>
    </w:p>
  </w:footnote>
  <w:footnote w:id="4">
    <w:p>
      <w:pPr>
        <w:pStyle w:val="FootnoteText"/>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 xml:space="preserve">Наименование Объекта, в отношении которого выполняются Этапы Работ. </w:t>
      </w:r>
    </w:p>
  </w:footnote>
  <w:footnote w:id="5">
    <w:p>
      <w:pPr>
        <w:pStyle w:val="FootnoteText"/>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Актуальный Перечень Банков-Гарантов Группы РусГидро размещен на официальном сайте Общества http://zakupki.rushydro.ru/PublicContent/Section/6</w:t>
      </w:r>
    </w:p>
  </w:footnote>
  <w:footnote w:id="6">
    <w:p>
      <w:pPr>
        <w:pStyle w:val="FootnoteText"/>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7">
    <w:p>
      <w:pPr>
        <w:pStyle w:val="FootnoteText"/>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Данное требование не применяется в отношении небанковских кредитных организаций.</w:t>
      </w:r>
    </w:p>
  </w:footnote>
  <w:footnote w:id="8">
    <w:p>
      <w:pPr>
        <w:pStyle w:val="FootnoteText"/>
        <w:jc w:val="both"/>
        <w:rPr>
          <w:rFonts w:ascii="Times New Roman" w:hAnsi="Times New Roman" w:cs="Times New Roman"/>
        </w:rPr>
      </w:pPr>
      <w:r>
        <w:rPr>
          <w:rStyle w:val="Style6"/>
        </w:rPr>
        <w:footnoteRef/>
      </w:r>
      <w:r>
        <w:rPr>
          <w:rFonts w:cs="Times New Roman" w:ascii="Times New Roman" w:hAnsi="Times New Roman"/>
        </w:rPr>
        <w:t xml:space="preserve"> </w:t>
      </w:r>
      <w:r>
        <w:rPr>
          <w:rFonts w:cs="Times New Roman" w:ascii="Times New Roman" w:hAnsi="Times New Roman"/>
        </w:rPr>
        <w:t>При издании ПО организационно-распорядительного документа о ТФУ данный критерий может быть исключен.</w:t>
      </w:r>
    </w:p>
  </w:footnote>
  <w:footnote w:id="9">
    <w:p>
      <w:pPr>
        <w:pStyle w:val="FootnoteText"/>
        <w:jc w:val="both"/>
        <w:rPr/>
      </w:pPr>
      <w:r>
        <w:rPr>
          <w:rStyle w:val="Style6"/>
        </w:rPr>
        <w:footnoteRef/>
      </w:r>
      <w:r>
        <w:rPr>
          <w:rFonts w:cs="Times New Roman" w:ascii="Times New Roman" w:hAnsi="Times New Roman"/>
        </w:rPr>
        <w:t xml:space="preserve"> </w:t>
      </w:r>
      <w:r>
        <w:rPr>
          <w:rFonts w:cs="Times New Roman" w:ascii="Times New Roman" w:hAnsi="Times New Roman"/>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0">
    <w:p>
      <w:pPr>
        <w:pStyle w:val="FootnoteText"/>
        <w:jc w:val="both"/>
        <w:rPr/>
      </w:pPr>
      <w:r>
        <w:rPr>
          <w:rStyle w:val="Style6"/>
        </w:rPr>
        <w:footnoteRef/>
      </w:r>
      <w:r>
        <w:rPr/>
        <w:t xml:space="preserve"> </w:t>
      </w:r>
      <w:r>
        <w:rPr>
          <w:rFonts w:cs="Times New Roman" w:ascii="Times New Roman" w:hAnsi="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88"/>
      <w:jc w:val="right"/>
      <w:rPr>
        <w:sz w:val="20"/>
        <w:szCs w:val="20"/>
      </w:rPr>
    </w:pPr>
    <w:r>
      <w:rPr>
        <w:bCs/>
        <w:color w:val="000000"/>
        <w:sz w:val="20"/>
        <w:szCs w:val="20"/>
      </w:rPr>
      <w:t>ТФД 1.3.5.</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t>ТФД 1.3.5.</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283"/>
        </w:tabs>
        <w:ind w:left="857" w:hanging="432"/>
      </w:pPr>
      <w:rPr>
        <w:sz w:val="24"/>
        <w:u w:val="none"/>
        <w:b w:val="false"/>
        <w:szCs w:val="24"/>
        <w:rFonts w:ascii="Times New Roman" w:hAnsi="Times New Roman" w:cs="Times New Roman"/>
      </w:rPr>
    </w:lvl>
    <w:lvl w:ilvl="2">
      <w:start w:val="1"/>
      <w:numFmt w:val="decimal"/>
      <w:lvlText w:val="%1.%2.%3."/>
      <w:lvlJc w:val="left"/>
      <w:pPr>
        <w:tabs>
          <w:tab w:val="num" w:pos="3401"/>
        </w:tabs>
        <w:ind w:left="7308"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bullet"/>
      <w:lvlText w:val=""/>
      <w:lvlJc w:val="left"/>
      <w:pPr>
        <w:tabs>
          <w:tab w:val="num" w:pos="784"/>
        </w:tabs>
        <w:ind w:left="784" w:hanging="360"/>
      </w:pPr>
      <w:rPr>
        <w:rFonts w:ascii="Wingdings" w:hAnsi="Wingdings" w:cs="Wingdings"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6">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4">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8">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2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31"/>
    <w:lvlOverride w:ilvl="0">
      <w:startOverride w:val="1"/>
    </w:lvlOverride>
  </w:num>
  <w:num w:numId="46">
    <w:abstractNumId w:val="31"/>
  </w:num>
  <w:num w:numId="47">
    <w:abstractNumId w:val="31"/>
  </w:num>
  <w:num w:numId="48">
    <w:abstractNumId w:val="31"/>
  </w:num>
  <w:num w:numId="49">
    <w:abstractNumId w:val="31"/>
  </w:num>
  <w:num w:numId="50">
    <w:abstractNumId w:val="31"/>
  </w:num>
  <w:num w:numId="51">
    <w:abstractNumId w:val="31"/>
  </w:num>
  <w:num w:numId="52">
    <w:abstractNumId w:val="31"/>
  </w:num>
  <w:num w:numId="53">
    <w:abstractNumId w:val="31"/>
  </w:num>
  <w:num w:numId="54">
    <w:abstractNumId w:val="31"/>
  </w:num>
  <w:num w:numId="55">
    <w:abstractNumId w:val="31"/>
  </w:num>
  <w:num w:numId="56">
    <w:abstractNumId w:val="31"/>
  </w:num>
  <w:num w:numId="57">
    <w:abstractNumId w:val="31"/>
  </w:num>
  <w:num w:numId="58">
    <w:abstractNumId w:val="31"/>
  </w:num>
</w:numbering>
</file>

<file path=word/settings.xml><?xml version="1.0" encoding="utf-8"?>
<w:settings xmlns:w="http://schemas.openxmlformats.org/wordprocessingml/2006/main">
  <w:writeProtection w:cryptProviderType="rsaAES" w:cryptAlgorithmClass="hash" w:cryptAlgorithmType="typeAny" w:cryptAlgorithmSid="14" w:cryptSpinCount="100000" w:hash="GFtyT3xWIjS/I60xfJCLGIbMfUOx2qdpLpfVbMdM1sQvjMgauxJIpTs0aMhVNF463tJbYHnFCl2IAZ0uw00ezQ==" w:salt="qoZ+RLs+zlJi/DnM5t3w1w=="/>
  <w:zoom w:percent="100"/>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qFormat="1"/>
    <w:lsdException w:name="header" w:uiPriority="0"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qFormat="1"/>
    <w:lsdException w:name="line number" w:uiPriority="0"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uiPriority="0" w:semiHidden="1" w:unhideWhenUsed="1" w:qFormat="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875ee"/>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rsid w:val="004f4134"/>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4f4134"/>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4f4134"/>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4f4134"/>
    <w:rPr>
      <w:rFonts w:ascii="Cambria" w:hAnsi="Cambria" w:eastAsia="Times New Roman" w:cs="Times New Roman"/>
      <w:b/>
      <w:bCs/>
      <w:kern w:val="2"/>
      <w:sz w:val="32"/>
      <w:szCs w:val="32"/>
      <w:lang w:val="x-none" w:eastAsia="x-none"/>
    </w:rPr>
  </w:style>
  <w:style w:type="character" w:styleId="2" w:customStyle="1">
    <w:name w:val="Заголовок 2 Знак"/>
    <w:basedOn w:val="DefaultParagraphFont"/>
    <w:qFormat/>
    <w:rsid w:val="004f4134"/>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uiPriority w:val="9"/>
    <w:qFormat/>
    <w:rsid w:val="004f4134"/>
    <w:rPr>
      <w:rFonts w:ascii="Times New Roman" w:hAnsi="Times New Roman" w:eastAsia="Times New Roman" w:cs="Times New Roman"/>
      <w:b/>
      <w:sz w:val="28"/>
      <w:szCs w:val="20"/>
      <w:lang w:val="x-none" w:eastAsia="x-none"/>
    </w:rPr>
  </w:style>
  <w:style w:type="character" w:styleId="Style6">
    <w:name w:val="Символ сноски"/>
    <w:qFormat/>
    <w:rsid w:val="004f4134"/>
    <w:rPr>
      <w:vertAlign w:val="superscript"/>
    </w:rPr>
  </w:style>
  <w:style w:type="character" w:styleId="FootnoteReference">
    <w:name w:val="Footnote Reference"/>
    <w:rPr>
      <w:vertAlign w:val="superscript"/>
    </w:rPr>
  </w:style>
  <w:style w:type="character" w:styleId="31" w:customStyle="1">
    <w:name w:val="3. Подпункт Знак"/>
    <w:link w:val="34"/>
    <w:qFormat/>
    <w:rsid w:val="004f4134"/>
    <w:rPr>
      <w:b/>
      <w:bCs/>
      <w:sz w:val="24"/>
      <w:szCs w:val="24"/>
      <w:lang w:val="x-none" w:eastAsia="x-none"/>
    </w:rPr>
  </w:style>
  <w:style w:type="character" w:styleId="Style7" w:customStyle="1">
    <w:name w:val="Текст выноски Знак"/>
    <w:link w:val="BalloonText"/>
    <w:qFormat/>
    <w:rsid w:val="004f4134"/>
    <w:rPr>
      <w:rFonts w:ascii="Tahoma" w:hAnsi="Tahoma" w:cs="Tahoma"/>
      <w:sz w:val="16"/>
      <w:szCs w:val="16"/>
    </w:rPr>
  </w:style>
  <w:style w:type="character" w:styleId="11" w:customStyle="1">
    <w:name w:val="1. Статья Знак"/>
    <w:link w:val="111"/>
    <w:qFormat/>
    <w:rsid w:val="004f4134"/>
    <w:rPr>
      <w:sz w:val="24"/>
      <w:szCs w:val="24"/>
      <w:lang w:val="x-none" w:eastAsia="x-none"/>
    </w:rPr>
  </w:style>
  <w:style w:type="character" w:styleId="4" w:customStyle="1">
    <w:name w:val="4. Отчерк Знак"/>
    <w:link w:val="41"/>
    <w:qFormat/>
    <w:rsid w:val="004f4134"/>
    <w:rPr>
      <w:sz w:val="24"/>
      <w:szCs w:val="24"/>
      <w:lang w:val="x-none" w:eastAsia="x-none"/>
    </w:rPr>
  </w:style>
  <w:style w:type="character" w:styleId="Annotationreference">
    <w:name w:val="annotation reference"/>
    <w:qFormat/>
    <w:rsid w:val="004f4134"/>
    <w:rPr>
      <w:sz w:val="16"/>
      <w:szCs w:val="16"/>
    </w:rPr>
  </w:style>
  <w:style w:type="character" w:styleId="Style8" w:customStyle="1">
    <w:name w:val="Текст примечания Знак"/>
    <w:link w:val="Annotationtext"/>
    <w:qFormat/>
    <w:rsid w:val="004f4134"/>
    <w:rPr/>
  </w:style>
  <w:style w:type="character" w:styleId="Style9" w:customStyle="1">
    <w:name w:val="Тема примечания Знак"/>
    <w:link w:val="Annotationsubject"/>
    <w:qFormat/>
    <w:rsid w:val="004f4134"/>
    <w:rPr>
      <w:b/>
      <w:bCs/>
    </w:rPr>
  </w:style>
  <w:style w:type="character" w:styleId="Style10" w:customStyle="1">
    <w:name w:val="Нижний колонтитул Знак"/>
    <w:uiPriority w:val="99"/>
    <w:qFormat/>
    <w:rsid w:val="004f4134"/>
    <w:rPr>
      <w:sz w:val="28"/>
      <w:szCs w:val="28"/>
    </w:rPr>
  </w:style>
  <w:style w:type="character" w:styleId="32" w:customStyle="1">
    <w:name w:val="Основной текст 3 Знак"/>
    <w:link w:val="BodyText3"/>
    <w:qFormat/>
    <w:rsid w:val="004f4134"/>
    <w:rPr>
      <w:color w:val="0000FF"/>
      <w:sz w:val="24"/>
      <w:szCs w:val="24"/>
    </w:rPr>
  </w:style>
  <w:style w:type="character" w:styleId="Style11" w:customStyle="1">
    <w:name w:val="Заголовок Знак"/>
    <w:link w:val="112"/>
    <w:qFormat/>
    <w:rsid w:val="004f4134"/>
    <w:rPr>
      <w:b/>
    </w:rPr>
  </w:style>
  <w:style w:type="character" w:styleId="Style12" w:customStyle="1">
    <w:name w:val="Основной текст с отступом Знак"/>
    <w:qFormat/>
    <w:rsid w:val="004f4134"/>
    <w:rPr>
      <w:sz w:val="28"/>
      <w:szCs w:val="28"/>
    </w:rPr>
  </w:style>
  <w:style w:type="character" w:styleId="FontStyle16" w:customStyle="1">
    <w:name w:val="Font Style16"/>
    <w:qFormat/>
    <w:rsid w:val="004f4134"/>
    <w:rPr>
      <w:rFonts w:ascii="Times New Roman" w:hAnsi="Times New Roman" w:cs="Times New Roman"/>
      <w:sz w:val="24"/>
      <w:szCs w:val="24"/>
    </w:rPr>
  </w:style>
  <w:style w:type="character" w:styleId="Style13" w:customStyle="1">
    <w:name w:val="Текст сноски Знак"/>
    <w:qFormat/>
    <w:rsid w:val="004f4134"/>
    <w:rPr/>
  </w:style>
  <w:style w:type="character" w:styleId="Hyperlink">
    <w:name w:val="Hyperlink"/>
    <w:uiPriority w:val="99"/>
    <w:unhideWhenUsed/>
    <w:rsid w:val="004f4134"/>
    <w:rPr>
      <w:color w:val="0000FF"/>
      <w:u w:val="single"/>
    </w:rPr>
  </w:style>
  <w:style w:type="character" w:styleId="Style14" w:customStyle="1">
    <w:name w:val="Текст концевой сноски Знак"/>
    <w:uiPriority w:val="99"/>
    <w:semiHidden/>
    <w:qFormat/>
    <w:rsid w:val="004f4134"/>
    <w:rPr/>
  </w:style>
  <w:style w:type="character" w:styleId="Style15">
    <w:name w:val="Символ концевой сноски"/>
    <w:qFormat/>
    <w:rsid w:val="004f4134"/>
    <w:rPr>
      <w:vertAlign w:val="superscript"/>
    </w:rPr>
  </w:style>
  <w:style w:type="character" w:styleId="EndnoteReference">
    <w:name w:val="Endnote Reference"/>
    <w:rPr>
      <w:vertAlign w:val="superscript"/>
    </w:rPr>
  </w:style>
  <w:style w:type="character" w:styleId="Style16" w:customStyle="1">
    <w:name w:val="Текст Знак"/>
    <w:basedOn w:val="DefaultParagraphFont"/>
    <w:link w:val="PlainText"/>
    <w:uiPriority w:val="99"/>
    <w:semiHidden/>
    <w:qFormat/>
    <w:rsid w:val="004f4134"/>
    <w:rPr>
      <w:rFonts w:ascii="Calibri" w:hAnsi="Calibri"/>
      <w:szCs w:val="21"/>
    </w:rPr>
  </w:style>
  <w:style w:type="character" w:styleId="Style17" w:customStyle="1">
    <w:name w:val="Абзац списка Знак"/>
    <w:link w:val="ListParagraph"/>
    <w:uiPriority w:val="34"/>
    <w:qFormat/>
    <w:locked/>
    <w:rsid w:val="004f4134"/>
    <w:rPr>
      <w:sz w:val="24"/>
      <w:szCs w:val="24"/>
    </w:rPr>
  </w:style>
  <w:style w:type="character" w:styleId="Linenumber1">
    <w:name w:val="line number1"/>
    <w:qFormat/>
    <w:rsid w:val="004f4134"/>
    <w:rPr/>
  </w:style>
  <w:style w:type="character" w:styleId="FollowedHyperlink">
    <w:name w:val="FollowedHyperlink"/>
    <w:rsid w:val="004f4134"/>
    <w:rPr>
      <w:color w:val="800000"/>
      <w:u w:val="single"/>
    </w:rPr>
  </w:style>
  <w:style w:type="character" w:styleId="12" w:customStyle="1">
    <w:name w:val="Заголовок Знак1"/>
    <w:basedOn w:val="DefaultParagraphFont"/>
    <w:qFormat/>
    <w:rsid w:val="004f4134"/>
    <w:rPr>
      <w:rFonts w:ascii="Liberation Sans" w:hAnsi="Liberation Sans" w:eastAsia="Arial Unicode MS" w:cs="Arial Unicode MS"/>
      <w:sz w:val="28"/>
      <w:szCs w:val="28"/>
      <w:lang w:eastAsia="ru-RU"/>
    </w:rPr>
  </w:style>
  <w:style w:type="character" w:styleId="Style18" w:customStyle="1">
    <w:name w:val="Основной текст Знак"/>
    <w:basedOn w:val="DefaultParagraphFont"/>
    <w:qFormat/>
    <w:rsid w:val="004f4134"/>
    <w:rPr>
      <w:rFonts w:ascii="Times New Roman" w:hAnsi="Times New Roman" w:eastAsia="Times New Roman" w:cs="Times New Roman"/>
      <w:sz w:val="28"/>
      <w:szCs w:val="28"/>
      <w:lang w:eastAsia="ru-RU"/>
    </w:rPr>
  </w:style>
  <w:style w:type="character" w:styleId="311" w:customStyle="1">
    <w:name w:val="Основной текст 3 Знак1"/>
    <w:basedOn w:val="DefaultParagraphFont"/>
    <w:uiPriority w:val="99"/>
    <w:semiHidden/>
    <w:qFormat/>
    <w:rsid w:val="004f4134"/>
    <w:rPr>
      <w:rFonts w:ascii="Times New Roman" w:hAnsi="Times New Roman" w:eastAsia="Times New Roman" w:cs="Times New Roman"/>
      <w:sz w:val="16"/>
      <w:szCs w:val="16"/>
      <w:lang w:eastAsia="ru-RU"/>
    </w:rPr>
  </w:style>
  <w:style w:type="character" w:styleId="Style19" w:customStyle="1">
    <w:name w:val="Верхний колонтитул Знак"/>
    <w:basedOn w:val="DefaultParagraphFont"/>
    <w:qFormat/>
    <w:rsid w:val="004f4134"/>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qFormat/>
    <w:rsid w:val="004f4134"/>
    <w:rPr>
      <w:rFonts w:ascii="Times New Roman" w:hAnsi="Times New Roman" w:eastAsia="Times New Roman" w:cs="Times New Roman"/>
      <w:sz w:val="20"/>
      <w:szCs w:val="20"/>
      <w:lang w:eastAsia="ru-RU"/>
    </w:rPr>
  </w:style>
  <w:style w:type="character" w:styleId="13" w:customStyle="1">
    <w:name w:val="Текст сноски Знак1"/>
    <w:basedOn w:val="DefaultParagraphFont"/>
    <w:uiPriority w:val="99"/>
    <w:semiHidden/>
    <w:qFormat/>
    <w:rsid w:val="004f4134"/>
    <w:rPr>
      <w:rFonts w:ascii="Times New Roman" w:hAnsi="Times New Roman" w:eastAsia="Times New Roman" w:cs="Times New Roman"/>
      <w:sz w:val="20"/>
      <w:szCs w:val="20"/>
      <w:lang w:eastAsia="ru-RU"/>
    </w:rPr>
  </w:style>
  <w:style w:type="character" w:styleId="33" w:customStyle="1">
    <w:name w:val="Основной текст с отступом 3 Знак"/>
    <w:basedOn w:val="DefaultParagraphFont"/>
    <w:link w:val="BodyTextIndent3"/>
    <w:qFormat/>
    <w:rsid w:val="004f4134"/>
    <w:rPr>
      <w:rFonts w:ascii="Times New Roman" w:hAnsi="Times New Roman" w:eastAsia="Times New Roman" w:cs="Times New Roman"/>
      <w:sz w:val="16"/>
      <w:szCs w:val="16"/>
      <w:lang w:eastAsia="ru-RU"/>
    </w:rPr>
  </w:style>
  <w:style w:type="character" w:styleId="14" w:customStyle="1">
    <w:name w:val="Текст выноски Знак1"/>
    <w:basedOn w:val="DefaultParagraphFont"/>
    <w:uiPriority w:val="99"/>
    <w:semiHidden/>
    <w:qFormat/>
    <w:rsid w:val="004f4134"/>
    <w:rPr>
      <w:rFonts w:ascii="Segoe UI" w:hAnsi="Segoe UI" w:eastAsia="Times New Roman" w:cs="Segoe UI"/>
      <w:sz w:val="18"/>
      <w:szCs w:val="18"/>
      <w:lang w:eastAsia="ru-RU"/>
    </w:rPr>
  </w:style>
  <w:style w:type="character" w:styleId="15" w:customStyle="1">
    <w:name w:val="Текст примечания Знак1"/>
    <w:basedOn w:val="DefaultParagraphFont"/>
    <w:uiPriority w:val="99"/>
    <w:semiHidden/>
    <w:qFormat/>
    <w:rsid w:val="004f4134"/>
    <w:rPr>
      <w:rFonts w:ascii="Times New Roman" w:hAnsi="Times New Roman" w:eastAsia="Times New Roman" w:cs="Times New Roman"/>
      <w:sz w:val="20"/>
      <w:szCs w:val="20"/>
      <w:lang w:eastAsia="ru-RU"/>
    </w:rPr>
  </w:style>
  <w:style w:type="character" w:styleId="16" w:customStyle="1">
    <w:name w:val="Тема примечания Знак1"/>
    <w:basedOn w:val="15"/>
    <w:uiPriority w:val="99"/>
    <w:semiHidden/>
    <w:qFormat/>
    <w:rsid w:val="004f4134"/>
    <w:rPr>
      <w:rFonts w:ascii="Times New Roman" w:hAnsi="Times New Roman" w:eastAsia="Times New Roman" w:cs="Times New Roman"/>
      <w:b/>
      <w:bCs/>
      <w:sz w:val="20"/>
      <w:szCs w:val="20"/>
      <w:lang w:eastAsia="ru-RU"/>
    </w:rPr>
  </w:style>
  <w:style w:type="character" w:styleId="17" w:customStyle="1">
    <w:name w:val="Нижний колонтитул Знак1"/>
    <w:basedOn w:val="DefaultParagraphFont"/>
    <w:uiPriority w:val="99"/>
    <w:semiHidden/>
    <w:qFormat/>
    <w:rsid w:val="004f4134"/>
    <w:rPr>
      <w:rFonts w:ascii="Times New Roman" w:hAnsi="Times New Roman" w:eastAsia="Times New Roman" w:cs="Times New Roman"/>
      <w:sz w:val="28"/>
      <w:szCs w:val="28"/>
      <w:lang w:eastAsia="ru-RU"/>
    </w:rPr>
  </w:style>
  <w:style w:type="character" w:styleId="18" w:customStyle="1">
    <w:name w:val="Основной текст с отступом Знак1"/>
    <w:basedOn w:val="DefaultParagraphFont"/>
    <w:uiPriority w:val="99"/>
    <w:semiHidden/>
    <w:qFormat/>
    <w:rsid w:val="004f4134"/>
    <w:rPr>
      <w:rFonts w:ascii="Times New Roman" w:hAnsi="Times New Roman" w:eastAsia="Times New Roman" w:cs="Times New Roman"/>
      <w:sz w:val="28"/>
      <w:szCs w:val="28"/>
      <w:lang w:eastAsia="ru-RU"/>
    </w:rPr>
  </w:style>
  <w:style w:type="character" w:styleId="19" w:customStyle="1">
    <w:name w:val="Текст концевой сноски Знак1"/>
    <w:basedOn w:val="DefaultParagraphFont"/>
    <w:uiPriority w:val="99"/>
    <w:semiHidden/>
    <w:qFormat/>
    <w:rsid w:val="004f4134"/>
    <w:rPr>
      <w:rFonts w:ascii="Times New Roman" w:hAnsi="Times New Roman" w:eastAsia="Times New Roman" w:cs="Times New Roman"/>
      <w:sz w:val="20"/>
      <w:szCs w:val="20"/>
      <w:lang w:eastAsia="ru-RU"/>
    </w:rPr>
  </w:style>
  <w:style w:type="character" w:styleId="110" w:customStyle="1">
    <w:name w:val="Текст Знак1"/>
    <w:basedOn w:val="DefaultParagraphFont"/>
    <w:uiPriority w:val="99"/>
    <w:semiHidden/>
    <w:qFormat/>
    <w:rsid w:val="004f4134"/>
    <w:rPr>
      <w:rFonts w:ascii="Consolas" w:hAnsi="Consolas" w:eastAsia="Times New Roman" w:cs="Times New Roman"/>
      <w:sz w:val="21"/>
      <w:szCs w:val="21"/>
      <w:lang w:eastAsia="ru-RU"/>
    </w:rPr>
  </w:style>
  <w:style w:type="character" w:styleId="LineNumber">
    <w:name w:val="Line Number"/>
    <w:rPr/>
  </w:style>
  <w:style w:type="paragraph" w:styleId="Style20">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18"/>
    <w:rsid w:val="004f4134"/>
    <w:pPr>
      <w:spacing w:before="0" w:after="120"/>
    </w:pPr>
    <w:rPr/>
  </w:style>
  <w:style w:type="paragraph" w:styleId="List">
    <w:name w:val="List"/>
    <w:basedOn w:val="BodyText"/>
    <w:rsid w:val="004f4134"/>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12"/>
    <w:qFormat/>
    <w:rsid w:val="004f4134"/>
    <w:pPr>
      <w:keepNext w:val="true"/>
      <w:spacing w:before="240" w:after="120"/>
    </w:pPr>
    <w:rPr>
      <w:rFonts w:ascii="Liberation Sans" w:hAnsi="Liberation Sans" w:eastAsia="Arial Unicode MS" w:cs="Arial Unicode MS"/>
    </w:rPr>
  </w:style>
  <w:style w:type="paragraph" w:styleId="Caption1">
    <w:name w:val="caption1"/>
    <w:basedOn w:val="Normal"/>
    <w:qFormat/>
    <w:rsid w:val="004f4134"/>
    <w:pPr>
      <w:suppressLineNumbers/>
      <w:spacing w:before="120" w:after="120"/>
    </w:pPr>
    <w:rPr>
      <w:i/>
      <w:iCs/>
      <w:sz w:val="24"/>
      <w:szCs w:val="24"/>
    </w:rPr>
  </w:style>
  <w:style w:type="paragraph" w:styleId="Index1">
    <w:name w:val="index 1"/>
    <w:basedOn w:val="Normal"/>
    <w:next w:val="Normal"/>
    <w:autoRedefine/>
    <w:uiPriority w:val="99"/>
    <w:semiHidden/>
    <w:unhideWhenUsed/>
    <w:qFormat/>
    <w:rsid w:val="004f4134"/>
    <w:pPr>
      <w:spacing w:lineRule="auto" w:line="240"/>
      <w:ind w:left="280" w:hanging="280"/>
    </w:pPr>
    <w:rPr/>
  </w:style>
  <w:style w:type="paragraph" w:styleId="Indexheading">
    <w:name w:val="index heading"/>
    <w:basedOn w:val="Normal"/>
    <w:qFormat/>
    <w:rsid w:val="004f4134"/>
    <w:pPr>
      <w:suppressLineNumbers/>
    </w:pPr>
    <w:rPr/>
  </w:style>
  <w:style w:type="paragraph" w:styleId="BodyText3">
    <w:name w:val="Body Text 3"/>
    <w:basedOn w:val="Normal"/>
    <w:link w:val="32"/>
    <w:qFormat/>
    <w:rsid w:val="004f4134"/>
    <w:pPr>
      <w:spacing w:lineRule="auto" w:line="240"/>
      <w:ind w:hanging="0"/>
    </w:pPr>
    <w:rPr>
      <w:rFonts w:ascii="Calibri" w:hAnsi="Calibri" w:eastAsia="Calibri" w:cs="" w:asciiTheme="minorHAnsi" w:cstheme="minorBidi" w:eastAsiaTheme="minorHAnsi" w:hAnsiTheme="minorHAnsi"/>
      <w:color w:val="0000FF"/>
      <w:sz w:val="24"/>
      <w:szCs w:val="24"/>
      <w:lang w:eastAsia="en-US"/>
    </w:rPr>
  </w:style>
  <w:style w:type="paragraph" w:styleId="Style22" w:customStyle="1">
    <w:name w:val="Колонтитул"/>
    <w:basedOn w:val="Normal"/>
    <w:qFormat/>
    <w:rsid w:val="004f4134"/>
    <w:pPr/>
    <w:rPr/>
  </w:style>
  <w:style w:type="paragraph" w:styleId="Header">
    <w:name w:val="Header"/>
    <w:basedOn w:val="Normal"/>
    <w:link w:val="Style19"/>
    <w:rsid w:val="004f4134"/>
    <w:pPr>
      <w:tabs>
        <w:tab w:val="clear" w:pos="708"/>
        <w:tab w:val="center" w:pos="4677" w:leader="none"/>
        <w:tab w:val="right" w:pos="9355" w:leader="none"/>
      </w:tabs>
    </w:pPr>
    <w:rPr/>
  </w:style>
  <w:style w:type="paragraph" w:styleId="Style110" w:customStyle="1">
    <w:name w:val="Style1"/>
    <w:basedOn w:val="Normal"/>
    <w:autoRedefine/>
    <w:qFormat/>
    <w:rsid w:val="004f4134"/>
    <w:pPr>
      <w:spacing w:lineRule="auto" w:line="240" w:before="240" w:after="0"/>
      <w:ind w:hanging="0"/>
      <w:jc w:val="left"/>
    </w:pPr>
    <w:rPr>
      <w:b/>
      <w:sz w:val="22"/>
      <w:szCs w:val="20"/>
    </w:rPr>
  </w:style>
  <w:style w:type="paragraph" w:styleId="BodyText2">
    <w:name w:val="Body Text 2"/>
    <w:basedOn w:val="Normal"/>
    <w:link w:val="21"/>
    <w:qFormat/>
    <w:rsid w:val="004f4134"/>
    <w:pPr>
      <w:widowControl w:val="false"/>
      <w:spacing w:lineRule="auto" w:line="480" w:before="0" w:after="120"/>
      <w:ind w:hanging="0"/>
      <w:jc w:val="left"/>
    </w:pPr>
    <w:rPr>
      <w:sz w:val="20"/>
      <w:szCs w:val="20"/>
    </w:rPr>
  </w:style>
  <w:style w:type="paragraph" w:styleId="Style23" w:customStyle="1">
    <w:name w:val="Знак"/>
    <w:basedOn w:val="Normal"/>
    <w:qFormat/>
    <w:rsid w:val="004f4134"/>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rsid w:val="004f4134"/>
    <w:pPr>
      <w:spacing w:lineRule="auto" w:line="240"/>
      <w:ind w:hanging="0"/>
      <w:jc w:val="left"/>
    </w:pPr>
    <w:rPr>
      <w:rFonts w:ascii="Calibri" w:hAnsi="Calibri" w:eastAsia="Calibri" w:cs="" w:asciiTheme="minorHAnsi" w:cstheme="minorBidi" w:eastAsiaTheme="minorHAnsi" w:hAnsiTheme="minorHAnsi"/>
      <w:sz w:val="22"/>
      <w:szCs w:val="22"/>
      <w:lang w:eastAsia="en-US"/>
    </w:rPr>
  </w:style>
  <w:style w:type="paragraph" w:styleId="Style24" w:customStyle="1">
    <w:name w:val="Знак Знак Знак Знак Знак Знак Знак"/>
    <w:basedOn w:val="Normal"/>
    <w:qFormat/>
    <w:rsid w:val="004f4134"/>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4f4134"/>
    <w:pPr>
      <w:spacing w:lineRule="exact" w:line="240" w:before="0" w:after="160"/>
      <w:ind w:hanging="0"/>
      <w:jc w:val="left"/>
    </w:pPr>
    <w:rPr>
      <w:rFonts w:ascii="Verdana" w:hAnsi="Verdana" w:cs="Verdana"/>
      <w:sz w:val="20"/>
      <w:szCs w:val="20"/>
      <w:lang w:val="en-US" w:eastAsia="en-US"/>
    </w:rPr>
  </w:style>
  <w:style w:type="paragraph" w:styleId="Style25" w:customStyle="1">
    <w:name w:val="Знак Знак Знак Знак Знак Знак Знак Знак Знак"/>
    <w:basedOn w:val="Normal"/>
    <w:qFormat/>
    <w:rsid w:val="004f4134"/>
    <w:pPr>
      <w:spacing w:lineRule="exact" w:line="240" w:before="0" w:after="160"/>
      <w:ind w:hanging="0"/>
    </w:pPr>
    <w:rPr>
      <w:rFonts w:ascii="Verdana" w:hAnsi="Verdana"/>
      <w:sz w:val="22"/>
      <w:szCs w:val="20"/>
      <w:lang w:val="en-US" w:eastAsia="en-US"/>
    </w:rPr>
  </w:style>
  <w:style w:type="paragraph" w:styleId="Style26" w:customStyle="1">
    <w:name w:val="Пункт договора"/>
    <w:basedOn w:val="Normal"/>
    <w:qFormat/>
    <w:rsid w:val="004f4134"/>
    <w:pPr>
      <w:widowControl w:val="false"/>
      <w:spacing w:lineRule="auto" w:line="240"/>
      <w:ind w:hanging="0"/>
    </w:pPr>
    <w:rPr>
      <w:rFonts w:ascii="Arial" w:hAnsi="Arial"/>
      <w:sz w:val="20"/>
      <w:szCs w:val="20"/>
    </w:rPr>
  </w:style>
  <w:style w:type="paragraph" w:styleId="Style27" w:customStyle="1">
    <w:name w:val="Подпункт договора"/>
    <w:basedOn w:val="Normal"/>
    <w:qFormat/>
    <w:rsid w:val="004f4134"/>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3"/>
    <w:qFormat/>
    <w:rsid w:val="004f4134"/>
    <w:pPr>
      <w:spacing w:before="0" w:after="120"/>
      <w:ind w:left="283" w:firstLine="567"/>
    </w:pPr>
    <w:rPr>
      <w:sz w:val="16"/>
      <w:szCs w:val="16"/>
    </w:rPr>
  </w:style>
  <w:style w:type="paragraph" w:styleId="ListParagraph">
    <w:name w:val="List Paragraph"/>
    <w:basedOn w:val="Normal"/>
    <w:link w:val="Style17"/>
    <w:qFormat/>
    <w:rsid w:val="004f4134"/>
    <w:pPr>
      <w:spacing w:lineRule="auto" w:line="240" w:before="0" w:after="0"/>
      <w:ind w:left="720" w:hanging="0"/>
      <w:contextualSpacing/>
      <w:jc w:val="left"/>
    </w:pPr>
    <w:rPr>
      <w:rFonts w:ascii="Calibri" w:hAnsi="Calibri" w:eastAsia="Calibri" w:cs="" w:asciiTheme="minorHAnsi" w:cstheme="minorBidi" w:eastAsiaTheme="minorHAnsi" w:hAnsiTheme="minorHAnsi"/>
      <w:sz w:val="24"/>
      <w:szCs w:val="24"/>
      <w:lang w:eastAsia="en-US"/>
    </w:rPr>
  </w:style>
  <w:style w:type="paragraph" w:styleId="111" w:customStyle="1">
    <w:name w:val="1. Статья"/>
    <w:basedOn w:val="Heading3"/>
    <w:link w:val="11"/>
    <w:qFormat/>
    <w:rsid w:val="004f4134"/>
    <w:pPr>
      <w:keepNext w:val="false"/>
      <w:widowControl w:val="false"/>
      <w:numPr>
        <w:ilvl w:val="0"/>
        <w:numId w:val="2"/>
      </w:numPr>
      <w:tabs>
        <w:tab w:val="clear" w:pos="708"/>
        <w:tab w:val="left" w:pos="2340" w:leader="none"/>
      </w:tabs>
      <w:suppressAutoHyphens w:val="false"/>
      <w:spacing w:before="0" w:after="0"/>
      <w:ind w:right="1462" w:hanging="0"/>
      <w:jc w:val="center"/>
      <w:textAlignment w:val="baseline"/>
    </w:pPr>
    <w:rPr>
      <w:rFonts w:ascii="Calibri" w:hAnsi="Calibri" w:eastAsia="Calibri" w:cs="" w:asciiTheme="minorHAnsi" w:cstheme="minorBidi" w:eastAsiaTheme="minorHAnsi" w:hAnsiTheme="minorHAnsi"/>
      <w:b w:val="false"/>
      <w:sz w:val="24"/>
      <w:szCs w:val="24"/>
    </w:rPr>
  </w:style>
  <w:style w:type="paragraph" w:styleId="23" w:customStyle="1">
    <w:name w:val="2. Пункт"/>
    <w:basedOn w:val="Heading3"/>
    <w:qFormat/>
    <w:rsid w:val="004f4134"/>
    <w:pPr>
      <w:keepNext w:val="false"/>
      <w:widowControl w:val="false"/>
      <w:numPr>
        <w:ilvl w:val="1"/>
        <w:numId w:val="2"/>
      </w:numPr>
      <w:suppressAutoHyphens w:val="false"/>
      <w:spacing w:before="0" w:after="0"/>
      <w:jc w:val="both"/>
      <w:textAlignment w:val="baseline"/>
    </w:pPr>
    <w:rPr>
      <w:b w:val="false"/>
      <w:sz w:val="24"/>
      <w:szCs w:val="24"/>
    </w:rPr>
  </w:style>
  <w:style w:type="paragraph" w:styleId="34" w:customStyle="1">
    <w:name w:val="3. Подпункт"/>
    <w:basedOn w:val="Heading3"/>
    <w:link w:val="31"/>
    <w:qFormat/>
    <w:rsid w:val="004f4134"/>
    <w:pPr>
      <w:keepNext w:val="false"/>
      <w:widowControl w:val="false"/>
      <w:numPr>
        <w:ilvl w:val="2"/>
        <w:numId w:val="2"/>
      </w:numPr>
      <w:tabs>
        <w:tab w:val="clear" w:pos="708"/>
        <w:tab w:val="left" w:pos="1620" w:leader="none"/>
      </w:tabs>
      <w:suppressAutoHyphens w:val="false"/>
      <w:spacing w:before="0" w:after="0"/>
      <w:jc w:val="both"/>
      <w:textAlignment w:val="baseline"/>
    </w:pPr>
    <w:rPr>
      <w:rFonts w:ascii="Calibri" w:hAnsi="Calibri" w:eastAsia="Calibri" w:cs="" w:asciiTheme="minorHAnsi" w:cstheme="minorBidi" w:eastAsiaTheme="minorHAnsi" w:hAnsiTheme="minorHAnsi"/>
      <w:bCs/>
      <w:sz w:val="24"/>
      <w:szCs w:val="24"/>
    </w:rPr>
  </w:style>
  <w:style w:type="paragraph" w:styleId="ConsNormal" w:customStyle="1">
    <w:name w:val="ConsNormal"/>
    <w:qFormat/>
    <w:rsid w:val="004f4134"/>
    <w:pPr>
      <w:widowControl/>
      <w:suppressAutoHyphens w:val="true"/>
      <w:bidi w:val="0"/>
      <w:spacing w:lineRule="auto" w:line="240"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7"/>
    <w:qFormat/>
    <w:rsid w:val="004f4134"/>
    <w:pPr>
      <w:spacing w:lineRule="auto" w:line="240"/>
    </w:pPr>
    <w:rPr>
      <w:rFonts w:ascii="Tahoma" w:hAnsi="Tahoma" w:eastAsia="Calibri" w:cs="Tahoma" w:eastAsiaTheme="minorHAnsi"/>
      <w:sz w:val="16"/>
      <w:szCs w:val="16"/>
      <w:lang w:eastAsia="en-US"/>
    </w:rPr>
  </w:style>
  <w:style w:type="paragraph" w:styleId="41" w:customStyle="1">
    <w:name w:val="4. Отчерк"/>
    <w:basedOn w:val="Normal"/>
    <w:link w:val="4"/>
    <w:qFormat/>
    <w:rsid w:val="004f4134"/>
    <w:pPr>
      <w:widowControl w:val="false"/>
      <w:numPr>
        <w:ilvl w:val="0"/>
        <w:numId w:val="3"/>
      </w:numPr>
      <w:spacing w:lineRule="auto" w:line="240"/>
    </w:pPr>
    <w:rPr>
      <w:rFonts w:ascii="Calibri" w:hAnsi="Calibri" w:eastAsia="Calibri" w:cs="" w:asciiTheme="minorHAnsi" w:cstheme="minorBidi" w:eastAsiaTheme="minorHAnsi" w:hAnsiTheme="minorHAnsi"/>
      <w:sz w:val="24"/>
      <w:szCs w:val="24"/>
      <w:lang w:val="x-none" w:eastAsia="x-none"/>
    </w:rPr>
  </w:style>
  <w:style w:type="paragraph" w:styleId="Annotationtext">
    <w:name w:val="annotation text"/>
    <w:basedOn w:val="Normal"/>
    <w:link w:val="Style8"/>
    <w:qFormat/>
    <w:rsid w:val="004f4134"/>
    <w:pPr>
      <w:spacing w:lineRule="auto" w:line="240"/>
    </w:pPr>
    <w:rPr>
      <w:rFonts w:ascii="Calibri" w:hAnsi="Calibri" w:eastAsia="Calibri" w:cs="" w:asciiTheme="minorHAnsi" w:cstheme="minorBidi" w:eastAsiaTheme="minorHAnsi" w:hAnsiTheme="minorHAnsi"/>
      <w:sz w:val="22"/>
      <w:szCs w:val="22"/>
      <w:lang w:eastAsia="en-US"/>
    </w:rPr>
  </w:style>
  <w:style w:type="paragraph" w:styleId="Annotationsubject">
    <w:name w:val="annotation subject"/>
    <w:basedOn w:val="Annotationtext"/>
    <w:next w:val="Annotationtext"/>
    <w:link w:val="Style9"/>
    <w:qFormat/>
    <w:rsid w:val="004f4134"/>
    <w:pPr/>
    <w:rPr>
      <w:b/>
      <w:bCs/>
    </w:rPr>
  </w:style>
  <w:style w:type="paragraph" w:styleId="Footer">
    <w:name w:val="Footer"/>
    <w:basedOn w:val="Normal"/>
    <w:link w:val="Style10"/>
    <w:uiPriority w:val="99"/>
    <w:rsid w:val="004f4134"/>
    <w:pPr>
      <w:tabs>
        <w:tab w:val="clear" w:pos="708"/>
        <w:tab w:val="center" w:pos="4677" w:leader="none"/>
        <w:tab w:val="right" w:pos="9355" w:leader="none"/>
      </w:tabs>
      <w:spacing w:lineRule="auto" w:line="240"/>
    </w:pPr>
    <w:rPr>
      <w:rFonts w:ascii="Calibri" w:hAnsi="Calibri" w:eastAsia="Calibri" w:cs="" w:asciiTheme="minorHAnsi" w:cstheme="minorBidi" w:eastAsiaTheme="minorHAnsi" w:hAnsiTheme="minorHAnsi"/>
      <w:lang w:eastAsia="en-US"/>
    </w:rPr>
  </w:style>
  <w:style w:type="paragraph" w:styleId="Revision">
    <w:name w:val="Revision"/>
    <w:uiPriority w:val="99"/>
    <w:semiHidden/>
    <w:qFormat/>
    <w:rsid w:val="004f4134"/>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paragraph" w:styleId="112" w:customStyle="1">
    <w:name w:val="Заголовок1"/>
    <w:basedOn w:val="Normal"/>
    <w:link w:val="Style11"/>
    <w:qFormat/>
    <w:rsid w:val="004f4134"/>
    <w:pPr>
      <w:widowControl w:val="false"/>
      <w:spacing w:lineRule="auto" w:line="240" w:before="0" w:after="120"/>
      <w:ind w:hanging="0"/>
      <w:jc w:val="center"/>
      <w:textAlignment w:val="baseline"/>
    </w:pPr>
    <w:rPr>
      <w:rFonts w:ascii="Calibri" w:hAnsi="Calibri" w:eastAsia="Calibri" w:cs="" w:asciiTheme="minorHAnsi" w:cstheme="minorBidi" w:eastAsiaTheme="minorHAnsi" w:hAnsiTheme="minorHAnsi"/>
      <w:b/>
      <w:sz w:val="22"/>
      <w:szCs w:val="22"/>
      <w:lang w:eastAsia="en-US"/>
    </w:rPr>
  </w:style>
  <w:style w:type="paragraph" w:styleId="BodyTextIndent">
    <w:name w:val="Body Text Indent"/>
    <w:basedOn w:val="Normal"/>
    <w:link w:val="Style12"/>
    <w:rsid w:val="004f4134"/>
    <w:pPr>
      <w:spacing w:before="0" w:after="120"/>
      <w:ind w:left="283" w:firstLine="567"/>
    </w:pPr>
    <w:rPr>
      <w:rFonts w:ascii="Calibri" w:hAnsi="Calibri" w:eastAsia="Calibri" w:cs="" w:asciiTheme="minorHAnsi" w:cstheme="minorBidi" w:eastAsiaTheme="minorHAnsi" w:hAnsiTheme="minorHAnsi"/>
      <w:lang w:eastAsia="en-US"/>
    </w:rPr>
  </w:style>
  <w:style w:type="paragraph" w:styleId="333" w:customStyle="1">
    <w:name w:val="Пункт 3.3.3"/>
    <w:basedOn w:val="Normal"/>
    <w:qFormat/>
    <w:rsid w:val="004f4134"/>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4f4134"/>
    <w:pPr>
      <w:widowControl w:val="false"/>
      <w:spacing w:lineRule="auto" w:line="240" w:before="120" w:after="120"/>
      <w:ind w:hanging="0"/>
      <w:textAlignment w:val="baseline"/>
    </w:pPr>
    <w:rPr>
      <w:b/>
      <w:bCs/>
      <w:sz w:val="24"/>
      <w:szCs w:val="24"/>
    </w:rPr>
  </w:style>
  <w:style w:type="paragraph" w:styleId="113" w:customStyle="1">
    <w:name w:val="Знак1"/>
    <w:basedOn w:val="Normal"/>
    <w:qFormat/>
    <w:rsid w:val="004f4134"/>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4f4134"/>
    <w:pPr>
      <w:keepNext w:val="true"/>
      <w:keepLines/>
      <w:numPr>
        <w:ilvl w:val="0"/>
        <w:numId w:val="6"/>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4f4134"/>
    <w:pPr>
      <w:numPr>
        <w:ilvl w:val="1"/>
        <w:numId w:val="6"/>
      </w:numPr>
    </w:pPr>
    <w:rPr/>
  </w:style>
  <w:style w:type="paragraph" w:styleId="-2" w:customStyle="1">
    <w:name w:val="Контракт-подпункт"/>
    <w:basedOn w:val="Normal"/>
    <w:qFormat/>
    <w:rsid w:val="004f4134"/>
    <w:pPr>
      <w:numPr>
        <w:ilvl w:val="2"/>
        <w:numId w:val="6"/>
      </w:numPr>
    </w:pPr>
    <w:rPr/>
  </w:style>
  <w:style w:type="paragraph" w:styleId="-3" w:customStyle="1">
    <w:name w:val="Контракт-подподпункт"/>
    <w:basedOn w:val="Normal"/>
    <w:qFormat/>
    <w:rsid w:val="004f4134"/>
    <w:pPr>
      <w:numPr>
        <w:ilvl w:val="3"/>
        <w:numId w:val="6"/>
      </w:numPr>
    </w:pPr>
    <w:rPr/>
  </w:style>
  <w:style w:type="paragraph" w:styleId="EndnoteText">
    <w:name w:val="Endnote Text"/>
    <w:basedOn w:val="Normal"/>
    <w:link w:val="Style14"/>
    <w:uiPriority w:val="99"/>
    <w:semiHidden/>
    <w:unhideWhenUsed/>
    <w:rsid w:val="004f4134"/>
    <w:pPr/>
    <w:rPr>
      <w:rFonts w:ascii="Calibri" w:hAnsi="Calibri" w:eastAsia="Calibri" w:cs="" w:asciiTheme="minorHAnsi" w:cstheme="minorBidi" w:eastAsiaTheme="minorHAnsi" w:hAnsiTheme="minorHAnsi"/>
      <w:sz w:val="22"/>
      <w:szCs w:val="22"/>
      <w:lang w:eastAsia="en-US"/>
    </w:rPr>
  </w:style>
  <w:style w:type="paragraph" w:styleId="ConsPlusNonformat" w:customStyle="1">
    <w:name w:val="ConsPlusNonformat"/>
    <w:qFormat/>
    <w:rsid w:val="004f4134"/>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PlainText">
    <w:name w:val="Plain Text"/>
    <w:basedOn w:val="Normal"/>
    <w:link w:val="Style16"/>
    <w:uiPriority w:val="99"/>
    <w:semiHidden/>
    <w:unhideWhenUsed/>
    <w:qFormat/>
    <w:rsid w:val="004f4134"/>
    <w:pPr>
      <w:spacing w:lineRule="auto" w:line="240"/>
      <w:ind w:hanging="0"/>
      <w:jc w:val="left"/>
    </w:pPr>
    <w:rPr>
      <w:rFonts w:ascii="Calibri" w:hAnsi="Calibri" w:eastAsia="Calibri" w:cs="" w:cstheme="minorBidi" w:eastAsiaTheme="minorHAnsi"/>
      <w:sz w:val="22"/>
      <w:szCs w:val="21"/>
      <w:lang w:eastAsia="en-US"/>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4f4134"/>
    <w:pPr>
      <w:spacing w:after="0"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www.cbr.ru/" TargetMode="External"/><Relationship Id="rId17" Type="http://schemas.openxmlformats.org/officeDocument/2006/relationships/hyperlink" Target="http://www.cbr.ru/" TargetMode="External"/><Relationship Id="rId18" Type="http://schemas.openxmlformats.org/officeDocument/2006/relationships/header" Target="header7.xml"/><Relationship Id="rId19" Type="http://schemas.openxmlformats.org/officeDocument/2006/relationships/footer" Target="footer6.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E319E-1CCA-47F9-9146-6753079AC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Application>AlterOffice/3.4.0.9$Linux_X86_64 LibreOffice_project/b8daf9e823b1a5463a2f48435ddc2e8696e7d4fc</Application>
  <AppVersion>15.0000</AppVersion>
  <Pages>44</Pages>
  <Words>16522</Words>
  <Characters>118458</Characters>
  <CharactersWithSpaces>134190</CharactersWithSpaces>
  <Paragraphs>940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2026-06-17T13:19:00Z</dcterms:created>
  <dc:creator>Печникова Анна Ивановна</dc:creator>
  <dc:description/>
  <dc:language>ru-RU</dc:language>
  <cp:lastModifiedBy>Оксана Александровна Ермошина</cp:lastModifiedBy>
  <dcterms:modified xsi:type="dcterms:W3CDTF">2026-08-18T08:29:04Z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