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ind w:left="6096" w:right="140" w:hanging="0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tbl>
      <w:tblPr>
        <w:tblW w:w="11199" w:type="dxa"/>
        <w:jc w:val="left"/>
        <w:tblInd w:w="-11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199"/>
      </w:tblGrid>
      <w:tr>
        <w:trPr/>
        <w:tc>
          <w:tcPr>
            <w:tcW w:w="11199" w:type="dxa"/>
            <w:tcBorders/>
            <w:vAlign w:val="bottom"/>
          </w:tcPr>
          <w:p>
            <w:pPr>
              <w:pStyle w:val="Normal"/>
              <w:widowControl w:val="false"/>
              <w:spacing w:before="0" w:after="120"/>
              <w:ind w:left="5988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директора филиала – </w:t>
            </w:r>
          </w:p>
          <w:p>
            <w:pPr>
              <w:pStyle w:val="Normal"/>
              <w:widowControl w:val="false"/>
              <w:spacing w:before="0" w:after="120"/>
              <w:ind w:left="5988" w:hanging="0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 xml:space="preserve">Главный инженер </w:t>
            </w:r>
            <w:r>
              <w:rPr>
                <w:sz w:val="28"/>
                <w:szCs w:val="28"/>
                <w:lang w:eastAsia="en-US"/>
              </w:rPr>
              <w:t>Воткинского филиала</w:t>
            </w:r>
          </w:p>
          <w:p>
            <w:pPr>
              <w:pStyle w:val="Normal"/>
              <w:widowControl w:val="false"/>
              <w:ind w:left="5988" w:hang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АО «Гидроремонт-ВКК» в г. Чайковский </w:t>
            </w:r>
          </w:p>
        </w:tc>
      </w:tr>
      <w:tr>
        <w:trPr>
          <w:trHeight w:val="454" w:hRule="atLeast"/>
        </w:trPr>
        <w:tc>
          <w:tcPr>
            <w:tcW w:w="11199" w:type="dxa"/>
            <w:tcBorders/>
            <w:vAlign w:val="bottom"/>
          </w:tcPr>
          <w:p>
            <w:pPr>
              <w:pStyle w:val="Normal"/>
              <w:widowControl w:val="false"/>
              <w:ind w:left="5988" w:hang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 Э.В. Сальников</w:t>
            </w:r>
          </w:p>
        </w:tc>
      </w:tr>
      <w:tr>
        <w:trPr>
          <w:trHeight w:val="454" w:hRule="atLeast"/>
        </w:trPr>
        <w:tc>
          <w:tcPr>
            <w:tcW w:w="1119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10247" w:leader="none"/>
              </w:tabs>
              <w:ind w:left="5988" w:hang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«»  202</w:t>
            </w:r>
            <w:r>
              <w:rPr>
                <w:sz w:val="28"/>
                <w:szCs w:val="28"/>
                <w:lang w:val="en-US"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>
      <w:pPr>
        <w:pStyle w:val="Normal"/>
        <w:spacing w:lineRule="atLeast" w:line="26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ТЕХНИЧЕСКИЕ ТРЕБОВАНИЯ</w:t>
      </w:r>
    </w:p>
    <w:p>
      <w:pPr>
        <w:pStyle w:val="Normal"/>
        <w:spacing w:lineRule="auto" w:line="276"/>
        <w:ind w:left="360" w:hanging="36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ОКПД 2: 43.99.90.190 В</w:t>
      </w:r>
      <w:bookmarkStart w:id="0" w:name="_Hlk150871628"/>
      <w:bookmarkStart w:id="1" w:name="_Hlk130887269"/>
      <w:r>
        <w:rPr>
          <w:b/>
          <w:color w:val="000000"/>
          <w:sz w:val="28"/>
          <w:szCs w:val="28"/>
        </w:rPr>
        <w:t>ыполн</w:t>
      </w:r>
      <w:r>
        <w:rPr>
          <w:b/>
          <w:sz w:val="28"/>
          <w:szCs w:val="28"/>
        </w:rPr>
        <w:t>ение работ по текущему ремонту</w:t>
      </w:r>
    </w:p>
    <w:p>
      <w:pPr>
        <w:pStyle w:val="Normal"/>
        <w:spacing w:lineRule="auto" w:line="276"/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пьезометров земляных плотин №1, №2 </w:t>
      </w:r>
    </w:p>
    <w:p>
      <w:pPr>
        <w:pStyle w:val="Normal"/>
        <w:spacing w:lineRule="auto" w:line="276"/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филиала ПАО «РусГидро» - «Воткинская ГЭС»</w:t>
      </w:r>
      <w:bookmarkEnd w:id="0"/>
      <w:bookmarkEnd w:id="1"/>
    </w:p>
    <w:p>
      <w:pPr>
        <w:pStyle w:val="Normal"/>
        <w:spacing w:lineRule="auto" w:line="276"/>
        <w:ind w:left="360" w:hanging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нужд Воткинского филиала</w:t>
      </w:r>
    </w:p>
    <w:p>
      <w:pPr>
        <w:pStyle w:val="Normal"/>
        <w:spacing w:lineRule="auto" w:line="276"/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Лот №0000-РЕМ ДОХ-2027-ГРВКК-ВотФ</w:t>
      </w:r>
    </w:p>
    <w:p>
      <w:pPr>
        <w:pStyle w:val="Normal"/>
        <w:spacing w:lineRule="auto" w:line="276"/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6"/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6"/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6"/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СОДЕРЖАНИЕ</w:t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  <w:id w:val="640261955"/>
      </w:sdtPr>
      <w:sdtContent>
        <w:p>
          <w:pPr>
            <w:pStyle w:val="TOCHeading"/>
            <w:rPr/>
          </w:pPr>
          <w:r>
            <w:rPr/>
          </w:r>
        </w:p>
        <w:p>
          <w:pPr>
            <w:pStyle w:val="TOC1"/>
            <w:tabs>
              <w:tab w:val="clear" w:pos="708"/>
              <w:tab w:val="right" w:pos="10065" w:leader="dot"/>
            </w:tabs>
            <w:rPr/>
          </w:pPr>
          <w:r>
            <w:fldChar w:fldCharType="begin"/>
          </w:r>
          <w:r>
            <w:rPr>
              <w:rStyle w:val="Style15"/>
            </w:rPr>
            <w:instrText xml:space="preserve"> TOC \f \o "1-9" \h</w:instrText>
          </w:r>
          <w:r>
            <w:rPr>
              <w:rStyle w:val="Style15"/>
            </w:rPr>
            <w:fldChar w:fldCharType="separate"/>
          </w:r>
          <w:hyperlink w:anchor="__RefHeading___Toc14079_899752430">
            <w:r>
              <w:rPr>
                <w:rStyle w:val="Style15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9771"/>
              <w:tab w:val="right" w:pos="10065" w:leader="dot"/>
            </w:tabs>
            <w:rPr/>
          </w:pPr>
          <w:hyperlink w:anchor="__RefHeading___Toc14081_899752430">
            <w:r>
              <w:rPr>
                <w:rStyle w:val="Style15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9771"/>
              <w:tab w:val="right" w:pos="10065" w:leader="dot"/>
            </w:tabs>
            <w:rPr/>
          </w:pPr>
          <w:hyperlink w:anchor="__RefHeading___Toc14083_899752430">
            <w:r>
              <w:rPr>
                <w:rStyle w:val="Style15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9771"/>
              <w:tab w:val="right" w:pos="10065" w:leader="dot"/>
            </w:tabs>
            <w:rPr/>
          </w:pPr>
          <w:hyperlink w:anchor="__RefHeading___Toc14085_899752430">
            <w:r>
              <w:rPr>
                <w:rStyle w:val="Style15"/>
              </w:rPr>
              <w:t>1.3. Цель выполнения работ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065" w:leader="dot"/>
            </w:tabs>
            <w:rPr/>
          </w:pPr>
          <w:hyperlink w:anchor="__RefHeading___Toc14087_899752430">
            <w:r>
              <w:rPr>
                <w:rStyle w:val="Style15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4"/>
            <w:tabs>
              <w:tab w:val="clear" w:pos="9771"/>
              <w:tab w:val="right" w:pos="10065" w:leader="dot"/>
            </w:tabs>
            <w:rPr/>
          </w:pPr>
          <w:hyperlink w:anchor="__RefHeading___Toc14089_899752430">
            <w:r>
              <w:rPr>
                <w:rStyle w:val="Style15"/>
              </w:rPr>
              <w:t>1.4.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заказчиком/генподрядчиком на этапе исполнения договора)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065" w:leader="dot"/>
            </w:tabs>
            <w:rPr/>
          </w:pPr>
          <w:hyperlink w:anchor="__RefHeading___Toc14091_899752430">
            <w:r>
              <w:rPr>
                <w:rStyle w:val="Style15"/>
              </w:rPr>
              <w:t>2. Требования к продукции</w:t>
              <w:tab/>
            </w:r>
          </w:hyperlink>
          <w:r>
            <w:rPr/>
            <w:t>4</w:t>
          </w:r>
        </w:p>
        <w:p>
          <w:pPr>
            <w:pStyle w:val="TOC4"/>
            <w:tabs>
              <w:tab w:val="clear" w:pos="9771"/>
              <w:tab w:val="right" w:pos="10065" w:leader="dot"/>
            </w:tabs>
            <w:rPr/>
          </w:pPr>
          <w:hyperlink w:anchor="__RefHeading___Toc14093_899752430">
            <w:r>
              <w:rPr>
                <w:rStyle w:val="Style15"/>
              </w:rPr>
              <w:t>2.1. Требования к объемам и срокам выполнения работ</w:t>
              <w:tab/>
            </w:r>
          </w:hyperlink>
          <w:r>
            <w:rPr/>
            <w:t>4</w:t>
          </w:r>
        </w:p>
        <w:p>
          <w:pPr>
            <w:pStyle w:val="TOC3"/>
            <w:tabs>
              <w:tab w:val="clear" w:pos="1400"/>
              <w:tab w:val="clear" w:pos="9911"/>
              <w:tab w:val="right" w:pos="10065" w:leader="dot"/>
            </w:tabs>
            <w:rPr/>
          </w:pPr>
          <w:hyperlink w:anchor="__RefHeading___Toc14095_899752430">
            <w:r>
              <w:rPr>
                <w:rStyle w:val="Style15"/>
              </w:rPr>
              <w:t>2.1.1. Требования к видам и объемам работ</w:t>
              <w:tab/>
            </w:r>
          </w:hyperlink>
          <w:r>
            <w:rPr/>
            <w:t>4</w:t>
          </w:r>
        </w:p>
        <w:p>
          <w:pPr>
            <w:pStyle w:val="TOC1"/>
            <w:tabs>
              <w:tab w:val="clear" w:pos="708"/>
              <w:tab w:val="right" w:pos="10065" w:leader="dot"/>
            </w:tabs>
            <w:rPr/>
          </w:pPr>
          <w:hyperlink w:anchor="__RefHeading___Toc14097_899752430">
            <w:r>
              <w:rPr>
                <w:rStyle w:val="Style15"/>
              </w:rPr>
              <w:t>Таблица 2. Перечень и объем выполняемых работ</w:t>
              <w:tab/>
            </w:r>
          </w:hyperlink>
          <w:r>
            <w:rPr/>
            <w:t>4</w:t>
          </w:r>
        </w:p>
        <w:p>
          <w:pPr>
            <w:pStyle w:val="TOC3"/>
            <w:tabs>
              <w:tab w:val="clear" w:pos="1400"/>
              <w:tab w:val="clear" w:pos="9911"/>
              <w:tab w:val="right" w:pos="10065" w:leader="dot"/>
            </w:tabs>
            <w:rPr/>
          </w:pPr>
          <w:hyperlink w:anchor="__RefHeading___Toc14099_899752430">
            <w:r>
              <w:rPr>
                <w:rStyle w:val="Style15"/>
              </w:rPr>
              <w:t>2.1.2 Требования к срокам выполнения работ</w:t>
              <w:tab/>
            </w:r>
          </w:hyperlink>
          <w:r>
            <w:rPr/>
            <w:t>4</w:t>
          </w:r>
        </w:p>
        <w:p>
          <w:pPr>
            <w:pStyle w:val="TOC1"/>
            <w:tabs>
              <w:tab w:val="clear" w:pos="708"/>
              <w:tab w:val="right" w:pos="10065" w:leader="dot"/>
            </w:tabs>
            <w:rPr/>
          </w:pPr>
          <w:hyperlink w:anchor="__RefHeading___Toc14101_899752430">
            <w:r>
              <w:rPr>
                <w:rStyle w:val="Style15"/>
              </w:rPr>
              <w:t>Таблица 3. Требования к срокам выполнения работ</w:t>
              <w:tab/>
              <w:t>4</w:t>
            </w:r>
          </w:hyperlink>
        </w:p>
        <w:p>
          <w:pPr>
            <w:pStyle w:val="TOC4"/>
            <w:tabs>
              <w:tab w:val="clear" w:pos="9771"/>
              <w:tab w:val="right" w:pos="10065" w:leader="dot"/>
            </w:tabs>
            <w:rPr/>
          </w:pPr>
          <w:hyperlink w:anchor="__RefHeading___Toc14103_899752430">
            <w:r>
              <w:rPr>
                <w:rStyle w:val="Style15"/>
              </w:rPr>
              <w:t>2.2. Требования к качеству работ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10065" w:leader="dot"/>
            </w:tabs>
            <w:rPr/>
          </w:pPr>
          <w:hyperlink w:anchor="__RefHeading___Toc14105_899752430">
            <w:r>
              <w:rPr>
                <w:rStyle w:val="Style15"/>
              </w:rPr>
              <w:t>Таблица 4. Требования к качеству работ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10065" w:leader="dot"/>
            </w:tabs>
            <w:rPr/>
          </w:pPr>
          <w:hyperlink w:anchor="__RefHeading___Toc14117_899752430">
            <w:r>
              <w:rPr>
                <w:rStyle w:val="Style15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/>
            <w:t>0</w:t>
          </w:r>
        </w:p>
        <w:p>
          <w:pPr>
            <w:pStyle w:val="TOC1"/>
            <w:tabs>
              <w:tab w:val="clear" w:pos="708"/>
              <w:tab w:val="right" w:pos="10065" w:leader="dot"/>
            </w:tabs>
            <w:rPr/>
          </w:pPr>
          <w:hyperlink w:anchor="__RefHeading___Toc14119_899752430">
            <w:r>
              <w:rPr>
                <w:rStyle w:val="Style15"/>
              </w:rPr>
              <w:t>4. Требования к документации по ценообразованию на этапе заключения (исполнения) договора</w:t>
              <w:tab/>
              <w:t>1</w:t>
            </w:r>
          </w:hyperlink>
          <w:r>
            <w:rPr/>
            <w:t>1</w:t>
          </w:r>
        </w:p>
        <w:p>
          <w:pPr>
            <w:pStyle w:val="TOC1"/>
            <w:tabs>
              <w:tab w:val="clear" w:pos="708"/>
              <w:tab w:val="right" w:pos="10065" w:leader="dot"/>
            </w:tabs>
            <w:rPr/>
          </w:pPr>
          <w:hyperlink w:anchor="__RefHeading___Toc14121_899752430">
            <w:r>
              <w:rPr>
                <w:rStyle w:val="Style15"/>
              </w:rPr>
              <w:t>5. Приложения</w:t>
              <w:tab/>
              <w:t>1</w:t>
            </w:r>
          </w:hyperlink>
          <w:r>
            <w:rPr/>
            <w:t>2</w:t>
          </w:r>
          <w:r>
            <w:rPr/>
            <w:fldChar w:fldCharType="end"/>
          </w:r>
        </w:p>
      </w:sdtContent>
    </w:sdt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spacing w:lineRule="atLeast" w:line="26"/>
        <w:ind w:left="360" w:hanging="360"/>
        <w:jc w:val="center"/>
        <w:rPr>
          <w:rFonts w:ascii="Calibri" w:hAnsi="Calibri" w:cs="Calibri" w:asciiTheme="minorHAnsi" w:cstheme="minorHAnsi" w:hAnsiTheme="minorHAnsi"/>
          <w:bCs/>
          <w:i/>
          <w:i/>
          <w:iCs/>
          <w:caps/>
        </w:rPr>
      </w:pPr>
      <w:r>
        <w:rPr>
          <w:rFonts w:cs="Calibri" w:cstheme="minorHAnsi" w:ascii="Calibri" w:hAnsi="Calibri"/>
          <w:bCs/>
          <w:i/>
          <w:iCs/>
          <w:caps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tLeast" w:line="26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rFonts w:eastAsia="Calibri"/>
          <w:b/>
          <w:caps/>
          <w:sz w:val="28"/>
          <w:szCs w:val="28"/>
        </w:rPr>
      </w:pPr>
      <w:bookmarkStart w:id="2" w:name="__RefHeading___Toc14079_899752430"/>
      <w:bookmarkStart w:id="3" w:name="_Toc54646395"/>
      <w:bookmarkStart w:id="4" w:name="_Toc131165877"/>
      <w:bookmarkStart w:id="5" w:name="_Toc51339692"/>
      <w:bookmarkEnd w:id="2"/>
      <w:r>
        <w:rPr>
          <w:rFonts w:eastAsia="Calibri"/>
          <w:b/>
          <w:sz w:val="28"/>
          <w:szCs w:val="28"/>
        </w:rPr>
        <w:t>1. Общие сведения</w:t>
      </w:r>
      <w:bookmarkEnd w:id="3"/>
      <w:bookmarkEnd w:id="4"/>
      <w:bookmarkEnd w:id="5"/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hanging="432"/>
        <w:outlineLvl w:val="3"/>
        <w:rPr/>
      </w:pPr>
      <w:bookmarkStart w:id="6" w:name="__RefHeading___Toc14081_899752430"/>
      <w:bookmarkStart w:id="7" w:name="_Toc131165878"/>
      <w:bookmarkStart w:id="8" w:name="_Toc54646396"/>
      <w:bookmarkStart w:id="9" w:name="_Toc46743505"/>
      <w:bookmarkEnd w:id="6"/>
      <w:r>
        <w:rPr>
          <w:rFonts w:eastAsia="Calibri"/>
          <w:b/>
          <w:bCs/>
        </w:rPr>
        <w:t>1.1. Обозначения и сокращения</w:t>
      </w:r>
      <w:bookmarkEnd w:id="7"/>
      <w:bookmarkEnd w:id="8"/>
      <w:bookmarkEnd w:id="9"/>
    </w:p>
    <w:p>
      <w:pPr>
        <w:pStyle w:val="Normal"/>
        <w:numPr>
          <w:ilvl w:val="0"/>
          <w:numId w:val="0"/>
        </w:numPr>
        <w:spacing w:before="120" w:after="60"/>
        <w:ind w:left="432" w:hanging="432"/>
        <w:outlineLvl w:val="3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/>
            </w:pPr>
            <w:r>
              <w:rPr/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Филиал ПАО «РусГидро»-«Воткинская ГЭС»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/>
            </w:pPr>
            <w:r>
              <w:rPr/>
              <w:t>Генподрядчик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Воткинский филиал АО «Гидроремонт-ВКК» в г. Чайковский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/>
            </w:pPr>
            <w:r>
              <w:rPr/>
              <w:t>Субподрядчик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spacing w:val="-4"/>
                <w:lang w:eastAsia="ar-SA"/>
              </w:rPr>
            </w:pPr>
            <w:r>
              <w:rPr>
                <w:bCs/>
                <w:spacing w:val="-4"/>
                <w:lang w:eastAsia="ar-SA"/>
              </w:rPr>
              <w:t>Организация, нанятая Генподрядчиком посредством заключения договора, для выполнения обязательств Генподрядчика по Договору подряда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bCs/>
                <w:i/>
                <w:i/>
                <w:iCs/>
                <w:sz w:val="28"/>
                <w:szCs w:val="28"/>
                <w:shd w:fill="FFFF99" w:val="clear"/>
              </w:rPr>
            </w:pPr>
            <w:r>
              <w:rPr/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8"/>
                <w:szCs w:val="28"/>
                <w:shd w:fill="FFFF99" w:val="clear"/>
              </w:rPr>
            </w:pPr>
            <w:r>
              <w:rPr>
                <w:bCs/>
                <w:lang w:eastAsia="ar-SA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/>
            </w:pPr>
            <w:r>
              <w:rPr/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Проект производства работ</w:t>
            </w:r>
          </w:p>
        </w:tc>
      </w:tr>
    </w:tbl>
    <w:p>
      <w:pPr>
        <w:pStyle w:val="Normal"/>
        <w:spacing w:lineRule="atLeast" w:line="26"/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before="120" w:after="60"/>
        <w:ind w:left="425" w:hanging="431"/>
        <w:outlineLvl w:val="3"/>
        <w:rPr>
          <w:rFonts w:eastAsia="Calibri"/>
          <w:b/>
          <w:bCs/>
        </w:rPr>
      </w:pPr>
      <w:bookmarkStart w:id="10" w:name="__RefHeading___Toc14083_899752430"/>
      <w:bookmarkStart w:id="11" w:name="_Toc131165879"/>
      <w:bookmarkEnd w:id="10"/>
      <w:r>
        <w:rPr>
          <w:rFonts w:eastAsia="Calibri"/>
          <w:b/>
          <w:bCs/>
        </w:rPr>
        <w:t>1.2. Наименование закупаемой продукции</w:t>
      </w:r>
      <w:bookmarkEnd w:id="11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highlight w:val="none"/>
          <w:shd w:fill="auto" w:val="clear"/>
        </w:rPr>
      </w:pPr>
      <w:r>
        <w:rPr>
          <w:rFonts w:eastAsia="Calibri"/>
          <w:bCs/>
          <w:color w:val="000000"/>
          <w:shd w:fill="auto" w:val="clear"/>
        </w:rPr>
        <w:t>ОКПД 2: 43.99.90.190 Выполнение работ по текущему ремонту пьезометров земляных плотин №1, №2 филиала ПАО «РусГидро» - «Воткинская ГЭС» для нужд Воткинского филиала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431" w:hanging="431"/>
        <w:outlineLvl w:val="3"/>
        <w:rPr>
          <w:rFonts w:eastAsia="Calibri"/>
          <w:b/>
          <w:bCs/>
        </w:rPr>
      </w:pPr>
      <w:r>
        <w:rPr>
          <w:rFonts w:eastAsia="Calibri"/>
          <w:b/>
          <w:bCs/>
        </w:rPr>
      </w:r>
    </w:p>
    <w:p>
      <w:pPr>
        <w:pStyle w:val="Normal"/>
        <w:numPr>
          <w:ilvl w:val="0"/>
          <w:numId w:val="0"/>
        </w:numPr>
        <w:spacing w:before="120" w:after="60"/>
        <w:ind w:left="431" w:hanging="431"/>
        <w:outlineLvl w:val="3"/>
        <w:rPr>
          <w:rFonts w:eastAsia="Calibri"/>
          <w:b/>
          <w:bCs/>
        </w:rPr>
      </w:pPr>
      <w:bookmarkStart w:id="12" w:name="__RefHeading___Toc14085_899752430"/>
      <w:bookmarkStart w:id="13" w:name="_Toc131165880"/>
      <w:bookmarkStart w:id="14" w:name="_Toc75446569"/>
      <w:bookmarkStart w:id="15" w:name="_Toc46743507"/>
      <w:bookmarkEnd w:id="12"/>
      <w:r>
        <w:rPr>
          <w:rFonts w:eastAsia="Calibri"/>
          <w:b/>
          <w:bCs/>
        </w:rPr>
        <w:t xml:space="preserve">1.3. Цель </w:t>
      </w:r>
      <w:bookmarkEnd w:id="13"/>
      <w:bookmarkEnd w:id="14"/>
      <w:bookmarkEnd w:id="15"/>
      <w:r>
        <w:rPr>
          <w:rFonts w:eastAsia="Calibri"/>
          <w:b/>
          <w:bCs/>
        </w:rPr>
        <w:t>выполнения работ</w:t>
      </w:r>
    </w:p>
    <w:p>
      <w:pPr>
        <w:pStyle w:val="NormalWeb"/>
        <w:spacing w:beforeAutospacing="0" w:before="0" w:afterAutospacing="0" w:after="0"/>
        <w:ind w:right="-113" w:hanging="0"/>
        <w:jc w:val="both"/>
        <w:rPr/>
      </w:pPr>
      <w:r>
        <w:rPr/>
        <w:t>Исполнение обязательств по договору подряда №4-РЕМ-2023-ВотГЭС от 31.10.2023г. на выполнение работ по капитальному и текущему ремонту оборудования, зданий, сооружений</w:t>
      </w:r>
      <w:r>
        <w:rPr>
          <w:rFonts w:eastAsia="Calibri"/>
        </w:rPr>
        <w:t xml:space="preserve"> филиала ПАО «РусГидро»-«Воткинская ГЭС»</w:t>
      </w:r>
      <w:r>
        <w:rPr/>
        <w:t xml:space="preserve">, </w:t>
      </w:r>
      <w:r>
        <w:rPr>
          <w:rFonts w:eastAsia="Calibri"/>
          <w:bCs/>
          <w:shd w:fill="FFFFFF" w:val="clear"/>
        </w:rPr>
        <w:t>заключенному между филиалом ПАО «РусГидро»-«Воткинская ГЭС» и Воткинским филиалом АО «Гидроремонт-ВКК» в г. Чайковский</w:t>
      </w:r>
      <w:r>
        <w:rPr>
          <w:rFonts w:eastAsia="Calibri"/>
          <w:shd w:fill="FFFFFF" w:val="clear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/>
      </w:r>
    </w:p>
    <w:p>
      <w:pPr>
        <w:pStyle w:val="Style20"/>
        <w:numPr>
          <w:ilvl w:val="0"/>
          <w:numId w:val="0"/>
        </w:numPr>
        <w:ind w:left="0" w:hanging="0"/>
        <w:jc w:val="left"/>
        <w:outlineLvl w:val="0"/>
        <w:rPr/>
      </w:pPr>
      <w:bookmarkStart w:id="16" w:name="__RefHeading___Toc14087_899752430"/>
      <w:bookmarkStart w:id="17" w:name="_Toc131165881"/>
      <w:bookmarkEnd w:id="16"/>
      <w:r>
        <w:rPr/>
        <w:t>Таблица 1. Перечень объектов заказчика</w:t>
      </w:r>
      <w:bookmarkEnd w:id="17"/>
    </w:p>
    <w:tbl>
      <w:tblPr>
        <w:tblW w:w="977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07"/>
        <w:gridCol w:w="2209"/>
        <w:gridCol w:w="2666"/>
        <w:gridCol w:w="2482"/>
        <w:gridCol w:w="1615"/>
      </w:tblGrid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/>
              <w:t>п/п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/>
              <w:t>Наименование объекта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/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/>
              <w:t xml:space="preserve">Расположение объекта </w:t>
              <w:br/>
              <w:t>(место производства работ)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/>
              <w:t>Наименование основного средства (в отношении которого выполняются работы)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/>
              <w:t>Примечания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b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b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170" w:right="-57" w:hanging="363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rFonts w:eastAsia="Calibri"/>
                <w:iCs/>
              </w:rPr>
              <w:t>Филиал ПАО «РусГидро - Воткинская ГЭС»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iCs/>
              </w:rPr>
              <w:t>Российская Федерация, Пермский край,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iCs/>
              </w:rPr>
              <w:t>г. Чайковский,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/>
              <w:t xml:space="preserve">территория </w:t>
            </w:r>
            <w:r>
              <w:rPr>
                <w:iCs/>
              </w:rPr>
              <w:t>филиала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iCs/>
              </w:rPr>
              <w:t>ПАО «РусГидро - Воткинская ГЭС»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rFonts w:eastAsia="Calibri"/>
              </w:rPr>
              <w:t>Земляная плотина №2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iCs/>
              </w:rPr>
              <w:t>-</w:t>
            </w:r>
          </w:p>
        </w:tc>
      </w:tr>
      <w:tr>
        <w:trPr>
          <w:trHeight w:val="881" w:hRule="atLeast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170" w:right="-57" w:hanging="363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rFonts w:eastAsia="Calibri"/>
                <w:iCs/>
              </w:rPr>
              <w:t>Филиал ПАО «РусГидро - Воткинская ГЭС»</w:t>
            </w:r>
          </w:p>
        </w:tc>
        <w:tc>
          <w:tcPr>
            <w:tcW w:w="2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iCs/>
              </w:rPr>
              <w:t>Российская Федерация, Пермский край,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iCs/>
              </w:rPr>
              <w:t>г. Чайковский,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/>
              <w:t xml:space="preserve">территория </w:t>
            </w:r>
            <w:r>
              <w:rPr>
                <w:iCs/>
              </w:rPr>
              <w:t>филиала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iCs/>
              </w:rPr>
              <w:t>ПАО «РусГидро - Воткинская ГЭС»</w:t>
            </w:r>
          </w:p>
        </w:tc>
        <w:tc>
          <w:tcPr>
            <w:tcW w:w="2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rFonts w:eastAsia="Calibri"/>
              </w:rPr>
              <w:t>Земляная плотина №1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iCs/>
              </w:rPr>
              <w:t>-</w:t>
            </w:r>
          </w:p>
        </w:tc>
      </w:tr>
    </w:tbl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pacing w:before="0" w:after="0"/>
        <w:ind w:left="0" w:hanging="0"/>
        <w:contextualSpacing w:val="false"/>
        <w:rPr>
          <w:rStyle w:val="Style13"/>
          <w:b w:val="false"/>
          <w:iCs/>
        </w:rPr>
      </w:pPr>
      <w:r>
        <w:rPr>
          <w:b w:val="false"/>
          <w:iCs/>
        </w:rPr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hanging="432"/>
        <w:jc w:val="both"/>
        <w:outlineLvl w:val="3"/>
        <w:rPr>
          <w:rFonts w:eastAsia="Calibri"/>
          <w:b/>
          <w:bCs/>
          <w:spacing w:val="-4"/>
        </w:rPr>
      </w:pPr>
      <w:r>
        <w:rPr>
          <w:rFonts w:eastAsia="Calibri"/>
          <w:b/>
          <w:bCs/>
          <w:spacing w:val="-4"/>
        </w:rPr>
      </w:r>
    </w:p>
    <w:p>
      <w:pPr>
        <w:pStyle w:val="Normal"/>
        <w:ind w:right="-1" w:firstLine="426"/>
        <w:jc w:val="both"/>
        <w:rPr/>
      </w:pPr>
      <w:r>
        <w:rPr/>
      </w:r>
    </w:p>
    <w:p>
      <w:pPr>
        <w:pStyle w:val="Heading1"/>
        <w:numPr>
          <w:ilvl w:val="0"/>
          <w:numId w:val="0"/>
        </w:numPr>
        <w:ind w:left="360" w:hanging="0"/>
        <w:jc w:val="center"/>
        <w:rPr>
          <w:b/>
        </w:rPr>
      </w:pPr>
      <w:r>
        <w:rPr>
          <w:b/>
        </w:rPr>
      </w:r>
    </w:p>
    <w:p>
      <w:pPr>
        <w:pStyle w:val="Heading1"/>
        <w:numPr>
          <w:ilvl w:val="0"/>
          <w:numId w:val="0"/>
        </w:numPr>
        <w:ind w:left="360" w:hanging="0"/>
        <w:jc w:val="center"/>
        <w:rPr>
          <w:b/>
        </w:rPr>
      </w:pPr>
      <w:bookmarkStart w:id="18" w:name="__RefHeading___Toc14091_899752430"/>
      <w:bookmarkEnd w:id="18"/>
      <w:r>
        <w:rPr>
          <w:b/>
        </w:rPr>
        <w:t xml:space="preserve">2. </w:t>
      </w:r>
      <w:bookmarkStart w:id="19" w:name="_Toc131165883"/>
      <w:bookmarkStart w:id="20" w:name="_Toc51921656"/>
      <w:r>
        <w:rPr>
          <w:b/>
        </w:rPr>
        <w:t>Требования к продукции</w:t>
      </w:r>
      <w:bookmarkEnd w:id="19"/>
      <w:bookmarkEnd w:id="20"/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hanging="432"/>
        <w:outlineLvl w:val="3"/>
        <w:rPr>
          <w:rFonts w:eastAsia="Calibri"/>
          <w:b/>
          <w:bCs/>
        </w:rPr>
      </w:pPr>
      <w:bookmarkStart w:id="21" w:name="__RefHeading___Toc14093_899752430"/>
      <w:bookmarkStart w:id="22" w:name="_Toc131165884"/>
      <w:bookmarkEnd w:id="21"/>
      <w:r>
        <w:rPr>
          <w:rFonts w:eastAsia="Calibri"/>
          <w:b/>
          <w:bCs/>
        </w:rPr>
        <w:t xml:space="preserve">2.1. </w:t>
      </w:r>
      <w:bookmarkStart w:id="23" w:name="_Toc54646404"/>
      <w:r>
        <w:rPr>
          <w:rFonts w:eastAsia="Calibri"/>
          <w:b/>
          <w:bCs/>
        </w:rPr>
        <w:t>Требования к объемам и срокам выполнения работ</w:t>
      </w:r>
      <w:bookmarkEnd w:id="22"/>
      <w:bookmarkEnd w:id="23"/>
    </w:p>
    <w:p>
      <w:pPr>
        <w:pStyle w:val="Normal"/>
        <w:keepNext w:val="true"/>
        <w:numPr>
          <w:ilvl w:val="0"/>
          <w:numId w:val="0"/>
        </w:numPr>
        <w:spacing w:before="120" w:after="60"/>
        <w:ind w:left="1224" w:hanging="504"/>
        <w:outlineLvl w:val="2"/>
        <w:rPr>
          <w:rFonts w:eastAsia="Calibri"/>
          <w:b/>
        </w:rPr>
      </w:pPr>
      <w:bookmarkStart w:id="24" w:name="__RefHeading___Toc14095_899752430"/>
      <w:bookmarkStart w:id="25" w:name="_Toc131165885"/>
      <w:bookmarkStart w:id="26" w:name="_Toc54646405"/>
      <w:bookmarkEnd w:id="24"/>
      <w:r>
        <w:rPr>
          <w:rFonts w:eastAsia="Calibri"/>
          <w:b/>
        </w:rPr>
        <w:t>2.1.1. Требования к видам и объемам работ</w:t>
      </w:r>
      <w:bookmarkEnd w:id="25"/>
      <w:bookmarkEnd w:id="26"/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</w:rPr>
      </w:pPr>
      <w:bookmarkStart w:id="27" w:name="__RefHeading___Toc14097_899752430"/>
      <w:bookmarkStart w:id="28" w:name="_Toc131165886"/>
      <w:bookmarkStart w:id="29" w:name="_Toc54646406"/>
      <w:bookmarkStart w:id="30" w:name="_Toc51339695"/>
      <w:bookmarkEnd w:id="27"/>
      <w:r>
        <w:rPr>
          <w:rFonts w:eastAsia="Calibri"/>
          <w:b/>
        </w:rPr>
        <w:t xml:space="preserve">Таблица 2. Перечень </w:t>
      </w:r>
      <w:bookmarkEnd w:id="30"/>
      <w:r>
        <w:rPr>
          <w:rFonts w:eastAsia="Calibri"/>
          <w:b/>
        </w:rPr>
        <w:t>и объем выполняемых работ</w:t>
      </w:r>
      <w:bookmarkEnd w:id="28"/>
      <w:bookmarkEnd w:id="29"/>
    </w:p>
    <w:tbl>
      <w:tblPr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50"/>
        <w:gridCol w:w="5245"/>
        <w:gridCol w:w="1995"/>
        <w:gridCol w:w="1832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Наименование работ / этапа работ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Количество</w:t>
            </w:r>
          </w:p>
        </w:tc>
      </w:tr>
      <w:tr>
        <w:trPr>
          <w:trHeight w:val="93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>
          <w:trHeight w:val="961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/>
                <w:bCs/>
                <w:color w:val="000000"/>
                <w:shd w:fill="auto" w:val="clear"/>
              </w:rPr>
              <w:t>Выполнение работ по текущему ремонту пьезометров земляной плотины №2 филиала ПАО «РусГидро» - «Воткинская ГЭС» для нужд Воткинского филиала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iCs/>
              </w:rPr>
              <w:t xml:space="preserve">В соответствии с Приложением №1 </w:t>
            </w:r>
            <w:r>
              <w:rPr>
                <w:rFonts w:eastAsia="Calibri"/>
                <w:iCs/>
              </w:rPr>
              <w:t>«</w:t>
            </w:r>
            <w:r>
              <w:rPr>
                <w:rFonts w:eastAsia="Calibri"/>
                <w:iCs/>
                <w:shd w:fill="auto" w:val="clear"/>
              </w:rPr>
              <w:t>В</w:t>
            </w:r>
            <w:r>
              <w:rPr>
                <w:iCs/>
                <w:shd w:fill="auto" w:val="clear"/>
              </w:rPr>
              <w:t>едомость</w:t>
            </w:r>
            <w:r>
              <w:rPr>
                <w:iCs/>
              </w:rPr>
              <w:t xml:space="preserve"> объемов работ</w:t>
            </w:r>
            <w:r>
              <w:rPr>
                <w:rFonts w:eastAsia="Calibri"/>
                <w:iCs/>
              </w:rPr>
              <w:t>»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rFonts w:eastAsia="Calibri"/>
                <w:iCs/>
              </w:rPr>
              <w:t>№</w:t>
            </w:r>
            <w:r>
              <w:rPr>
                <w:rFonts w:eastAsia="Calibri"/>
                <w:iCs/>
              </w:rPr>
              <w:t>6.25-2025</w:t>
            </w:r>
          </w:p>
        </w:tc>
      </w:tr>
      <w:tr>
        <w:trPr>
          <w:trHeight w:val="961" w:hRule="atLeast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before="0"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/>
                <w:bCs/>
                <w:color w:val="000000"/>
                <w:shd w:fill="auto" w:val="clear"/>
              </w:rPr>
              <w:t>Выполнение работ по текущему ремонту пьезометров земляной плотины №1 филиала ПАО «РусГидро» - «Воткинская ГЭС» для нужд Воткинского филиала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iCs/>
              </w:rPr>
              <w:t xml:space="preserve">В соответствии с Приложением №2 </w:t>
            </w:r>
            <w:r>
              <w:rPr>
                <w:rFonts w:eastAsia="Calibri"/>
                <w:iCs/>
              </w:rPr>
              <w:t>«</w:t>
            </w:r>
            <w:r>
              <w:rPr>
                <w:rFonts w:eastAsia="Calibri"/>
                <w:iCs/>
                <w:shd w:fill="auto" w:val="clear"/>
              </w:rPr>
              <w:t>В</w:t>
            </w:r>
            <w:r>
              <w:rPr>
                <w:iCs/>
                <w:shd w:fill="auto" w:val="clear"/>
              </w:rPr>
              <w:t>едомость</w:t>
            </w:r>
            <w:r>
              <w:rPr>
                <w:iCs/>
              </w:rPr>
              <w:t xml:space="preserve"> объемов работ</w:t>
            </w:r>
            <w:r>
              <w:rPr>
                <w:rFonts w:eastAsia="Calibri"/>
                <w:iCs/>
              </w:rPr>
              <w:t>»</w:t>
            </w:r>
          </w:p>
          <w:p>
            <w:pPr>
              <w:pStyle w:val="Normal"/>
              <w:widowControl w:val="false"/>
              <w:ind w:left="-57" w:right="-57" w:hanging="0"/>
              <w:jc w:val="center"/>
              <w:rPr/>
            </w:pPr>
            <w:r>
              <w:rPr>
                <w:rFonts w:eastAsia="Calibri"/>
                <w:iCs/>
              </w:rPr>
              <w:t>№</w:t>
            </w:r>
            <w:r>
              <w:rPr>
                <w:rFonts w:eastAsia="Calibri"/>
                <w:iCs/>
              </w:rPr>
              <w:t>6.24-2025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120" w:after="60"/>
        <w:ind w:left="1224" w:hanging="504"/>
        <w:outlineLvl w:val="2"/>
        <w:rPr>
          <w:rFonts w:eastAsia="Calibri"/>
          <w:b/>
        </w:rPr>
      </w:pPr>
      <w:r>
        <w:rPr>
          <w:rFonts w:eastAsia="Calibri"/>
          <w:b/>
        </w:rPr>
      </w:r>
      <w:bookmarkStart w:id="31" w:name="__RefHeading___Toc14099_899752430"/>
      <w:bookmarkStart w:id="32" w:name="__RefHeading___Toc14099_899752430"/>
      <w:bookmarkEnd w:id="32"/>
    </w:p>
    <w:p>
      <w:pPr>
        <w:pStyle w:val="Normal"/>
        <w:keepNext w:val="true"/>
        <w:numPr>
          <w:ilvl w:val="0"/>
          <w:numId w:val="0"/>
        </w:numPr>
        <w:spacing w:before="120" w:after="60"/>
        <w:ind w:left="1224" w:hanging="504"/>
        <w:outlineLvl w:val="2"/>
        <w:rPr>
          <w:rFonts w:eastAsia="Calibri"/>
          <w:b/>
        </w:rPr>
      </w:pPr>
      <w:r>
        <w:rPr>
          <w:rFonts w:eastAsia="Calibri"/>
          <w:b/>
        </w:rPr>
        <w:t>2.1.2 Требования к срокам выполнения работ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</w:rPr>
      </w:pPr>
      <w:bookmarkStart w:id="33" w:name="__RefHeading___Toc14101_899752430"/>
      <w:bookmarkStart w:id="34" w:name="_Toc54646408"/>
      <w:bookmarkStart w:id="35" w:name="_Toc131165888"/>
      <w:bookmarkStart w:id="36" w:name="_Toc50125127"/>
      <w:bookmarkStart w:id="37" w:name="_Toc51339697"/>
      <w:bookmarkEnd w:id="33"/>
      <w:r>
        <w:rPr>
          <w:rFonts w:eastAsia="Calibri"/>
          <w:b/>
        </w:rPr>
        <w:t xml:space="preserve">Таблица 3. </w:t>
      </w:r>
      <w:bookmarkStart w:id="38" w:name="_Hlk50465284"/>
      <w:r>
        <w:rPr>
          <w:rFonts w:eastAsia="Calibri"/>
          <w:b/>
        </w:rPr>
        <w:t xml:space="preserve">Требования к срокам </w:t>
      </w:r>
      <w:bookmarkEnd w:id="36"/>
      <w:bookmarkEnd w:id="37"/>
      <w:bookmarkEnd w:id="38"/>
      <w:r>
        <w:rPr>
          <w:rFonts w:eastAsia="Calibri"/>
          <w:b/>
        </w:rPr>
        <w:t>выполнения работ</w:t>
      </w:r>
      <w:bookmarkEnd w:id="34"/>
      <w:bookmarkEnd w:id="35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6"/>
        <w:gridCol w:w="5279"/>
        <w:gridCol w:w="1750"/>
        <w:gridCol w:w="2042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работ/ этапа работ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выполнения работ/ этапа работ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>
          <w:trHeight w:val="537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/>
                <w:bCs/>
                <w:color w:val="000000"/>
                <w:shd w:fill="auto" w:val="clear"/>
              </w:rPr>
              <w:t>Выполнение работ по текущему ремонту пьезометров земляной плотины №2 филиала ПАО «РусГидро» - «Воткинская ГЭС» для нужд Воткинского филиала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</w:rPr>
              <w:t>С даты заключения договора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hd w:fill="auto" w:val="clear"/>
              </w:rPr>
              <w:t>Не позднее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18.06.2027г.*</w:t>
            </w:r>
          </w:p>
        </w:tc>
      </w:tr>
      <w:tr>
        <w:trPr>
          <w:trHeight w:val="537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/>
                <w:bCs/>
                <w:color w:val="000000"/>
                <w:shd w:fill="auto" w:val="clear"/>
              </w:rPr>
              <w:t>Выполнение работ по текущему ремонту пьезометров земляной плотины №1 филиала ПАО «РусГидро» - «Воткинская ГЭС» для нужд Воткинского филиала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</w:rPr>
              <w:t>С даты заключения договора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hd w:fill="auto" w:val="clear"/>
              </w:rPr>
              <w:t>Не позднее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20.08.2027г.*</w:t>
            </w:r>
          </w:p>
        </w:tc>
      </w:tr>
    </w:tbl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  <w:t>*срок окончания выполнения работ определен в соответствии со сроками, установленными в договоре подряда №4-РЕМ-2023-ВотГЭС от 31.10.2023г. на выполнение работ по капитальному и текущему ремонту оборудования, зданий, сооружений филиала ПАО «РусГидро» - «Воткинская ГЭС</w:t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1134" w:right="707" w:gutter="284" w:header="0" w:top="709" w:footer="131" w:bottom="709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spacing w:before="0" w:after="60"/>
        <w:ind w:left="431" w:hanging="431"/>
        <w:outlineLvl w:val="3"/>
        <w:rPr>
          <w:rFonts w:eastAsia="Calibri"/>
          <w:b/>
          <w:bCs/>
        </w:rPr>
      </w:pPr>
      <w:bookmarkStart w:id="39" w:name="__RefHeading___Toc14103_899752430"/>
      <w:bookmarkStart w:id="40" w:name="_Toc54646410"/>
      <w:bookmarkStart w:id="41" w:name="_Toc131165889"/>
      <w:bookmarkEnd w:id="39"/>
      <w:r>
        <w:rPr>
          <w:rFonts w:eastAsia="Calibri"/>
          <w:b/>
          <w:bCs/>
        </w:rPr>
        <w:t>2.2. Требования к качеству работ</w:t>
      </w:r>
      <w:bookmarkEnd w:id="41"/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</w:rPr>
      </w:pPr>
      <w:bookmarkStart w:id="42" w:name="__RefHeading___Toc14105_899752430"/>
      <w:bookmarkStart w:id="43" w:name="_Toc131165890"/>
      <w:bookmarkStart w:id="44" w:name="_Toc51339698"/>
      <w:bookmarkEnd w:id="42"/>
      <w:r>
        <w:rPr>
          <w:rFonts w:eastAsia="Calibri"/>
          <w:b/>
        </w:rPr>
        <w:t xml:space="preserve">Таблица 4. Требования к </w:t>
      </w:r>
      <w:bookmarkEnd w:id="44"/>
      <w:r>
        <w:rPr>
          <w:rFonts w:eastAsia="Calibri"/>
          <w:b/>
        </w:rPr>
        <w:t>качеству работ</w:t>
      </w:r>
      <w:bookmarkEnd w:id="40"/>
      <w:bookmarkEnd w:id="43"/>
    </w:p>
    <w:p>
      <w:pPr>
        <w:pStyle w:val="Normal"/>
        <w:snapToGrid w:val="false"/>
        <w:spacing w:before="0" w:after="120"/>
        <w:jc w:val="both"/>
        <w:rPr>
          <w:b/>
          <w:i/>
          <w:i/>
          <w:iCs/>
          <w:shd w:fill="FFFF99" w:val="clear"/>
        </w:rPr>
      </w:pPr>
      <w:r>
        <w:rPr>
          <w:b/>
          <w:bCs/>
        </w:rPr>
        <w:t xml:space="preserve">Наименование работ: </w:t>
      </w:r>
      <w:r>
        <w:rPr>
          <w:rFonts w:eastAsia="Calibri"/>
          <w:b/>
          <w:bCs/>
          <w:color w:val="000000"/>
          <w:shd w:fill="auto" w:val="clear"/>
        </w:rPr>
        <w:t>ОКПД 2: 43.99.90.190 Выполнение работ по текущему ремонту пьезометров земляных плотин №1, №2 филиала             ПАО «РусГидро» - «Воткинская ГЭС» для нужд Воткинского филиала</w:t>
      </w:r>
    </w:p>
    <w:tbl>
      <w:tblPr>
        <w:tblStyle w:val="15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56"/>
        <w:gridCol w:w="2914"/>
        <w:gridCol w:w="11550"/>
      </w:tblGrid>
      <w:tr>
        <w:trPr>
          <w:trHeight w:val="561" w:hRule="atLeast"/>
        </w:trPr>
        <w:tc>
          <w:tcPr>
            <w:tcW w:w="95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lang w:val="ru-RU" w:bidi="ar-SA"/>
              </w:rPr>
              <w:t>п/п</w:t>
            </w:r>
          </w:p>
        </w:tc>
        <w:tc>
          <w:tcPr>
            <w:tcW w:w="29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Наименование параметра</w:t>
            </w:r>
          </w:p>
        </w:tc>
        <w:tc>
          <w:tcPr>
            <w:tcW w:w="115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Требование заказчика</w:t>
            </w:r>
          </w:p>
        </w:tc>
      </w:tr>
      <w:tr>
        <w:trPr>
          <w:trHeight w:val="423" w:hRule="atLeast"/>
        </w:trPr>
        <w:tc>
          <w:tcPr>
            <w:tcW w:w="95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5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40" w:hRule="atLeast"/>
        </w:trPr>
        <w:tc>
          <w:tcPr>
            <w:tcW w:w="9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lang w:val="ru-RU" w:bidi="ar-SA"/>
              </w:rPr>
              <w:t>1</w:t>
            </w:r>
          </w:p>
        </w:tc>
        <w:tc>
          <w:tcPr>
            <w:tcW w:w="29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2</w:t>
            </w:r>
          </w:p>
        </w:tc>
        <w:tc>
          <w:tcPr>
            <w:tcW w:w="11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4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 xml:space="preserve">Требования к выполнению работ </w:t>
            </w:r>
          </w:p>
        </w:tc>
      </w:tr>
      <w:tr>
        <w:trPr>
          <w:trHeight w:val="340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</w:p>
        </w:tc>
        <w:tc>
          <w:tcPr>
            <w:tcW w:w="144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Общие требования к выполнению работ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65" w:leader="none"/>
              </w:tabs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>1. Работы выполнять</w:t>
            </w:r>
            <w:r>
              <w:rPr>
                <w:color w:val="000000"/>
                <w:kern w:val="0"/>
                <w:lang w:val="ru-RU" w:bidi="ar-SA"/>
              </w:rPr>
              <w:t xml:space="preserve"> в соответстви</w:t>
            </w:r>
            <w:r>
              <w:rPr>
                <w:color w:val="000000"/>
                <w:kern w:val="0"/>
                <w:shd w:fill="auto" w:val="clear"/>
                <w:lang w:val="ru-RU" w:bidi="ar-SA"/>
              </w:rPr>
              <w:t>и с</w:t>
            </w:r>
            <w:r>
              <w:rPr>
                <w:iCs/>
                <w:kern w:val="0"/>
                <w:shd w:fill="auto" w:val="clear"/>
                <w:lang w:val="ru-RU" w:bidi="ar-SA"/>
              </w:rPr>
              <w:t xml:space="preserve"> ведомостями объемов работ (Приложение №1, №</w:t>
            </w:r>
            <w:r>
              <w:rPr>
                <w:iCs/>
                <w:kern w:val="0"/>
                <w:lang w:val="ru-RU" w:bidi="ar-SA"/>
              </w:rPr>
              <w:t xml:space="preserve">2 к </w:t>
            </w:r>
            <w:r>
              <w:rPr>
                <w:rFonts w:eastAsia="Calibri"/>
                <w:kern w:val="0"/>
                <w:lang w:val="ru-RU" w:bidi="ar-SA"/>
              </w:rPr>
              <w:t>настоящим</w:t>
            </w:r>
            <w:r>
              <w:rPr>
                <w:iCs/>
                <w:kern w:val="0"/>
                <w:lang w:val="ru-RU" w:bidi="ar-SA"/>
              </w:rPr>
              <w:t xml:space="preserve"> ТТ).</w:t>
            </w:r>
          </w:p>
          <w:p>
            <w:pPr>
              <w:pStyle w:val="BodyTextIndent3"/>
              <w:widowControl w:val="false"/>
              <w:suppressAutoHyphens w:val="true"/>
              <w:spacing w:before="0" w:after="0"/>
              <w:ind w:left="0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2. До выполнения работ необходимо выполнить подготовительные мероприятия: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21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>2.1 Разработка и согласование с Заказчиком/Генподрядчиком проекта производства работ (ППР) не менее чем за 5 дней до момента начала выполнения работ.</w:t>
            </w:r>
          </w:p>
          <w:p>
            <w:pPr>
              <w:pStyle w:val="BodyTextIndent3"/>
              <w:widowControl w:val="false"/>
              <w:suppressAutoHyphens w:val="true"/>
              <w:spacing w:before="0" w:after="0"/>
              <w:ind w:left="214" w:hanging="0"/>
              <w:jc w:val="left"/>
              <w:rPr>
                <w:kern w:val="0"/>
                <w:lang w:val="ru-RU" w:bidi="ar-SA"/>
              </w:rPr>
            </w:pPr>
            <w:r>
              <w:rPr>
                <w:bCs/>
                <w:iCs/>
                <w:kern w:val="0"/>
                <w:sz w:val="24"/>
                <w:szCs w:val="24"/>
                <w:u w:val="single"/>
                <w:lang w:val="ru-RU" w:bidi="ar-SA"/>
              </w:rPr>
              <w:t>ППР на выполнение работ должен включать:</w:t>
            </w:r>
          </w:p>
          <w:p>
            <w:pPr>
              <w:pStyle w:val="BodyTextIndent3"/>
              <w:widowControl w:val="false"/>
              <w:numPr>
                <w:ilvl w:val="1"/>
                <w:numId w:val="2"/>
              </w:numPr>
              <w:tabs>
                <w:tab w:val="clear" w:pos="708"/>
                <w:tab w:val="left" w:pos="355" w:leader="none"/>
              </w:tabs>
              <w:suppressAutoHyphens w:val="true"/>
              <w:spacing w:before="0" w:after="0"/>
              <w:ind w:left="21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Календарный план производства работ по виду работ (устанавливается последовательность выполнения работ, а также указание производства совмещенных работ);</w:t>
            </w:r>
          </w:p>
          <w:p>
            <w:pPr>
              <w:pStyle w:val="BodyTextIndent3"/>
              <w:widowControl w:val="false"/>
              <w:numPr>
                <w:ilvl w:val="1"/>
                <w:numId w:val="2"/>
              </w:numPr>
              <w:tabs>
                <w:tab w:val="clear" w:pos="708"/>
                <w:tab w:val="left" w:pos="355" w:leader="none"/>
              </w:tabs>
              <w:suppressAutoHyphens w:val="true"/>
              <w:spacing w:before="0" w:after="0"/>
              <w:ind w:left="21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Технологические карты (схемы) на выполнение отдельных видов работ, содержащие схемы организации рабочих мест с указанием: </w:t>
            </w:r>
          </w:p>
          <w:p>
            <w:pPr>
              <w:pStyle w:val="BodyTextIndent3"/>
              <w:widowControl w:val="false"/>
              <w:suppressAutoHyphens w:val="true"/>
              <w:spacing w:before="0" w:after="0"/>
              <w:ind w:left="21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- требований по подготовке места работы и выполнению предшествующих работ, обеспечивающих необходимый фронт и безопасные условия выполнения работ,</w:t>
            </w:r>
          </w:p>
          <w:p>
            <w:pPr>
              <w:pStyle w:val="BodyTextIndent3"/>
              <w:widowControl w:val="false"/>
              <w:suppressAutoHyphens w:val="true"/>
              <w:spacing w:before="0" w:after="0"/>
              <w:ind w:left="21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- методов и последовательности выполнения работ, </w:t>
            </w:r>
          </w:p>
          <w:p>
            <w:pPr>
              <w:pStyle w:val="BodyTextIndent3"/>
              <w:widowControl w:val="false"/>
              <w:suppressAutoHyphens w:val="true"/>
              <w:spacing w:before="0" w:after="0"/>
              <w:ind w:left="21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- необходимых средств механизации и технологической оснастки, </w:t>
            </w:r>
          </w:p>
          <w:p>
            <w:pPr>
              <w:pStyle w:val="BodyTextIndent3"/>
              <w:widowControl w:val="false"/>
              <w:suppressAutoHyphens w:val="true"/>
              <w:spacing w:before="0" w:after="0"/>
              <w:ind w:left="21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- способов подачи и мест хранения материалов, конструкций и изделий;</w:t>
            </w:r>
          </w:p>
          <w:p>
            <w:pPr>
              <w:pStyle w:val="BodyTextIndent3"/>
              <w:widowControl w:val="false"/>
              <w:numPr>
                <w:ilvl w:val="1"/>
                <w:numId w:val="2"/>
              </w:numPr>
              <w:tabs>
                <w:tab w:val="clear" w:pos="708"/>
                <w:tab w:val="left" w:pos="355" w:leader="none"/>
              </w:tabs>
              <w:suppressAutoHyphens w:val="true"/>
              <w:spacing w:before="0" w:after="0"/>
              <w:ind w:left="21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Требования по охране труда и промышленной безопасности при выполнении работ в условиях действия опасных производственных факторов;</w:t>
            </w:r>
          </w:p>
          <w:p>
            <w:pPr>
              <w:pStyle w:val="BodyTextIndent3"/>
              <w:widowControl w:val="false"/>
              <w:numPr>
                <w:ilvl w:val="1"/>
                <w:numId w:val="2"/>
              </w:numPr>
              <w:tabs>
                <w:tab w:val="clear" w:pos="708"/>
                <w:tab w:val="left" w:pos="355" w:leader="none"/>
              </w:tabs>
              <w:suppressAutoHyphens w:val="true"/>
              <w:spacing w:before="0" w:after="0"/>
              <w:ind w:left="21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Пояснительную записку, содержащую необходимые обоснования для выполнения работ.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21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 xml:space="preserve">2.2 </w:t>
            </w:r>
            <w:r>
              <w:rPr>
                <w:iCs/>
                <w:spacing w:val="-2"/>
                <w:kern w:val="0"/>
                <w:lang w:val="ru-RU" w:bidi="ar-SA"/>
              </w:rPr>
              <w:t>Выполнение необходимых закупок, изготовление, транспортировка и доставка материалов и оборудования на место выполнения работ.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21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 xml:space="preserve">2.3 Обеспечение на месте выполнения работ </w:t>
            </w:r>
            <w:r>
              <w:rPr>
                <w:bCs/>
                <w:color w:val="000000"/>
                <w:kern w:val="0"/>
                <w:lang w:val="ru-RU" w:bidi="ar-SA"/>
              </w:rPr>
              <w:t>мобильных источников электрического тока для выполнения сварочных и других необходимых работ.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65" w:leader="none"/>
              </w:tabs>
              <w:suppressAutoHyphens w:val="true"/>
              <w:spacing w:lineRule="auto" w:line="252" w:before="0" w:after="0"/>
              <w:ind w:left="5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>3. Погрузку-разгрузку, транспортировку строительного мусора в места утилизации и захоронения отходов осуществляет Субподрядчик.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65" w:leader="none"/>
              </w:tabs>
              <w:suppressAutoHyphens w:val="true"/>
              <w:spacing w:lineRule="auto" w:line="252" w:before="0" w:after="0"/>
              <w:ind w:left="5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>4. Материалы должны незамедлительно доставляться к месту выполнения работ (утилизации). Запрещается длительное (более 2-х рабочих смен) складирование на монтажной площадке приобретённых материалов без письменного согласования с Заказчиком (филиал ПАО «РусГидро»-«Воткинская ГЭС»).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65" w:leader="none"/>
              </w:tabs>
              <w:suppressAutoHyphens w:val="true"/>
              <w:spacing w:lineRule="auto" w:line="252" w:before="0" w:after="0"/>
              <w:ind w:left="5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>5. Утилизация отходов должна производиться в соответствии с «Инструкцией по обращению с отходами производства и потребления Воткинской ГЭС».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65" w:leader="none"/>
              </w:tabs>
              <w:suppressAutoHyphens w:val="true"/>
              <w:spacing w:lineRule="auto" w:line="252" w:before="0" w:after="0"/>
              <w:ind w:left="42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>6. Субподрядчик обязан своевременно обеспечить вывоз производственных отходов, образовавшихся в ходе выполнения работ, для захоронения, обезвреживания или использования по договору с организацией имеющей лицензию на данный вид деятельности в места утилизации, за исключением лома черных и цветных металлов.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80" w:leader="none"/>
                <w:tab w:val="left" w:pos="718" w:leader="none"/>
              </w:tabs>
              <w:suppressAutoHyphens w:val="true"/>
              <w:spacing w:lineRule="auto" w:line="252" w:before="0" w:after="0"/>
              <w:ind w:left="72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>7. Установленный противопожарный и внутриобъектовый режим на предприятии филиала ПАО «РусГидро» – «Воткинская ГЭС» является обязательным для персонала Субподрядчика и должен строго выполняться.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65" w:leader="none"/>
              </w:tabs>
              <w:suppressAutoHyphens w:val="true"/>
              <w:spacing w:lineRule="auto" w:line="252" w:before="0" w:after="0"/>
              <w:ind w:left="5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 xml:space="preserve">8. Обязательно ведение журнала гидрологических наблюдений при бурении скважин.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72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>9. При выполнении работ должна применяться продукция, материалы, оборудование соответствие которых нормативным требованиям подтверждено декларацией о соответствии или сертификатом соответствия.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72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>10. Все необходимые специальные работы, включая применение необходимого оборудования и техники, материалов, аппаратуры: работы с применением грузоподъёмных механизмов, включая работы, связанные с транспортировкой, разгрузкой на территории и доставкой на место монтажа организуются и выполняются Субподрядчиком за счёт собственных средств.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72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>11. Своевременно оформлять и предоставлять Генподрядчику/Заказчику отчётную документацию по ремонтным работам (акт выполненных работ, акт на скрытые работы, журнал гидрологических наблюдений, сертификаты качества и паспорта на применённые материалы, паспорта на скважины с литологическим описанием).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72" w:hanging="0"/>
              <w:jc w:val="both"/>
              <w:rPr>
                <w:kern w:val="0"/>
                <w:lang w:bidi="ar-SA"/>
              </w:rPr>
            </w:pPr>
            <w:r>
              <w:rPr>
                <w:iCs/>
                <w:kern w:val="0"/>
                <w:lang w:val="ru-RU" w:bidi="ar-SA"/>
              </w:rPr>
              <w:t xml:space="preserve">12. Техническая документация (паспорта на скважины) должна предоставляться на бумажном носителе на русском языке (2 экземпляра) и </w:t>
            </w:r>
            <w:r>
              <w:rPr>
                <w:kern w:val="0"/>
                <w:lang w:val="ru-RU" w:bidi="ar-SA"/>
              </w:rPr>
              <w:t xml:space="preserve">в электронном (в формате </w:t>
            </w:r>
            <w:r>
              <w:rPr>
                <w:kern w:val="0"/>
                <w:lang w:val="en-US" w:bidi="ar-SA"/>
              </w:rPr>
              <w:t>Word</w:t>
            </w:r>
            <w:r>
              <w:rPr>
                <w:kern w:val="0"/>
                <w:lang w:val="ru-RU" w:bidi="ar-SA"/>
              </w:rPr>
              <w:t xml:space="preserve"> и </w:t>
            </w:r>
            <w:r>
              <w:rPr>
                <w:kern w:val="0"/>
                <w:lang w:val="en-US" w:bidi="ar-SA"/>
              </w:rPr>
              <w:t>Excel</w:t>
            </w:r>
            <w:r>
              <w:rPr>
                <w:kern w:val="0"/>
                <w:lang w:val="ru-RU" w:bidi="ar-SA"/>
              </w:rPr>
              <w:t>), полностью соответствующем бумажному варианту.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72" w:hanging="0"/>
              <w:jc w:val="both"/>
              <w:rPr>
                <w:kern w:val="0"/>
                <w:lang w:bidi="ar-SA"/>
              </w:rPr>
            </w:pPr>
            <w:r>
              <w:rPr>
                <w:kern w:val="0"/>
                <w:lang w:val="ru-RU" w:bidi="ar-SA"/>
              </w:rPr>
              <w:t xml:space="preserve">13. В составе приемо-сдаточной и исполнительной документации обязательно предоставление </w:t>
            </w:r>
            <w:r>
              <w:rPr>
                <w:kern w:val="0"/>
                <w:lang w:val="en-US" w:bidi="ar-SA"/>
              </w:rPr>
              <w:t>c</w:t>
            </w:r>
            <w:r>
              <w:rPr>
                <w:kern w:val="0"/>
                <w:lang w:val="ru-RU" w:bidi="ar-SA"/>
              </w:rPr>
              <w:t>правки о фактических трудозатратах.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65" w:leader="none"/>
              </w:tabs>
              <w:suppressAutoHyphens w:val="true"/>
              <w:spacing w:lineRule="auto" w:line="252" w:before="0" w:after="0"/>
              <w:ind w:left="54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 xml:space="preserve">14. Работы считаются выполненными с момента сдачи объекта в эксплуатацию и подписания акта сдачи-приемки, а также </w:t>
            </w:r>
            <w:r>
              <w:rPr>
                <w:rFonts w:eastAsia="Calibri"/>
                <w:kern w:val="0"/>
                <w:lang w:val="ru-RU" w:bidi="ar-SA"/>
              </w:rPr>
              <w:t>сдачи Субподрядчиком отчетной документации в объеме, согласованном с Генподрядчиком</w:t>
            </w:r>
            <w:r>
              <w:rPr>
                <w:kern w:val="0"/>
                <w:lang w:val="ru-RU" w:bidi="ar-SA"/>
              </w:rPr>
              <w:t>.</w:t>
            </w:r>
          </w:p>
        </w:tc>
      </w:tr>
      <w:tr>
        <w:trPr/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1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>При выполнении работ Субподрядчик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65" w:leader="none"/>
              </w:tabs>
              <w:suppressAutoHyphens w:val="true"/>
              <w:spacing w:lineRule="auto" w:line="264" w:before="0" w:after="0"/>
              <w:ind w:left="54" w:hanging="0"/>
              <w:jc w:val="both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shd w:fill="FFFFFF" w:val="clear"/>
                <w:lang w:val="ru-RU" w:bidi="ar-SA"/>
              </w:rPr>
              <w:t>- «Правил по охране труда при размещении, монтаже, техническом обслуживании и ремонте технологического оборудования»</w:t>
            </w:r>
            <w:r>
              <w:rPr>
                <w:kern w:val="0"/>
                <w:lang w:val="ru-RU" w:bidi="ar-SA"/>
              </w:rPr>
              <w:t>, утв. приказом Минтруда РФ от 27.11.2020г. №833н;</w:t>
            </w:r>
          </w:p>
          <w:p>
            <w:pPr>
              <w:pStyle w:val="Normal"/>
              <w:widowControl w:val="false"/>
              <w:suppressAutoHyphens w:val="true"/>
              <w:spacing w:lineRule="auto" w:line="264" w:before="0" w:after="0"/>
              <w:ind w:left="57" w:hanging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 xml:space="preserve">- </w:t>
            </w:r>
            <w:r>
              <w:rPr>
                <w:kern w:val="0"/>
                <w:lang w:val="ru-RU" w:bidi="ar-SA"/>
              </w:rPr>
              <w:t>«Правил по охране труда при строительстве, реконструкции и ремонте» утв. приказом Минтруда РФ от 11.12.2020г. №883н;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color w:val="000000"/>
                <w:kern w:val="0"/>
                <w:lang w:val="ru-RU" w:bidi="ar-SA"/>
              </w:rPr>
              <w:t xml:space="preserve">- </w:t>
            </w:r>
            <w:r>
              <w:rPr>
                <w:kern w:val="0"/>
                <w:lang w:val="ru-RU" w:bidi="ar-SA"/>
              </w:rPr>
              <w:t>«Правил организации технического обслуживания и ремонта объектов электроэнергетики», приказ Минэнерго России от 25.10.2017 №1013</w:t>
            </w:r>
            <w:r>
              <w:rPr>
                <w:iCs/>
                <w:color w:val="000000"/>
                <w:kern w:val="0"/>
                <w:lang w:val="ru-RU" w:bidi="ar-SA"/>
              </w:rPr>
              <w:t xml:space="preserve">;  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color w:val="000000"/>
                <w:kern w:val="0"/>
                <w:lang w:val="ru-RU" w:bidi="ar-SA"/>
              </w:rPr>
              <w:t>- «Правил по охране труда при погрузочно-разгрузочных работах и размещении грузов» утв. приказом Минтруда РФ от 28 октября 2020 года №753н;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color w:val="000000"/>
                <w:kern w:val="0"/>
                <w:lang w:val="ru-RU" w:bidi="ar-SA"/>
              </w:rPr>
              <w:t>- «Правил по охране труда при работе с инструментом и приспособлениями» утв. приказом Минтруда РФ от 27 ноября 2020 года №835н;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color w:val="000000"/>
                <w:kern w:val="0"/>
                <w:lang w:val="ru-RU" w:bidi="ar-SA"/>
              </w:rPr>
              <w:t>- «Правил противопожарного режима в Российской Федерации», утв. постановлением Правительства РФ от 16.09.2020г. №1479.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2700" w:leader="none"/>
              </w:tabs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 xml:space="preserve">Стандарты </w:t>
            </w:r>
            <w:r>
              <w:rPr>
                <w:kern w:val="0"/>
                <w:lang w:val="ru-RU" w:bidi="ar-SA"/>
              </w:rPr>
              <w:t>ПАО «РусГидро»</w:t>
            </w:r>
            <w:r>
              <w:rPr>
                <w:iCs/>
                <w:kern w:val="0"/>
                <w:lang w:val="ru-RU" w:bidi="ar-SA"/>
              </w:rPr>
              <w:t xml:space="preserve">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42" w:leader="none"/>
              </w:tabs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iCs/>
                <w:kern w:val="0"/>
                <w:lang w:val="ru-RU" w:bidi="ar-SA"/>
              </w:rPr>
              <w:t xml:space="preserve">- СТО 02.01.62-2021 </w:t>
            </w:r>
            <w:r>
              <w:rPr>
                <w:kern w:val="0"/>
                <w:lang w:val="ru-RU" w:bidi="ar-SA"/>
              </w:rPr>
              <w:t>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</w:t>
            </w:r>
            <w:r>
              <w:rPr>
                <w:iCs/>
                <w:kern w:val="0"/>
                <w:lang w:val="ru-RU" w:bidi="ar-SA"/>
              </w:rPr>
              <w:t>.</w:t>
            </w:r>
          </w:p>
          <w:p>
            <w:pPr>
              <w:pStyle w:val="BodyTextIndent3"/>
              <w:widowControl w:val="false"/>
              <w:tabs>
                <w:tab w:val="clear" w:pos="708"/>
                <w:tab w:val="left" w:pos="0" w:leader="none"/>
                <w:tab w:val="left" w:pos="196" w:leader="none"/>
                <w:tab w:val="left" w:pos="284" w:leader="none"/>
                <w:tab w:val="left" w:pos="600" w:leader="none"/>
                <w:tab w:val="left" w:pos="742" w:leader="none"/>
              </w:tabs>
              <w:suppressAutoHyphens w:val="true"/>
              <w:spacing w:lineRule="auto" w:line="264" w:before="0" w:after="0"/>
              <w:ind w:left="0" w:hanging="0"/>
              <w:jc w:val="both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 xml:space="preserve">А также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соблюдать </w:t>
            </w:r>
            <w:r>
              <w:rPr>
                <w:rFonts w:eastAsia="Calibri"/>
                <w:kern w:val="0"/>
                <w:sz w:val="24"/>
                <w:szCs w:val="24"/>
                <w:lang w:val="ru-RU" w:bidi="ar-SA"/>
              </w:rPr>
              <w:t>другие правила, не противоречащие законодательству Российской Федерации.</w:t>
            </w:r>
          </w:p>
        </w:tc>
      </w:tr>
      <w:tr>
        <w:trPr>
          <w:trHeight w:val="340" w:hRule="exac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4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организации работ</w:t>
            </w:r>
          </w:p>
        </w:tc>
      </w:tr>
      <w:tr>
        <w:trPr/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kern w:val="0"/>
                <w:lang w:val="ru-RU" w:bidi="ar-SA"/>
              </w:rPr>
              <w:t>Организационно-технические мероприятия по допуску персонала Субподрядчика</w:t>
            </w:r>
          </w:p>
        </w:tc>
        <w:tc>
          <w:tcPr>
            <w:tcW w:w="115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26" w:leader="none"/>
              </w:tabs>
              <w:suppressAutoHyphens w:val="true"/>
              <w:spacing w:before="0" w:after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  <w:t xml:space="preserve">Допуск персонала Субподрядчика для выполнения работ должен осуществляться в соответствии с </w:t>
            </w:r>
            <w:bookmarkStart w:id="45" w:name="_Hlk124767430"/>
            <w:r>
              <w:rPr>
                <w:rFonts w:eastAsia="Calibri"/>
                <w:kern w:val="0"/>
                <w:lang w:val="ru-RU" w:bidi="ar-SA"/>
              </w:rPr>
              <w:t xml:space="preserve">Регламентом процесса «Допуск персонала подрядных организаций на объекты ПАО «РусГидро», утв. Приказом ПАО «РусГидро» от 28.04.2023г. №300 </w:t>
            </w:r>
            <w:bookmarkEnd w:id="45"/>
            <w:r>
              <w:rPr>
                <w:rFonts w:eastAsia="Calibri"/>
                <w:kern w:val="0"/>
                <w:lang w:val="ru-RU" w:bidi="ar-SA"/>
              </w:rPr>
              <w:t>(Приложение №</w:t>
            </w:r>
            <w:r>
              <w:rPr>
                <w:rFonts w:eastAsia="Calibri"/>
                <w:kern w:val="0"/>
                <w:lang w:val="en-US" w:bidi="ar-SA"/>
              </w:rPr>
              <w:t>4</w:t>
            </w:r>
            <w:r>
              <w:rPr>
                <w:rFonts w:eastAsia="Calibri"/>
                <w:kern w:val="0"/>
                <w:lang w:val="ru-RU" w:bidi="ar-SA"/>
              </w:rPr>
              <w:t xml:space="preserve"> к настоящим ТТ).</w:t>
            </w:r>
          </w:p>
        </w:tc>
      </w:tr>
      <w:tr>
        <w:trPr>
          <w:trHeight w:val="340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4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</w:tr>
      <w:tr>
        <w:trPr/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Требования к используемым материалам и оборудованию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15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26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 Наличие установки ударно-канатного бурения с одновременной обсадкой и другого оборудования, необходимого для выполнения работ по текущему ремонту пьезометров и скважин, и принадлежащих Субподрядчику на праве собственности или ином законном основании (Субподрядчик обязан предоставить до начала работ перечень оборудования).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26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</w:t>
              <w:tab/>
            </w:r>
            <w:r>
              <w:rPr>
                <w:spacing w:val="-4"/>
                <w:kern w:val="0"/>
                <w:lang w:val="ru-RU" w:bidi="ar-SA"/>
              </w:rPr>
              <w:t xml:space="preserve">Материалы, необходимые для выполнения работ, Субподрядчик приобретает самостоятельно.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26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Все поставляемые и применяемые материалы и изделия должны быть новыми и не использованными ранее.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  <w:tab w:val="left" w:pos="426" w:leader="none"/>
              </w:tabs>
              <w:suppressAutoHyphens w:val="true"/>
              <w:spacing w:before="0" w:after="0"/>
              <w:contextualSpacing/>
              <w:jc w:val="both"/>
              <w:rPr>
                <w:rFonts w:eastAsia="Calibri"/>
              </w:rPr>
            </w:pPr>
            <w:r>
              <w:rPr>
                <w:iCs/>
                <w:kern w:val="0"/>
                <w:lang w:val="ru-RU" w:bidi="ar-SA"/>
              </w:rPr>
              <w:t xml:space="preserve">3. Качество применяемых материалов и изделий подтверждается сертификатами качества. </w:t>
            </w:r>
          </w:p>
        </w:tc>
      </w:tr>
      <w:tr>
        <w:trPr>
          <w:trHeight w:val="340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4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контролю качества работ и материалов</w:t>
            </w:r>
          </w:p>
        </w:tc>
      </w:tr>
      <w:tr>
        <w:trPr/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 качества работ</w:t>
            </w:r>
          </w:p>
        </w:tc>
        <w:tc>
          <w:tcPr>
            <w:tcW w:w="11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Субподрядчик обязан применять такие виды и объемы контроля своих работ, которые гарантируют их высокое качество и надежность в эксплуатации в соответствии с положениями законов, актов и других официальных требований России и российских государственных органов.</w:t>
            </w:r>
          </w:p>
        </w:tc>
      </w:tr>
      <w:tr>
        <w:trPr/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 качества используемых материалов и оборудования</w:t>
            </w:r>
          </w:p>
        </w:tc>
        <w:tc>
          <w:tcPr>
            <w:tcW w:w="11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Субподрядчик должен обеспечить входной контроль поступающих материалов и изделий, включающий в себя проверку:</w:t>
            </w:r>
          </w:p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 наличия соответствующих сертификатов согласно требованиям постановления Правительства Российской Федерации от 23.12.2021г. №2425 «Об утверждении единого перечня продукции, подлежащей обязательной сертификации»;</w:t>
            </w:r>
          </w:p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 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 наличия маркировки, сохранности упаковки, наличия и сохранности защитных и окрасочных покрытий и т.п.;</w:t>
            </w:r>
          </w:p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 комплектности поставляемых материалов.</w:t>
            </w:r>
          </w:p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Вся документация должна быть представлена на русском языке и соответствовать российским стандартам.</w:t>
            </w:r>
          </w:p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Все материалы  необходимо согласовывать с Генподрядчиком.</w:t>
            </w:r>
          </w:p>
        </w:tc>
      </w:tr>
      <w:tr>
        <w:trPr>
          <w:trHeight w:val="340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4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b/>
                <w:kern w:val="0"/>
                <w:lang w:val="ru-RU" w:bidi="ar-SA"/>
              </w:rPr>
              <w:t>Требования к персоналу Субподрядчика</w:t>
            </w:r>
          </w:p>
        </w:tc>
      </w:tr>
      <w:tr>
        <w:trPr/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Квалификация персонала Субподрядчика, привлекаемого к выполнению работ</w:t>
            </w:r>
          </w:p>
        </w:tc>
        <w:tc>
          <w:tcPr>
            <w:tcW w:w="115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 Наличие у Субподрядчика квалифицированного персонала (обученного работать на установке ударно-канатного бурения, умеющего составлять паспорта на скважины, и имеющего опыт работы по ремонту пьезометров и скважин), участвующего в выполнении работ с указанием квалификации и стажем работы по профессии. Необходимо предоставить до начала работ копии квалификационных документов: дипломы и/или аттестаты и/или удостоверения.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 Наличие персонала, имеющего право быть ответственными лицами при работах по наряду-допуску и распоряжению, при выполнении специальных работ, согласно «</w:t>
            </w:r>
            <w:r>
              <w:rPr>
                <w:bCs/>
                <w:kern w:val="0"/>
                <w:lang w:val="ru-RU" w:bidi="ar-SA"/>
              </w:rPr>
              <w:t>Правил по охране труда при размещении, монтаже, техническом обслуживании и ремонте технологического оборудования»</w:t>
            </w:r>
            <w:r>
              <w:rPr>
                <w:kern w:val="0"/>
                <w:lang w:val="ru-RU" w:bidi="ar-SA"/>
              </w:rPr>
              <w:t>, утв. приказом Минтруда РФ от 27.11.2020г. №833н.</w:t>
            </w:r>
            <w:bookmarkStart w:id="46" w:name="_Hlk124929079"/>
            <w:bookmarkEnd w:id="46"/>
            <w:r>
              <w:rPr>
                <w:rFonts w:eastAsia="Calibri"/>
                <w:kern w:val="0"/>
                <w:lang w:val="ru-RU" w:bidi="ar-SA"/>
              </w:rPr>
              <w:t xml:space="preserve">Необходимо предоставить до начала работ копии документов: удостоверений о проверке знаний и/или свидетельств о прохождении обучения и/илипротоколов проверки знаний и аттестации, а также документы, подтверждающие наличие трудовых отношений с работником. </w:t>
            </w:r>
          </w:p>
        </w:tc>
      </w:tr>
      <w:tr>
        <w:trPr>
          <w:trHeight w:val="340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4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Требования к безопасности работ и охране труда</w:t>
            </w:r>
          </w:p>
        </w:tc>
      </w:tr>
      <w:tr>
        <w:trPr>
          <w:trHeight w:val="2540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Требования к безопасности выполняемых работ</w:t>
            </w:r>
          </w:p>
        </w:tc>
        <w:tc>
          <w:tcPr>
            <w:tcW w:w="11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8" w:hanging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  <w:t>Субподрядчик обязан: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</w:tabs>
              <w:suppressAutoHyphens w:val="true"/>
              <w:spacing w:before="0" w:after="0"/>
              <w:ind w:left="8" w:hanging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  <w:t>-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ископаемых, а также все прочие законы и нормативные акты, относящиеся к сфере деятельности.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92" w:leader="none"/>
              </w:tabs>
              <w:suppressAutoHyphens w:val="true"/>
              <w:spacing w:before="0" w:after="0"/>
              <w:ind w:left="8" w:hanging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  <w:t>- 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</w:tr>
      <w:tr>
        <w:trPr>
          <w:trHeight w:val="340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4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Требования к результатам работ</w:t>
            </w:r>
          </w:p>
        </w:tc>
      </w:tr>
      <w:tr>
        <w:trPr>
          <w:trHeight w:val="340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4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Общие требования к результатам работ</w:t>
            </w:r>
          </w:p>
        </w:tc>
      </w:tr>
      <w:tr>
        <w:trPr>
          <w:trHeight w:val="1135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Результат работ</w:t>
            </w:r>
          </w:p>
        </w:tc>
        <w:tc>
          <w:tcPr>
            <w:tcW w:w="11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 результатам выполненных работ ремонтируемые пьезометры земляной плотины №4 филиала ПАО «РусГидро»-«Воткинская ГЭС» должны быть в исправном состоянии.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 скважины отремонтированных пьезометров должны быть выполнены паспорта с литологическим описанием.</w:t>
            </w:r>
          </w:p>
        </w:tc>
      </w:tr>
      <w:tr>
        <w:trPr>
          <w:trHeight w:val="340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4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оформлению документации</w:t>
            </w:r>
          </w:p>
        </w:tc>
      </w:tr>
      <w:tr>
        <w:trPr/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11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Субподрядчик обязан одновременно с передачей актов приемки выполненных работ по форме КС-2 передать Генподрядчику комплект исполнительной документации, включающий в себя: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50" w:leader="none"/>
              </w:tabs>
              <w:suppressAutoHyphens w:val="true"/>
              <w:spacing w:before="0" w:after="0"/>
              <w:ind w:left="8" w:hanging="8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  <w:t>акты скрытых работ;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50" w:leader="none"/>
              </w:tabs>
              <w:suppressAutoHyphens w:val="true"/>
              <w:spacing w:before="0" w:after="0"/>
              <w:ind w:left="8" w:hanging="8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  <w:t>сертификаты, паспорта, подтверждающие качество и соответствие требованиям нормативно-технической документации примененных материалов;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50" w:leader="none"/>
              </w:tabs>
              <w:suppressAutoHyphens w:val="true"/>
              <w:spacing w:before="0" w:after="0"/>
              <w:ind w:left="8" w:hanging="8"/>
              <w:contextualSpacing/>
              <w:jc w:val="both"/>
              <w:rPr>
                <w:rFonts w:eastAsia="Calibri"/>
              </w:rPr>
            </w:pPr>
            <w:r>
              <w:rPr>
                <w:iCs/>
                <w:kern w:val="0"/>
                <w:lang w:val="ru-RU" w:bidi="ar-SA"/>
              </w:rPr>
              <w:t>журнал гидрологических наблюдений;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50" w:leader="none"/>
              </w:tabs>
              <w:suppressAutoHyphens w:val="true"/>
              <w:spacing w:before="0" w:after="0"/>
              <w:ind w:left="8" w:hanging="8"/>
              <w:contextualSpacing/>
              <w:jc w:val="both"/>
              <w:rPr>
                <w:rFonts w:eastAsia="Calibri"/>
              </w:rPr>
            </w:pPr>
            <w:r>
              <w:rPr>
                <w:kern w:val="0"/>
                <w:lang w:val="ru-RU" w:bidi="ar-SA"/>
              </w:rPr>
              <w:t>паспорта с литологическим описанием;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150" w:leader="none"/>
              </w:tabs>
              <w:suppressAutoHyphens w:val="true"/>
              <w:spacing w:before="0" w:after="0"/>
              <w:ind w:left="8" w:hanging="8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  <w:t>справку о фактических трудозатратах.</w:t>
            </w:r>
          </w:p>
        </w:tc>
      </w:tr>
      <w:tr>
        <w:trPr>
          <w:trHeight w:val="340" w:hRule="atLeast"/>
        </w:trPr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44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ответственности и гарантиям Субподрядчика</w:t>
            </w:r>
          </w:p>
        </w:tc>
      </w:tr>
      <w:tr>
        <w:trPr/>
        <w:tc>
          <w:tcPr>
            <w:tcW w:w="95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Гарантийный срок на результат работ</w:t>
            </w:r>
          </w:p>
        </w:tc>
        <w:tc>
          <w:tcPr>
            <w:tcW w:w="11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szCs w:val="28"/>
                <w:lang w:val="ru-RU" w:bidi="ar-SA"/>
              </w:rPr>
              <w:t xml:space="preserve">Гарантия качества </w:t>
            </w:r>
            <w:r>
              <w:rPr>
                <w:kern w:val="0"/>
                <w:lang w:val="ru-RU" w:bidi="ar-SA"/>
              </w:rPr>
              <w:t xml:space="preserve">на результат работ </w:t>
            </w:r>
            <w:r>
              <w:rPr>
                <w:bCs/>
                <w:kern w:val="0"/>
                <w:szCs w:val="28"/>
                <w:lang w:val="ru-RU" w:bidi="ar-SA"/>
              </w:rPr>
              <w:t xml:space="preserve">действует в течение </w:t>
            </w:r>
            <w:r>
              <w:rPr>
                <w:kern w:val="0"/>
                <w:lang w:val="ru-RU" w:bidi="ar-SA"/>
              </w:rPr>
              <w:t xml:space="preserve">не менее 36 месяцев с даты подписания Акта о приемке выполненных работ </w:t>
            </w:r>
            <w:r>
              <w:rPr>
                <w:bCs/>
                <w:kern w:val="0"/>
                <w:szCs w:val="28"/>
                <w:lang w:val="ru-RU" w:bidi="ar-SA"/>
              </w:rPr>
              <w:t>по форме</w:t>
            </w:r>
            <w:r>
              <w:rPr>
                <w:kern w:val="0"/>
                <w:lang w:val="ru-RU" w:bidi="ar-SA"/>
              </w:rPr>
              <w:t xml:space="preserve"> КС-2</w:t>
            </w:r>
            <w:r>
              <w:rPr>
                <w:bCs/>
                <w:kern w:val="0"/>
                <w:szCs w:val="28"/>
                <w:lang w:val="ru-RU" w:bidi="ar-SA"/>
              </w:rPr>
              <w:t xml:space="preserve"> и Справки о стоимости выполненных работ и затрат по форме КС-3</w:t>
            </w:r>
            <w:r>
              <w:rPr>
                <w:kern w:val="0"/>
                <w:lang w:val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Субподрядчик должен за свой счет и в определённые </w:t>
            </w:r>
            <w:r>
              <w:rPr>
                <w:bCs/>
                <w:kern w:val="0"/>
                <w:szCs w:val="28"/>
                <w:lang w:val="ru-RU" w:bidi="ar-SA"/>
              </w:rPr>
              <w:t xml:space="preserve">Генподрядчиком </w:t>
            </w:r>
            <w:r>
              <w:rPr>
                <w:kern w:val="0"/>
                <w:lang w:val="ru-RU" w:bidi="ar-SA"/>
              </w:rPr>
              <w:t>сроки устранять любые дефекты, выявленные в период гарантийного срока.</w:t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709" w:right="709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Lines/>
        <w:ind w:left="357" w:hanging="357"/>
        <w:jc w:val="center"/>
        <w:rPr>
          <w:b/>
        </w:rPr>
      </w:pPr>
      <w:bookmarkStart w:id="47" w:name="__RefHeading___Toc14117_899752430"/>
      <w:bookmarkStart w:id="48" w:name="_Toc131165896"/>
      <w:bookmarkEnd w:id="47"/>
      <w:r>
        <w:rPr>
          <w:b/>
        </w:rPr>
        <w:t xml:space="preserve">3. </w:t>
      </w:r>
      <w:bookmarkStart w:id="49" w:name="_Toc54646411"/>
      <w:bookmarkStart w:id="50" w:name="_Toc53393312"/>
      <w:r>
        <w:rPr>
          <w:b/>
        </w:rPr>
        <w:t>Требования к документации по ценообразованию</w:t>
      </w:r>
      <w:bookmarkEnd w:id="50"/>
      <w:r>
        <w:rPr>
          <w:b/>
        </w:rPr>
        <w:t xml:space="preserve"> на этапе закупки</w:t>
      </w:r>
      <w:bookmarkEnd w:id="48"/>
      <w:bookmarkEnd w:id="49"/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13"/>
          <w:b w:val="false"/>
          <w:bCs/>
          <w:iCs/>
        </w:rPr>
      </w:pPr>
      <w:r>
        <w:rPr>
          <w:rFonts w:eastAsia="Calibri" w:eastAsiaTheme="minorHAnsi"/>
          <w:lang w:eastAsia="en-US"/>
        </w:rPr>
        <w:t>3.2. 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Heading1"/>
        <w:keepLines/>
        <w:ind w:left="357" w:hanging="0"/>
        <w:rPr>
          <w:iCs/>
        </w:rPr>
      </w:pPr>
      <w:r>
        <w:rPr>
          <w:iCs/>
        </w:rPr>
      </w:r>
      <w:bookmarkStart w:id="51" w:name="_Hlk125441686"/>
      <w:bookmarkStart w:id="52" w:name="_Hlk125441686"/>
      <w:bookmarkEnd w:id="52"/>
    </w:p>
    <w:p>
      <w:pPr>
        <w:pStyle w:val="Normal"/>
        <w:rPr>
          <w:rFonts w:eastAsia="Calibri"/>
          <w:b/>
          <w:iCs/>
        </w:rPr>
      </w:pPr>
      <w:r>
        <w:rPr>
          <w:rFonts w:eastAsia="Calibri"/>
          <w:b/>
          <w:iCs/>
        </w:rPr>
      </w:r>
      <w:r>
        <w:br w:type="page"/>
      </w:r>
    </w:p>
    <w:p>
      <w:pPr>
        <w:pStyle w:val="Heading1"/>
        <w:keepLines/>
        <w:ind w:left="357" w:hanging="357"/>
        <w:jc w:val="center"/>
        <w:rPr>
          <w:b/>
        </w:rPr>
      </w:pPr>
      <w:bookmarkStart w:id="53" w:name="__RefHeading___Toc14119_899752430"/>
      <w:bookmarkStart w:id="54" w:name="_Toc131165897"/>
      <w:bookmarkEnd w:id="53"/>
      <w:r>
        <w:rPr>
          <w:b/>
        </w:rPr>
        <w:t xml:space="preserve">4. </w:t>
      </w:r>
      <w:bookmarkStart w:id="55" w:name="_Toc54646412"/>
      <w:r>
        <w:rPr>
          <w:b/>
        </w:rPr>
        <w:t>Требования к документации по ценообразованию на этапе заключения (исполнения) договора</w:t>
      </w:r>
      <w:bookmarkEnd w:id="54"/>
      <w:bookmarkEnd w:id="55"/>
    </w:p>
    <w:p>
      <w:pPr>
        <w:pStyle w:val="Normal"/>
        <w:rPr>
          <w:lang w:eastAsia="en-US"/>
        </w:rPr>
      </w:pPr>
      <w:r>
        <w:rPr>
          <w:lang w:eastAsia="en-US"/>
        </w:rPr>
      </w:r>
      <w:bookmarkStart w:id="56" w:name="_Hlk125441985"/>
      <w:bookmarkStart w:id="57" w:name="_Hlk125441985"/>
      <w:bookmarkEnd w:id="57"/>
    </w:p>
    <w:p>
      <w:pPr>
        <w:pStyle w:val="Normal"/>
        <w:jc w:val="both"/>
        <w:rPr>
          <w:rFonts w:eastAsia="Calibri"/>
          <w:b/>
          <w:iCs/>
        </w:rPr>
      </w:pPr>
      <w:r>
        <w:rPr>
          <w:rFonts w:eastAsia="Calibri" w:eastAsiaTheme="minorHAnsi"/>
          <w:lang w:eastAsia="en-US"/>
        </w:rPr>
        <w:t>4.1.</w:t>
        <w:tab/>
        <w:t>Сметную документацию составлять и оформлять в соответствии с требованиями к документации по ценообразованию (Приложение №</w:t>
      </w:r>
      <w:r>
        <w:rPr>
          <w:rFonts w:eastAsia="Calibri" w:eastAsiaTheme="minorHAnsi"/>
          <w:lang w:val="en-US" w:eastAsia="en-US"/>
        </w:rPr>
        <w:t>3</w:t>
      </w:r>
      <w:r>
        <w:rPr>
          <w:rFonts w:eastAsia="Calibri" w:eastAsiaTheme="minorHAnsi"/>
          <w:lang w:eastAsia="en-US"/>
        </w:rPr>
        <w:t xml:space="preserve"> к настоящим техническим требованиям).</w:t>
      </w:r>
      <w:r>
        <w:br w:type="page"/>
      </w:r>
    </w:p>
    <w:p>
      <w:pPr>
        <w:pStyle w:val="Heading1"/>
        <w:keepLines/>
        <w:ind w:left="357" w:hanging="357"/>
        <w:jc w:val="center"/>
        <w:rPr>
          <w:b/>
          <w:iCs/>
        </w:rPr>
      </w:pPr>
      <w:bookmarkStart w:id="58" w:name="__RefHeading___Toc14121_899752430"/>
      <w:bookmarkStart w:id="59" w:name="_Toc131165898"/>
      <w:bookmarkStart w:id="60" w:name="_Toc51339699"/>
      <w:bookmarkStart w:id="61" w:name="_Toc54646413"/>
      <w:bookmarkStart w:id="62" w:name="_Toc46743519"/>
      <w:bookmarkEnd w:id="58"/>
      <w:r>
        <w:rPr>
          <w:b/>
          <w:iCs/>
        </w:rPr>
        <w:t>5. Приложения</w:t>
      </w:r>
      <w:bookmarkEnd w:id="59"/>
      <w:bookmarkEnd w:id="60"/>
      <w:bookmarkEnd w:id="61"/>
      <w:bookmarkEnd w:id="62"/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jc w:val="both"/>
        <w:rPr/>
      </w:pPr>
      <w:r>
        <w:rPr/>
        <w:t xml:space="preserve">Приложение №1 Ведомость объемов работ </w:t>
      </w:r>
      <w:r>
        <w:rPr>
          <w:rFonts w:eastAsia="Calibri"/>
          <w:iCs/>
        </w:rPr>
        <w:t>№6.25-2025</w:t>
      </w:r>
      <w:r>
        <w:rPr/>
        <w:t>.</w:t>
      </w:r>
    </w:p>
    <w:p>
      <w:pPr>
        <w:pStyle w:val="Normal"/>
        <w:jc w:val="both"/>
        <w:rPr/>
      </w:pPr>
      <w:r>
        <w:rPr/>
        <w:t xml:space="preserve">Приложение №2 Ведомость объемов работ </w:t>
      </w:r>
      <w:r>
        <w:rPr>
          <w:rFonts w:eastAsia="Calibri"/>
          <w:iCs/>
        </w:rPr>
        <w:t>№6.24-2025</w:t>
      </w:r>
      <w:r>
        <w:rPr/>
        <w:t>.</w:t>
      </w:r>
    </w:p>
    <w:p>
      <w:pPr>
        <w:pStyle w:val="Normal"/>
        <w:jc w:val="both"/>
        <w:rPr/>
      </w:pPr>
      <w:r>
        <w:rPr/>
        <w:t>Приложение №3 Требования к оформлению и составлению сметной документации на выполнение работ при новом строительстве, реконструкции и техническом перевооружении, ремонте.</w:t>
      </w:r>
    </w:p>
    <w:p>
      <w:pPr>
        <w:pStyle w:val="Normal"/>
        <w:jc w:val="both"/>
        <w:rPr/>
      </w:pPr>
      <w:r>
        <w:rPr/>
        <w:t>Приложение №4 Регламент процесса «Допуск персонала подрядных организаций на объекты ПАО «РусГидро» (утв. Приказом ПАО «РусГидро» от 28.04.2023 №300).</w:t>
      </w:r>
      <w:bookmarkStart w:id="63" w:name="_Hlk48224758"/>
      <w:bookmarkStart w:id="64" w:name="_Ref40301253"/>
      <w:bookmarkStart w:id="65" w:name="_Hlk48222348"/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1134" w:right="851" w:gutter="0" w:header="0" w:top="1134" w:footer="737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jc w:val="both"/>
        <w:rPr/>
      </w:pPr>
      <w:r>
        <w:rPr/>
        <w:t xml:space="preserve">Приложение №5 </w:t>
      </w:r>
      <w:r>
        <w:rPr>
          <w:iCs/>
        </w:rPr>
        <w:t>«Инструкция по обращению с отходами производства и потребления Воткинской ГЭС»</w:t>
      </w:r>
      <w:r>
        <w:rPr/>
        <w:t>.</w:t>
      </w:r>
      <w:r>
        <w:br w:type="page"/>
      </w:r>
    </w:p>
    <w:p>
      <w:pPr>
        <w:pStyle w:val="Normal"/>
        <w:jc w:val="right"/>
        <w:rPr>
          <w:b/>
        </w:rPr>
      </w:pPr>
      <w:bookmarkStart w:id="66" w:name="_Hlk48224758_Копия_1"/>
      <w:bookmarkStart w:id="67" w:name="_Ref40301253_Копия_1"/>
      <w:bookmarkStart w:id="68" w:name="_Hlk48222348_Копия_1"/>
      <w:bookmarkEnd w:id="63"/>
      <w:bookmarkEnd w:id="64"/>
      <w:bookmarkEnd w:id="65"/>
      <w:bookmarkEnd w:id="66"/>
      <w:bookmarkEnd w:id="67"/>
      <w:bookmarkEnd w:id="68"/>
      <w:r>
        <w:rPr>
          <w:b/>
        </w:rPr>
        <w:t>Приложение №1 к ТТ</w:t>
      </w:r>
    </w:p>
    <w:p>
      <w:pPr>
        <w:pStyle w:val="Normal"/>
        <w:jc w:val="right"/>
        <w:rPr>
          <w:b/>
        </w:rPr>
      </w:pPr>
      <w:r>
        <w:rPr>
          <w:b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856480" cy="990028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990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10935" cy="8781415"/>
            <wp:effectExtent l="0" t="0" r="0" b="0"/>
            <wp:wrapSquare wrapText="largest"/>
            <wp:docPr id="2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Приложение №2 к ТТ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Cs/>
          <w:i/>
          <w:i/>
          <w:iCs/>
          <w:highlight w:val="none"/>
          <w:shd w:fill="auto" w:val="clear"/>
        </w:rPr>
      </w:pPr>
      <w:r>
        <w:rPr>
          <w:bCs/>
          <w:i/>
          <w:iCs/>
          <w:shd w:fill="auto" w:val="clear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000625" cy="9900285"/>
            <wp:effectExtent l="0" t="0" r="0" b="0"/>
            <wp:wrapSquare wrapText="largest"/>
            <wp:docPr id="3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990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right"/>
        <w:rPr>
          <w:b/>
        </w:rPr>
      </w:pPr>
      <w:r>
        <w:rPr>
          <w:b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-95250</wp:posOffset>
            </wp:positionH>
            <wp:positionV relativeFrom="paragraph">
              <wp:posOffset>57785</wp:posOffset>
            </wp:positionV>
            <wp:extent cx="6210935" cy="8781415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contextualSpacing/>
        <w:jc w:val="right"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right"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right"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right"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right"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right"/>
        <w:rPr/>
      </w:pPr>
      <w:r>
        <w:rPr>
          <w:b/>
        </w:rPr>
        <w:t>Приложение №</w:t>
      </w:r>
      <w:r>
        <w:rPr>
          <w:b/>
          <w:lang w:val="en-US"/>
        </w:rPr>
        <w:t>3</w:t>
      </w:r>
      <w:r>
        <w:rPr>
          <w:b/>
        </w:rPr>
        <w:t xml:space="preserve"> к ТТ </w:t>
      </w:r>
    </w:p>
    <w:p>
      <w:pPr>
        <w:pStyle w:val="Normal"/>
        <w:spacing w:before="0" w:after="0"/>
        <w:contextualSpacing/>
        <w:jc w:val="right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Требования к оформлению и составлению сметной документации на выполнение работ при новом строительстве, реконструкции и техническом перевооружении, ремонте представлены в отдельном файле.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hd w:fill="FFFF99" w:val="clear"/>
        </w:rPr>
      </w:pPr>
      <w:r>
        <w:rPr>
          <w:bCs/>
          <w:i/>
          <w:iCs/>
          <w:shd w:fill="FFFF99" w:val="clear"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right"/>
        <w:rPr>
          <w:b/>
        </w:rPr>
      </w:pPr>
      <w:r>
        <w:rPr>
          <w:b/>
        </w:rPr>
        <w:t>Приложение №</w:t>
      </w:r>
      <w:r>
        <w:rPr>
          <w:b/>
          <w:lang w:val="en-US"/>
        </w:rPr>
        <w:t>4</w:t>
      </w:r>
      <w:r>
        <w:rPr>
          <w:b/>
        </w:rPr>
        <w:t xml:space="preserve"> к ТТ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Регламент процесса «Допуск персонала подрядных организаций на объекты ПАО «РусГидро» (утв. Приказом ПАО «РусГидро» от 28.04.2023г. №300) представлен отдельным файлом.</w:t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spacing w:lineRule="atLeast" w:line="26"/>
        <w:ind w:left="426" w:hanging="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>
          <w:b/>
        </w:rPr>
      </w:pPr>
      <w:r>
        <w:rPr>
          <w:b/>
        </w:rPr>
        <w:t>Приложение №5 к ТТ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292" w:leader="none"/>
          <w:tab w:val="left" w:pos="465" w:leader="none"/>
        </w:tabs>
        <w:spacing w:lineRule="auto" w:line="252"/>
        <w:ind w:left="54" w:hanging="0"/>
        <w:jc w:val="both"/>
        <w:rPr/>
      </w:pPr>
      <w:r>
        <w:rPr>
          <w:iCs/>
        </w:rPr>
        <w:t xml:space="preserve">«Инструкция по обращению с отходами производства и потребления Воткинской ГЭС» </w:t>
      </w:r>
      <w:r>
        <w:rPr/>
        <w:t>представлена отдельным файлом.</w:t>
      </w:r>
    </w:p>
    <w:p>
      <w:pPr>
        <w:pStyle w:val="Normal"/>
        <w:rPr/>
      </w:pPr>
      <w:r>
        <w:rPr/>
      </w:r>
    </w:p>
    <w:sectPr>
      <w:footerReference w:type="default" r:id="rId11"/>
      <w:footerReference w:type="first" r:id="rId12"/>
      <w:type w:val="nextPage"/>
      <w:pgSz w:w="11906" w:h="16838"/>
      <w:pgMar w:left="1134" w:right="707" w:gutter="284" w:header="0" w:top="709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Trebuchet MS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GOST Type BU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19</w:t>
    </w:r>
    <w:r>
      <w:rPr/>
      <w:fldChar w:fldCharType="end"/>
    </w:r>
  </w:p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  <w:i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027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1027a8"/>
    <w:pPr>
      <w:keepNext w:val="true"/>
      <w:outlineLvl w:val="0"/>
    </w:pPr>
    <w:rPr>
      <w:sz w:val="28"/>
      <w:szCs w:val="20"/>
      <w:lang w:eastAsia="en-US"/>
    </w:rPr>
  </w:style>
  <w:style w:type="paragraph" w:styleId="Heading2">
    <w:name w:val="Heading 2"/>
    <w:basedOn w:val="Normal"/>
    <w:next w:val="Normal"/>
    <w:link w:val="2"/>
    <w:qFormat/>
    <w:rsid w:val="001027a8"/>
    <w:pPr>
      <w:keepNext w:val="true"/>
      <w:jc w:val="center"/>
      <w:outlineLvl w:val="1"/>
    </w:pPr>
    <w:rPr>
      <w:sz w:val="28"/>
      <w:szCs w:val="20"/>
      <w:lang w:val="en-US" w:eastAsia="en-US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027a8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027a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1027a8"/>
    <w:rPr>
      <w:rFonts w:ascii="Times New Roman" w:hAnsi="Times New Roman" w:eastAsia="Times New Roman" w:cs="Times New Roman"/>
      <w:sz w:val="28"/>
      <w:szCs w:val="20"/>
    </w:rPr>
  </w:style>
  <w:style w:type="character" w:styleId="2" w:customStyle="1">
    <w:name w:val="Заголовок 2 Знак"/>
    <w:basedOn w:val="DefaultParagraphFont"/>
    <w:qFormat/>
    <w:rsid w:val="001027a8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3" w:customStyle="1">
    <w:name w:val="Заголовок 3 Знак"/>
    <w:basedOn w:val="DefaultParagraphFont"/>
    <w:uiPriority w:val="9"/>
    <w:semiHidden/>
    <w:qFormat/>
    <w:rsid w:val="001027a8"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1027a8"/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  <w:sz w:val="24"/>
      <w:szCs w:val="24"/>
      <w:lang w:eastAsia="ru-RU"/>
    </w:rPr>
  </w:style>
  <w:style w:type="character" w:styleId="Style5" w:customStyle="1">
    <w:name w:val="Текст выноски Знак"/>
    <w:basedOn w:val="DefaultParagraphFont"/>
    <w:link w:val="BalloonText"/>
    <w:uiPriority w:val="99"/>
    <w:semiHidden/>
    <w:qFormat/>
    <w:rsid w:val="001027a8"/>
    <w:rPr>
      <w:rFonts w:ascii="Tahoma" w:hAnsi="Tahoma" w:eastAsia="Times New Roman" w:cs="Tahoma"/>
      <w:sz w:val="16"/>
      <w:szCs w:val="16"/>
      <w:lang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1027a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11" w:customStyle="1">
    <w:name w:val="Подпункт Знак1"/>
    <w:basedOn w:val="DefaultParagraphFont"/>
    <w:link w:val="Style18"/>
    <w:qFormat/>
    <w:rsid w:val="001027a8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6" w:customStyle="1">
    <w:name w:val="Основной текст Знак"/>
    <w:basedOn w:val="DefaultParagraphFont"/>
    <w:uiPriority w:val="99"/>
    <w:qFormat/>
    <w:rsid w:val="001027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7" w:customStyle="1">
    <w:name w:val="Верхний колонтитул Знак"/>
    <w:basedOn w:val="DefaultParagraphFont"/>
    <w:qFormat/>
    <w:rsid w:val="001027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8" w:customStyle="1">
    <w:name w:val="Нижний колонтитул Знак"/>
    <w:basedOn w:val="DefaultParagraphFont"/>
    <w:uiPriority w:val="99"/>
    <w:qFormat/>
    <w:rsid w:val="001027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027a8"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sid w:val="001027a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Тема примечания Знак"/>
    <w:basedOn w:val="Style9"/>
    <w:link w:val="Annotationsubject"/>
    <w:uiPriority w:val="99"/>
    <w:semiHidden/>
    <w:qFormat/>
    <w:rsid w:val="001027a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1027a8"/>
    <w:rPr>
      <w:color w:val="0000FF"/>
      <w:u w:val="single"/>
    </w:rPr>
  </w:style>
  <w:style w:type="character" w:styleId="9" w:customStyle="1">
    <w:name w:val="Основной текст + 9"/>
    <w:basedOn w:val="DefaultParagraphFont"/>
    <w:uiPriority w:val="99"/>
    <w:qFormat/>
    <w:rsid w:val="001027a8"/>
    <w:rPr>
      <w:rFonts w:ascii="Tahoma" w:hAnsi="Tahoma" w:cs="Tahoma"/>
      <w:i/>
      <w:iCs/>
      <w:spacing w:val="20"/>
      <w:sz w:val="19"/>
      <w:szCs w:val="19"/>
      <w:lang w:val="en-US" w:eastAsia="en-US"/>
    </w:rPr>
  </w:style>
  <w:style w:type="character" w:styleId="12" w:customStyle="1">
    <w:name w:val="Основной текст Знак1"/>
    <w:basedOn w:val="DefaultParagraphFont"/>
    <w:uiPriority w:val="99"/>
    <w:qFormat/>
    <w:rsid w:val="001027a8"/>
    <w:rPr>
      <w:rFonts w:ascii="Tahoma" w:hAnsi="Tahoma" w:cs="Tahoma"/>
      <w:spacing w:val="0"/>
      <w:sz w:val="13"/>
      <w:szCs w:val="13"/>
    </w:rPr>
  </w:style>
  <w:style w:type="character" w:styleId="6pt" w:customStyle="1">
    <w:name w:val="Основной текст + 6 pt"/>
    <w:basedOn w:val="12"/>
    <w:uiPriority w:val="99"/>
    <w:qFormat/>
    <w:rsid w:val="001027a8"/>
    <w:rPr>
      <w:rFonts w:ascii="Tahoma" w:hAnsi="Tahoma" w:cs="Tahoma"/>
      <w:spacing w:val="0"/>
      <w:sz w:val="12"/>
      <w:szCs w:val="12"/>
    </w:rPr>
  </w:style>
  <w:style w:type="character" w:styleId="6pt1" w:customStyle="1">
    <w:name w:val="Основной текст + 6 pt1"/>
    <w:basedOn w:val="12"/>
    <w:uiPriority w:val="99"/>
    <w:qFormat/>
    <w:rsid w:val="001027a8"/>
    <w:rPr>
      <w:rFonts w:ascii="Tahoma" w:hAnsi="Tahoma" w:cs="Tahoma"/>
      <w:spacing w:val="0"/>
      <w:sz w:val="12"/>
      <w:szCs w:val="12"/>
    </w:rPr>
  </w:style>
  <w:style w:type="character" w:styleId="41" w:customStyle="1">
    <w:name w:val="Основной текст (4)"/>
    <w:basedOn w:val="DefaultParagraphFont"/>
    <w:uiPriority w:val="99"/>
    <w:qFormat/>
    <w:rsid w:val="001027a8"/>
    <w:rPr>
      <w:rFonts w:ascii="Tahoma" w:hAnsi="Tahoma" w:cs="Tahoma"/>
      <w:spacing w:val="0"/>
      <w:sz w:val="12"/>
      <w:szCs w:val="12"/>
    </w:rPr>
  </w:style>
  <w:style w:type="character" w:styleId="42" w:customStyle="1">
    <w:name w:val="Основной текст (4)_"/>
    <w:basedOn w:val="DefaultParagraphFont"/>
    <w:link w:val="411"/>
    <w:uiPriority w:val="99"/>
    <w:qFormat/>
    <w:rsid w:val="001027a8"/>
    <w:rPr>
      <w:rFonts w:ascii="Tahoma" w:hAnsi="Tahoma" w:cs="Tahoma"/>
      <w:sz w:val="12"/>
      <w:szCs w:val="12"/>
      <w:shd w:fill="FFFFFF" w:val="clear"/>
    </w:rPr>
  </w:style>
  <w:style w:type="character" w:styleId="9pt" w:customStyle="1">
    <w:name w:val="Основной текст + 9 pt"/>
    <w:basedOn w:val="12"/>
    <w:uiPriority w:val="99"/>
    <w:qFormat/>
    <w:rsid w:val="001027a8"/>
    <w:rPr>
      <w:rFonts w:ascii="Times New Roman" w:hAnsi="Times New Roman" w:cs="Times New Roman"/>
      <w:b/>
      <w:bCs/>
      <w:spacing w:val="0"/>
      <w:sz w:val="18"/>
      <w:szCs w:val="18"/>
    </w:rPr>
  </w:style>
  <w:style w:type="character" w:styleId="Verdana" w:customStyle="1">
    <w:name w:val="Основной текст + Verdana"/>
    <w:basedOn w:val="12"/>
    <w:uiPriority w:val="99"/>
    <w:qFormat/>
    <w:rsid w:val="001027a8"/>
    <w:rPr>
      <w:rFonts w:ascii="Verdana" w:hAnsi="Verdana" w:cs="Verdana"/>
      <w:b/>
      <w:bCs/>
      <w:i/>
      <w:iCs/>
      <w:spacing w:val="0"/>
      <w:sz w:val="16"/>
      <w:szCs w:val="16"/>
    </w:rPr>
  </w:style>
  <w:style w:type="character" w:styleId="Style11" w:customStyle="1">
    <w:name w:val="Основной текст + Полужирный"/>
    <w:basedOn w:val="12"/>
    <w:uiPriority w:val="99"/>
    <w:qFormat/>
    <w:rsid w:val="001027a8"/>
    <w:rPr>
      <w:rFonts w:ascii="Times New Roman" w:hAnsi="Times New Roman" w:cs="Times New Roman"/>
      <w:b/>
      <w:bCs/>
      <w:i/>
      <w:iCs/>
      <w:smallCaps/>
      <w:spacing w:val="20"/>
      <w:sz w:val="17"/>
      <w:szCs w:val="17"/>
    </w:rPr>
  </w:style>
  <w:style w:type="character" w:styleId="TrebuchetMS" w:customStyle="1">
    <w:name w:val="Основной текст + Trebuchet MS"/>
    <w:basedOn w:val="12"/>
    <w:uiPriority w:val="99"/>
    <w:qFormat/>
    <w:rsid w:val="001027a8"/>
    <w:rPr>
      <w:rFonts w:ascii="Trebuchet MS" w:hAnsi="Trebuchet MS" w:cs="Trebuchet MS"/>
      <w:spacing w:val="0"/>
      <w:sz w:val="11"/>
      <w:szCs w:val="11"/>
    </w:rPr>
  </w:style>
  <w:style w:type="character" w:styleId="TrebuchetMS1" w:customStyle="1">
    <w:name w:val="Основной текст + Trebuchet MS1"/>
    <w:basedOn w:val="12"/>
    <w:uiPriority w:val="99"/>
    <w:qFormat/>
    <w:rsid w:val="001027a8"/>
    <w:rPr>
      <w:rFonts w:ascii="Trebuchet MS" w:hAnsi="Trebuchet MS" w:cs="Trebuchet MS"/>
      <w:spacing w:val="0"/>
      <w:sz w:val="11"/>
      <w:szCs w:val="11"/>
    </w:rPr>
  </w:style>
  <w:style w:type="character" w:styleId="111" w:customStyle="1">
    <w:name w:val="Основной текст (11)"/>
    <w:basedOn w:val="DefaultParagraphFont"/>
    <w:uiPriority w:val="99"/>
    <w:qFormat/>
    <w:rsid w:val="001027a8"/>
    <w:rPr>
      <w:rFonts w:ascii="Trebuchet MS" w:hAnsi="Trebuchet MS" w:cs="Trebuchet MS"/>
      <w:spacing w:val="0"/>
      <w:sz w:val="11"/>
      <w:szCs w:val="11"/>
    </w:rPr>
  </w:style>
  <w:style w:type="character" w:styleId="8" w:customStyle="1">
    <w:name w:val="Основной текст (8)"/>
    <w:basedOn w:val="DefaultParagraphFont"/>
    <w:uiPriority w:val="99"/>
    <w:qFormat/>
    <w:rsid w:val="001027a8"/>
    <w:rPr>
      <w:rFonts w:ascii="Times New Roman" w:hAnsi="Times New Roman" w:cs="Times New Roman"/>
      <w:b/>
      <w:bCs/>
      <w:spacing w:val="0"/>
      <w:sz w:val="18"/>
      <w:szCs w:val="18"/>
    </w:rPr>
  </w:style>
  <w:style w:type="character" w:styleId="88" w:customStyle="1">
    <w:name w:val="Основной текст (8) + 8"/>
    <w:basedOn w:val="DefaultParagraphFont"/>
    <w:uiPriority w:val="99"/>
    <w:qFormat/>
    <w:rsid w:val="001027a8"/>
    <w:rPr>
      <w:rFonts w:ascii="Times New Roman" w:hAnsi="Times New Roman" w:cs="Times New Roman"/>
      <w:spacing w:val="0"/>
      <w:sz w:val="17"/>
      <w:szCs w:val="17"/>
    </w:rPr>
  </w:style>
  <w:style w:type="character" w:styleId="-1pt" w:customStyle="1">
    <w:name w:val="Основной текст + Интервал -1 pt"/>
    <w:basedOn w:val="12"/>
    <w:uiPriority w:val="99"/>
    <w:qFormat/>
    <w:rsid w:val="001027a8"/>
    <w:rPr>
      <w:rFonts w:ascii="Times New Roman" w:hAnsi="Times New Roman" w:cs="Times New Roman"/>
      <w:spacing w:val="-20"/>
      <w:sz w:val="17"/>
      <w:szCs w:val="17"/>
    </w:rPr>
  </w:style>
  <w:style w:type="character" w:styleId="Style12" w:customStyle="1">
    <w:name w:val="Абзац списка Знак"/>
    <w:link w:val="ListParagraph"/>
    <w:uiPriority w:val="34"/>
    <w:qFormat/>
    <w:locked/>
    <w:rsid w:val="001027a8"/>
    <w:rPr>
      <w:rFonts w:ascii="Symbol" w:hAnsi="Symbol" w:eastAsia="Times New Roman" w:cs="Times New Roman"/>
      <w:sz w:val="26"/>
      <w:szCs w:val="26"/>
      <w:lang w:eastAsia="ru-RU"/>
    </w:rPr>
  </w:style>
  <w:style w:type="character" w:styleId="Style13" w:customStyle="1">
    <w:name w:val="комментарий"/>
    <w:qFormat/>
    <w:rsid w:val="001027a8"/>
    <w:rPr>
      <w:b/>
      <w:i/>
      <w:shd w:fill="FFFF99" w:val="clear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1027a8"/>
    <w:rPr>
      <w:rFonts w:ascii="Calibri" w:hAnsi="Calibri"/>
      <w:szCs w:val="21"/>
    </w:rPr>
  </w:style>
  <w:style w:type="character" w:styleId="Style15" w:customStyle="1">
    <w:name w:val="Ссылка указателя"/>
    <w:qFormat/>
    <w:rsid w:val="00fd0f85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uiPriority w:val="99"/>
    <w:unhideWhenUsed/>
    <w:rsid w:val="001027a8"/>
    <w:pPr>
      <w:spacing w:before="0" w:after="120"/>
    </w:pPr>
    <w:rPr/>
  </w:style>
  <w:style w:type="paragraph" w:styleId="List">
    <w:name w:val="List"/>
    <w:basedOn w:val="BodyText"/>
    <w:rsid w:val="00fd0f85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rsid w:val="00fd0f85"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rsid w:val="00fd0f85"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Title"/>
    <w:qFormat/>
    <w:rsid w:val="00fd0f85"/>
    <w:pPr/>
    <w:rPr/>
  </w:style>
  <w:style w:type="paragraph" w:styleId="Caption11" w:customStyle="1">
    <w:name w:val="caption11"/>
    <w:basedOn w:val="Normal"/>
    <w:qFormat/>
    <w:rsid w:val="00fd0f85"/>
    <w:pPr>
      <w:suppressLineNumbers/>
      <w:spacing w:before="120" w:after="120"/>
    </w:pPr>
    <w:rPr>
      <w:i/>
      <w:iCs/>
    </w:rPr>
  </w:style>
  <w:style w:type="paragraph" w:styleId="Indexheading11" w:customStyle="1">
    <w:name w:val="index heading11"/>
    <w:basedOn w:val="Title"/>
    <w:qFormat/>
    <w:rsid w:val="00fd0f85"/>
    <w:pPr/>
    <w:rPr/>
  </w:style>
  <w:style w:type="paragraph" w:styleId="Caption111" w:customStyle="1">
    <w:name w:val="caption111"/>
    <w:basedOn w:val="Normal"/>
    <w:qFormat/>
    <w:rsid w:val="00fd0f85"/>
    <w:pPr>
      <w:suppressLineNumbers/>
      <w:spacing w:before="120" w:after="120"/>
    </w:pPr>
    <w:rPr>
      <w:i/>
      <w:iCs/>
    </w:rPr>
  </w:style>
  <w:style w:type="paragraph" w:styleId="Indexheading111" w:customStyle="1">
    <w:name w:val="index heading111"/>
    <w:basedOn w:val="Title"/>
    <w:qFormat/>
    <w:rsid w:val="00fd0f85"/>
    <w:pPr>
      <w:suppressLineNumbers/>
    </w:pPr>
    <w:rPr>
      <w:b/>
      <w:bCs/>
      <w:sz w:val="32"/>
      <w:szCs w:val="32"/>
    </w:rPr>
  </w:style>
  <w:style w:type="paragraph" w:styleId="Caption1111" w:customStyle="1">
    <w:name w:val="caption1111"/>
    <w:basedOn w:val="Normal"/>
    <w:qFormat/>
    <w:rsid w:val="00fd0f85"/>
    <w:pPr>
      <w:suppressLineNumbers/>
      <w:spacing w:before="120" w:after="120"/>
    </w:pPr>
    <w:rPr>
      <w:i/>
      <w:iCs/>
    </w:rPr>
  </w:style>
  <w:style w:type="paragraph" w:styleId="Indexheading1111" w:customStyle="1">
    <w:name w:val="index heading1111"/>
    <w:basedOn w:val="Normal"/>
    <w:qFormat/>
    <w:rsid w:val="00fd0f85"/>
    <w:pPr>
      <w:suppressLineNumbers/>
    </w:pPr>
    <w:rPr/>
  </w:style>
  <w:style w:type="paragraph" w:styleId="NormalWeb">
    <w:name w:val="Normal (Web)"/>
    <w:basedOn w:val="Normal"/>
    <w:uiPriority w:val="99"/>
    <w:unhideWhenUsed/>
    <w:qFormat/>
    <w:rsid w:val="001027a8"/>
    <w:pPr>
      <w:spacing w:beforeAutospacing="1" w:afterAutospacing="1"/>
    </w:pPr>
    <w:rPr/>
  </w:style>
  <w:style w:type="paragraph" w:styleId="ListParagraph">
    <w:name w:val="List Paragraph"/>
    <w:basedOn w:val="Normal"/>
    <w:link w:val="Style12"/>
    <w:uiPriority w:val="34"/>
    <w:qFormat/>
    <w:rsid w:val="001027a8"/>
    <w:pPr>
      <w:numPr>
        <w:ilvl w:val="0"/>
        <w:numId w:val="1"/>
      </w:numPr>
      <w:spacing w:before="0" w:after="0"/>
      <w:ind w:left="0" w:hanging="0"/>
      <w:contextualSpacing/>
      <w:jc w:val="both"/>
    </w:pPr>
    <w:rPr>
      <w:rFonts w:ascii="Symbol" w:hAnsi="Symbol"/>
      <w:sz w:val="26"/>
      <w:szCs w:val="26"/>
    </w:rPr>
  </w:style>
  <w:style w:type="paragraph" w:styleId="BalloonText">
    <w:name w:val="Balloon Text"/>
    <w:basedOn w:val="Normal"/>
    <w:link w:val="Style5"/>
    <w:uiPriority w:val="99"/>
    <w:semiHidden/>
    <w:unhideWhenUsed/>
    <w:qFormat/>
    <w:rsid w:val="001027a8"/>
    <w:pPr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31"/>
    <w:qFormat/>
    <w:rsid w:val="001027a8"/>
    <w:pPr>
      <w:spacing w:before="0" w:after="120"/>
      <w:ind w:left="283" w:hanging="0"/>
    </w:pPr>
    <w:rPr>
      <w:sz w:val="16"/>
      <w:szCs w:val="16"/>
    </w:rPr>
  </w:style>
  <w:style w:type="paragraph" w:styleId="Style18" w:customStyle="1">
    <w:name w:val="Подпункт"/>
    <w:basedOn w:val="Normal"/>
    <w:link w:val="11"/>
    <w:qFormat/>
    <w:rsid w:val="001027a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 w:val="28"/>
      <w:szCs w:val="20"/>
    </w:rPr>
  </w:style>
  <w:style w:type="paragraph" w:styleId="ConsPlusNormal" w:customStyle="1">
    <w:name w:val="ConsPlusNormal"/>
    <w:qFormat/>
    <w:rsid w:val="001027a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19" w:customStyle="1">
    <w:name w:val="Колонтитул"/>
    <w:basedOn w:val="Normal"/>
    <w:qFormat/>
    <w:rsid w:val="00fd0f85"/>
    <w:pPr/>
    <w:rPr/>
  </w:style>
  <w:style w:type="paragraph" w:styleId="Header">
    <w:name w:val="Header"/>
    <w:basedOn w:val="Normal"/>
    <w:link w:val="Style7"/>
    <w:rsid w:val="001027a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8"/>
    <w:uiPriority w:val="99"/>
    <w:rsid w:val="001027a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9"/>
    <w:uiPriority w:val="99"/>
    <w:semiHidden/>
    <w:unhideWhenUsed/>
    <w:qFormat/>
    <w:rsid w:val="001027a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1027a8"/>
    <w:pPr/>
    <w:rPr>
      <w:b/>
      <w:bCs/>
    </w:rPr>
  </w:style>
  <w:style w:type="paragraph" w:styleId="Headertext" w:customStyle="1">
    <w:name w:val="headertext"/>
    <w:basedOn w:val="Normal"/>
    <w:qFormat/>
    <w:rsid w:val="001027a8"/>
    <w:pPr>
      <w:spacing w:beforeAutospacing="1" w:afterAutospacing="1"/>
    </w:pPr>
    <w:rPr/>
  </w:style>
  <w:style w:type="paragraph" w:styleId="411" w:customStyle="1">
    <w:name w:val="Основной текст (4)1"/>
    <w:basedOn w:val="Normal"/>
    <w:link w:val="42"/>
    <w:uiPriority w:val="99"/>
    <w:qFormat/>
    <w:rsid w:val="001027a8"/>
    <w:pPr>
      <w:shd w:val="clear" w:color="auto" w:fill="FFFFFF"/>
      <w:spacing w:lineRule="atLeast" w:line="240" w:before="420" w:after="0"/>
      <w:jc w:val="center"/>
    </w:pPr>
    <w:rPr>
      <w:rFonts w:ascii="Tahoma" w:hAnsi="Tahoma" w:eastAsia="Calibri" w:cs="Tahoma" w:eastAsiaTheme="minorHAnsi"/>
      <w:sz w:val="12"/>
      <w:szCs w:val="12"/>
      <w:lang w:eastAsia="en-US"/>
    </w:rPr>
  </w:style>
  <w:style w:type="paragraph" w:styleId="TOC1">
    <w:name w:val="TOC 1"/>
    <w:basedOn w:val="Normal"/>
    <w:next w:val="Normal"/>
    <w:autoRedefine/>
    <w:uiPriority w:val="39"/>
    <w:rsid w:val="001027a8"/>
    <w:pPr>
      <w:spacing w:before="120" w:after="0"/>
    </w:pPr>
    <w:rPr>
      <w:rFonts w:cs="Calibri" w:cstheme="minorHAnsi"/>
      <w:b/>
      <w:bCs/>
      <w:iCs/>
    </w:rPr>
  </w:style>
  <w:style w:type="paragraph" w:styleId="TOC3">
    <w:name w:val="TOC 3"/>
    <w:basedOn w:val="Normal"/>
    <w:next w:val="Normal"/>
    <w:autoRedefine/>
    <w:uiPriority w:val="39"/>
    <w:rsid w:val="001027a8"/>
    <w:pPr>
      <w:widowControl w:val="false"/>
      <w:tabs>
        <w:tab w:val="clear" w:pos="708"/>
        <w:tab w:val="left" w:pos="1400" w:leader="none"/>
        <w:tab w:val="right" w:pos="9911" w:leader="dot"/>
      </w:tabs>
    </w:pPr>
    <w:rPr>
      <w:rFonts w:cs="Calibri" w:cstheme="minorHAnsi"/>
    </w:rPr>
  </w:style>
  <w:style w:type="paragraph" w:styleId="TOC4">
    <w:name w:val="TOC 4"/>
    <w:basedOn w:val="Normal"/>
    <w:next w:val="Normal"/>
    <w:autoRedefine/>
    <w:uiPriority w:val="39"/>
    <w:rsid w:val="001027a8"/>
    <w:pPr>
      <w:widowControl w:val="false"/>
      <w:tabs>
        <w:tab w:val="clear" w:pos="708"/>
        <w:tab w:val="right" w:pos="9771" w:leader="dot"/>
      </w:tabs>
      <w:jc w:val="both"/>
    </w:pPr>
    <w:rPr>
      <w:rFonts w:cs="Calibri" w:cstheme="minorHAnsi"/>
    </w:rPr>
  </w:style>
  <w:style w:type="paragraph" w:styleId="Style20" w:customStyle="1">
    <w:name w:val="Таблица"/>
    <w:basedOn w:val="Normal"/>
    <w:qFormat/>
    <w:rsid w:val="001027a8"/>
    <w:pPr>
      <w:keepNext w:val="true"/>
      <w:spacing w:before="60" w:after="60"/>
      <w:jc w:val="center"/>
    </w:pPr>
    <w:rPr>
      <w:rFonts w:eastAsia="Calibri"/>
      <w:b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1027a8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21" w:customStyle="1">
    <w:name w:val="[РГ] Текст"/>
    <w:basedOn w:val="Normal"/>
    <w:qFormat/>
    <w:rsid w:val="001027a8"/>
    <w:pPr>
      <w:spacing w:before="120" w:after="0"/>
      <w:jc w:val="both"/>
    </w:pPr>
    <w:rPr>
      <w:rFonts w:cs="Times New Roman (???????? ?????"/>
      <w:color w:val="000000"/>
      <w:sz w:val="26"/>
      <w:lang w:eastAsia="en-US"/>
    </w:rPr>
  </w:style>
  <w:style w:type="paragraph" w:styleId="13" w:customStyle="1">
    <w:name w:val="Обычный (веб)1"/>
    <w:basedOn w:val="Normal"/>
    <w:uiPriority w:val="99"/>
    <w:qFormat/>
    <w:rsid w:val="001027a8"/>
    <w:pPr>
      <w:spacing w:beforeAutospacing="1" w:afterAutospacing="1"/>
      <w:ind w:left="1724" w:hanging="0"/>
      <w:jc w:val="both"/>
    </w:pPr>
    <w:rPr>
      <w:color w:val="000000" w:themeColor="text1"/>
    </w:rPr>
  </w:style>
  <w:style w:type="paragraph" w:styleId="Style22" w:customStyle="1">
    <w:name w:val="Содержимое таблицы"/>
    <w:basedOn w:val="Normal"/>
    <w:qFormat/>
    <w:rsid w:val="00fd0f85"/>
    <w:pPr>
      <w:widowControl w:val="false"/>
      <w:suppressLineNumbers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Indexheading111"/>
    <w:qFormat/>
    <w:rsid w:val="00fd0f85"/>
    <w:pPr/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Table Grid"/>
    <w:basedOn w:val="a2"/>
    <w:uiPriority w:val="59"/>
    <w:rsid w:val="001027a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"/>
    <w:basedOn w:val="a2"/>
    <w:uiPriority w:val="39"/>
    <w:rsid w:val="001027a8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FDB8C-96CE-4B24-9D01-7AC74B5B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Application>AlterOffice/3.4.0.9$Linux_X86_64 LibreOffice_project/b8daf9e823b1a5463a2f48435ddc2e8696e7d4fc</Application>
  <AppVersion>15.0000</AppVersion>
  <Pages>19</Pages>
  <Words>2197</Words>
  <Characters>15258</Characters>
  <CharactersWithSpaces>17227</CharactersWithSpaces>
  <Paragraphs>255</Paragraphs>
  <Company>PJSC 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2026-06-10T04:42:00Z</dcterms:created>
  <dc:creator>Сальникова Евгения Леонидовна</dc:creator>
  <dc:description/>
  <dc:language>ru-RU</dc:language>
  <cp:lastModifiedBy>korshunovael@corp.gidroogk.com</cp:lastModifiedBy>
  <cp:lastPrinted>2025-09-03T09:16:00Z</cp:lastPrinted>
  <dcterms:modified xsi:type="dcterms:W3CDTF">2026-08-19T15:16:35Z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