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«____» _______________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2026г.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 2: 33.14.11.000 Выполнение работ по ремонту полюсов выключателей ВГТ-110 </w:t>
      </w:r>
      <w:r>
        <w:rPr>
          <w:rFonts w:eastAsia="Calibri"/>
          <w:sz w:val="26"/>
          <w:szCs w:val="26"/>
        </w:rPr>
        <w:t>на производственной площадке завода-изготовителя АО «УЭТМ»</w:t>
      </w:r>
      <w:r>
        <w:rPr>
          <w:rFonts w:eastAsia="Calibri"/>
          <w:sz w:val="26"/>
          <w:szCs w:val="26"/>
        </w:rPr>
        <w:t xml:space="preserve"> для нужд Воткинского филиала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5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</w:rPr>
            <w:fldChar w:fldCharType="separate"/>
          </w:r>
          <w:hyperlink w:anchor="_Toc54646395">
            <w:r>
              <w:rPr>
                <w:webHidden/>
                <w:rStyle w:val="Style15"/>
                <w:vanish w:val="false"/>
              </w:rPr>
              <w:t>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Общие сведения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6397">
            <w:r>
              <w:rPr>
                <w:webHidden/>
                <w:rStyle w:val="Style15"/>
                <w:iCs/>
                <w:vanish w:val="false"/>
              </w:rPr>
              <w:t>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Наименование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6398">
            <w:r>
              <w:rPr>
                <w:webHidden/>
                <w:rStyle w:val="Style15"/>
                <w:iCs/>
                <w:vanish w:val="false"/>
              </w:rPr>
              <w:t>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Цель выполнения работ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6399">
            <w:r>
              <w:rPr>
                <w:webHidden/>
                <w:rStyle w:val="Style15"/>
                <w:iCs/>
                <w:vanish w:val="false"/>
              </w:rPr>
              <w:t>1.3.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_Toc54646399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Существующее положение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00">
            <w:r>
              <w:rPr>
                <w:webHidden/>
                <w:rStyle w:val="Style15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6401">
            <w:r>
              <w:rPr>
                <w:webHidden/>
                <w:rStyle w:val="Style15"/>
                <w:iCs/>
                <w:vanish w:val="false"/>
              </w:rPr>
              <w:t>1.4.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03">
            <w:r>
              <w:rPr>
                <w:webHidden/>
                <w:rStyle w:val="Style15"/>
                <w:vanish w:val="false"/>
              </w:rPr>
              <w:t>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6404">
            <w:r>
              <w:rPr>
                <w:webHidden/>
                <w:rStyle w:val="Style15"/>
                <w:iCs/>
                <w:vanish w:val="false"/>
              </w:rPr>
              <w:t>2.1.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объемам и срокам выполнения работ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6405">
            <w:r>
              <w:rPr>
                <w:webHidden/>
                <w:rStyle w:val="Style15"/>
                <w:vanish w:val="false"/>
              </w:rPr>
              <w:t>2.1.1.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видам и объемам работ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06">
            <w:r>
              <w:rPr>
                <w:webHidden/>
                <w:rStyle w:val="Style15"/>
                <w:vanish w:val="false"/>
              </w:rPr>
              <w:t>Таблица 2. Перечень и объем выполняемых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6407">
            <w:r>
              <w:rPr>
                <w:webHidden/>
                <w:rStyle w:val="Style15"/>
                <w:vanish w:val="false"/>
              </w:rPr>
              <w:t>2.1.2.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срокам выполнения работ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08">
            <w:r>
              <w:rPr>
                <w:webHidden/>
                <w:rStyle w:val="Style15"/>
                <w:vanish w:val="false"/>
              </w:rPr>
              <w:t>Таблица 3. Требования по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6409">
            <w:r>
              <w:rPr>
                <w:webHidden/>
                <w:rStyle w:val="Style15"/>
                <w:iCs/>
                <w:vanish w:val="false"/>
              </w:rPr>
              <w:t>2.2.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качеству работ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10">
            <w:r>
              <w:rPr>
                <w:webHidden/>
                <w:rStyle w:val="Style15"/>
                <w:vanish w:val="false"/>
              </w:rPr>
              <w:t>Таблица 4. Требования к качеству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11">
            <w:r>
              <w:rPr>
                <w:webHidden/>
                <w:rStyle w:val="Style15"/>
                <w:vanish w:val="false"/>
              </w:rPr>
              <w:t>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документации по ценообразованию на этапе закупки</w:t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12">
            <w:r>
              <w:rPr>
                <w:webHidden/>
                <w:rStyle w:val="Style15"/>
                <w:vanish w:val="false"/>
              </w:rPr>
              <w:t>4.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документации по ценообразованию на этапе заключения (исполнения) договора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13">
            <w:r>
              <w:rPr>
                <w:webHidden/>
                <w:rStyle w:val="Style15"/>
                <w:vanish w:val="false"/>
              </w:rPr>
              <w:t>5.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5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6414">
            <w:r>
              <w:rPr>
                <w:webHidden/>
                <w:rStyle w:val="Style15"/>
                <w:vanish w:val="false"/>
              </w:rPr>
              <w:t>Требования к оформлению и составлению документации по ценообразованию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_Toc54646414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54646395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54646397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ОКПД 2: 33.14.11.000 Выполнение работ по ремонту полюсов выключателей ВГТ-110 на производственной площадке завода-изготовителя АО «УЭТМ» для нужд Воткинского филиала.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54646398"/>
      <w:bookmarkStart w:id="5" w:name="_Toc46743507"/>
      <w:r>
        <w:rPr/>
        <w:t xml:space="preserve">Цель </w:t>
      </w:r>
      <w:bookmarkEnd w:id="5"/>
      <w:r>
        <w:rPr>
          <w:lang w:val="ru-RU"/>
        </w:rPr>
        <w:t>выполнения работ</w:t>
      </w:r>
      <w:r>
        <w:rPr/>
        <w:t xml:space="preserve">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120"/>
        <w:jc w:val="both"/>
        <w:rPr>
          <w:rFonts w:eastAsia="Calibri"/>
          <w:lang w:eastAsia="x-none"/>
        </w:rPr>
      </w:pPr>
      <w:r>
        <w:rPr>
          <w:i/>
          <w:sz w:val="24"/>
          <w:szCs w:val="24"/>
        </w:rPr>
        <w:t xml:space="preserve">Исполнение обязательств по договору №4-РЕМ-2023-ВотГЭС от 31.10.2023 «Работы по капитальному и текущему ремонту оборудования, зданий, сооружений», заключенного между филиалом ПАО «РусГидро»-«Воткинская ГЭС» с одной стороны и Воткинским филиалом АО «Гидроремонт-ВКК» в г. Чайковский, с другой стороны. </w:t>
      </w:r>
    </w:p>
    <w:p>
      <w:pPr>
        <w:pStyle w:val="Heading4"/>
        <w:numPr>
          <w:ilvl w:val="1"/>
          <w:numId w:val="3"/>
        </w:numPr>
        <w:rPr/>
      </w:pPr>
      <w:bookmarkStart w:id="6" w:name="_Toc54646399"/>
      <w:bookmarkStart w:id="7" w:name="_Toc46743508"/>
      <w:r>
        <w:rPr/>
        <w:t>Существующее положение</w:t>
      </w:r>
      <w:bookmarkEnd w:id="7"/>
      <w:r>
        <w:rPr>
          <w:lang w:val="ru-RU"/>
        </w:rPr>
        <w:t xml:space="preserve"> </w:t>
      </w:r>
      <w:bookmarkEnd w:id="6"/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На ОРУ-110кВ филиала ПАО «РусГидро-Воткинская ГЭС» установлены элегазовые выключатели серии ВГТ с пружинным приводом ППрК-1800С.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8" w:name="_Toc54646400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2663"/>
        <w:gridCol w:w="2440"/>
        <w:gridCol w:w="2269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выполняются работы)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ОКПД 2: 33.14.11.000 Выполнение работ по ремонту полюсов выключателей ВГТ-110 на производственной площадке завода-изготовителя АО «УЭТМ» для нужд Воткинского филиала.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Филиал ПАО «РусГидро-Воткинская ГЭС», Российская Федерация, Пермский край, г. Чайковский, территория Воткинской ГЭС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Элегазовый выключатель ВГТ-110</w:t>
            </w:r>
            <w:r>
              <w:rPr>
                <w:i/>
                <w:sz w:val="22"/>
                <w:szCs w:val="22"/>
                <w:lang w:val="en-US"/>
              </w:rPr>
              <w:t>II</w:t>
            </w:r>
            <w:r>
              <w:rPr>
                <w:i/>
                <w:sz w:val="22"/>
                <w:szCs w:val="22"/>
              </w:rPr>
              <w:t>-40/2500 УХЛ1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Эксплуатирующая организация: ПАО «РусГидро-Воткинская ГЭС»</w:t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54646403"/>
      <w:bookmarkStart w:id="10" w:name="_Toc51339693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54646404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1"/>
    </w:p>
    <w:p>
      <w:pPr>
        <w:pStyle w:val="Heading3"/>
        <w:numPr>
          <w:ilvl w:val="2"/>
          <w:numId w:val="3"/>
        </w:numPr>
        <w:rPr/>
      </w:pPr>
      <w:bookmarkStart w:id="12" w:name="_Toc54646405"/>
      <w:r>
        <w:rPr>
          <w:lang w:val="ru-RU"/>
        </w:rPr>
        <w:t>Требования к видам и объемам работ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54646406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выполняемых работ</w:t>
      </w:r>
      <w:bookmarkEnd w:id="13"/>
    </w:p>
    <w:tbl>
      <w:tblPr>
        <w:tblW w:w="995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5"/>
        <w:gridCol w:w="5391"/>
        <w:gridCol w:w="2019"/>
        <w:gridCol w:w="10"/>
        <w:gridCol w:w="1686"/>
      </w:tblGrid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ОКПД 2: 33.14.11.000 Выполнение работ по ремонту полюсов выключателей ВГТ-110 на производственной площадке завода-изготовителя АО «УЭТМ» для нужд Воткинского филиала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i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i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i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i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i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i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i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54646407"/>
      <w:bookmarkStart w:id="16" w:name="_Toc51339696"/>
      <w:bookmarkStart w:id="17" w:name="_Hlk127449234"/>
      <w:bookmarkEnd w:id="17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выполнения работ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54646408"/>
      <w:bookmarkStart w:id="19" w:name="_Toc51339697"/>
      <w:bookmarkStart w:id="20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1"/>
      <w:r>
        <w:rPr>
          <w:sz w:val="24"/>
          <w:szCs w:val="24"/>
          <w:lang w:val="ru-RU"/>
        </w:rPr>
        <w:t>выполнения работ</w:t>
      </w:r>
      <w:bookmarkEnd w:id="18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6"/>
        <w:gridCol w:w="2994"/>
        <w:gridCol w:w="2610"/>
        <w:gridCol w:w="3467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ОКПД 2: 33.14.11.000 Выполнение работ по ремонту полюсов выключателей ВГТ-110 на производственной площадке завода-изготовителя АО «УЭТМ» для нужд Воткинского филиала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 даты оплаты по договору </w:t>
            </w:r>
            <w:r>
              <w:rPr>
                <w:i/>
                <w:sz w:val="24"/>
                <w:szCs w:val="24"/>
              </w:rPr>
              <w:t>(для каждого полюса)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 течение 30  календарных дней  с даты оплаты с правом досрочного завершения работ (для каждого полюса), при наличии всех необходимых материалов и при наличии самих ремонтируемых изделий на территории завода-изготовителя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2" w:name="_Toc54646410"/>
      <w:bookmarkStart w:id="23" w:name="_Toc51339698"/>
      <w:r>
        <w:rPr/>
        <w:t xml:space="preserve">Требования к </w:t>
      </w:r>
      <w:r>
        <w:rPr>
          <w:lang w:val="ru-RU"/>
        </w:rPr>
        <w:t>качеству работ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3"/>
      <w:r>
        <w:rPr>
          <w:sz w:val="24"/>
          <w:szCs w:val="24"/>
          <w:lang w:val="ru-RU"/>
        </w:rPr>
        <w:t>качеству работ</w:t>
      </w:r>
      <w:bookmarkEnd w:id="22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snapToGrid w:val="false"/>
        <w:spacing w:before="0" w:after="120"/>
        <w:rPr>
          <w:rStyle w:val="Style8"/>
          <w:b w:val="false"/>
          <w:iCs/>
          <w:sz w:val="24"/>
          <w:szCs w:val="24"/>
        </w:rPr>
      </w:pPr>
      <w:r>
        <w:rPr>
          <w:b/>
          <w:bCs/>
          <w:sz w:val="24"/>
          <w:szCs w:val="24"/>
        </w:rPr>
        <w:t>Наименование работ/этапа работ (позиция №</w:t>
      </w:r>
      <w:r>
        <w:rPr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Таблицы 2): </w:t>
      </w:r>
      <w:r>
        <w:rPr>
          <w:b w:val="false"/>
          <w:bCs w:val="false"/>
          <w:i/>
          <w:iCs/>
          <w:sz w:val="24"/>
          <w:szCs w:val="24"/>
        </w:rPr>
        <w:t xml:space="preserve">ОКПД 2: 33.14.11.000 Выполнение работ по ремонту полюсов выключателей ВГТ-110 на производственной площадке завода-изготовителя АО «УЭТМ» для нужд Воткинского филиала </w:t>
      </w:r>
    </w:p>
    <w:tbl>
      <w:tblPr>
        <w:tblStyle w:val="affff6"/>
        <w:tblW w:w="1403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67"/>
        <w:gridCol w:w="2007"/>
        <w:gridCol w:w="3604"/>
        <w:gridCol w:w="2227"/>
        <w:gridCol w:w="2692"/>
        <w:gridCol w:w="2736"/>
      </w:tblGrid>
      <w:tr>
        <w:trPr/>
        <w:tc>
          <w:tcPr>
            <w:tcW w:w="7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6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0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выполнению работ 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bookmarkStart w:id="24" w:name="_GoBack"/>
            <w:bookmarkEnd w:id="24"/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выполняемых работ</w:t>
            </w:r>
          </w:p>
        </w:tc>
        <w:tc>
          <w:tcPr>
            <w:tcW w:w="36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Работа выполняется в заводских условиях и включает в себя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: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Выполнение работ согласно ведомости планируемых работ (Приложение №</w:t>
            </w:r>
            <w:r>
              <w:rPr>
                <w:rFonts w:cs="Times New Roman"/>
                <w:kern w:val="0"/>
                <w:lang w:val="ru-RU" w:eastAsia="ru-RU" w:bidi="ar-SA"/>
              </w:rPr>
              <w:t>2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к настоящим техническим требованиям);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Проведение необходимых измерений и испытаний, предусмотренных требованиями регламентирующих документов и ведомостью планируемых работ;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Оформление приемосдаточной документации по работам (акт сдачи-приемки выполненных работ и др.) в соответствии с требованиями регламентирующих документов.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используемым материалам и оборудованию</w:t>
            </w:r>
          </w:p>
        </w:tc>
        <w:tc>
          <w:tcPr>
            <w:tcW w:w="360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8" w:firstLine="142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Процедуры закупок всех необходимых материалов и оборудования производится подрядчиком в соответствии с нормами и законами, действующими на территории РФ в объемах, предусмотренных ведомостью планируемых работ;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8" w:firstLine="142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Продукция должна быть новой (не восстановленной), не ранее 202</w:t>
            </w:r>
            <w:r>
              <w:rPr>
                <w:rFonts w:cs="Times New Roman"/>
                <w:kern w:val="0"/>
                <w:lang w:val="ru-RU" w:eastAsia="ru-RU" w:bidi="ar-SA"/>
              </w:rPr>
              <w:t>6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года выпуска и ранее не использовавшейся.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качества работ</w:t>
            </w:r>
          </w:p>
        </w:tc>
        <w:tc>
          <w:tcPr>
            <w:tcW w:w="3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Подрядчик обязан применять такие виды и объемы контроля своих работ, которые гарантировали их высокое качество и надежность в эксплуатации в соответствии с положениями законов, актов и других официальных требований России и российских государственных органов.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en-US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материалов и оборудования</w:t>
            </w:r>
          </w:p>
        </w:tc>
        <w:tc>
          <w:tcPr>
            <w:tcW w:w="3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работ должны применяться материалы, соответствие которых нормативным требованиям подтверждено декларацией о соответствии или сертификатом соответствия.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3604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150" w:leader="none"/>
              </w:tabs>
              <w:suppressAutoHyphens w:val="true"/>
              <w:spacing w:before="60" w:after="0"/>
              <w:ind w:left="8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Подрядчик должен иметь укомплектованный штат квалифицированных и аттестованных в соответствии с требованиями Нормативной документации специалистов.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360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8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Подрядчик должен: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292" w:leader="none"/>
              </w:tabs>
              <w:suppressAutoHyphens w:val="true"/>
              <w:spacing w:before="0" w:after="0"/>
              <w:ind w:left="8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</w:t>
              <w:tab/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Федерации, 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деятельности.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работ</w:t>
            </w:r>
          </w:p>
        </w:tc>
        <w:tc>
          <w:tcPr>
            <w:tcW w:w="3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результатам выполненных работ выключатель ВГТ-110 должен обеспечивать коммутацию электрических цепей при нормальных и аварийных режимах, а также работу в циклах АПВ: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 – 0,3с - ВО - 180с - ВО;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 – 0,3с - ВО - 20с – ВО;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 - 180с - ВО - 180с – ВО, в соответствии с требованиями «Руководство по эксплуатации элегазовых выключателей серии ВГТ 2БП.029.001 РЭ»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en-US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3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обязан передать заказчику акт сдачи - приемки выполненных работ, справку о фактических трудозатратах, паспорт полюса для выключателя тип ВГТ-110.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0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работ</w:t>
            </w:r>
          </w:p>
        </w:tc>
        <w:tc>
          <w:tcPr>
            <w:tcW w:w="3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срок на результат работ должен составлять 12 месяцев с даты подписания Акта сдачи - приемки выполненных работ.</w:t>
            </w:r>
          </w:p>
        </w:tc>
        <w:tc>
          <w:tcPr>
            <w:tcW w:w="2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ru-RU" w:bidi="ar-SA"/>
              </w:rPr>
              <w:t>-</w:t>
            </w:r>
          </w:p>
        </w:tc>
        <w:tc>
          <w:tcPr>
            <w:tcW w:w="27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5" w:name="_Toc54646411"/>
      <w:bookmarkStart w:id="26" w:name="_Toc53393312"/>
      <w:r>
        <w:rPr>
          <w:lang w:val="ru-RU"/>
        </w:rPr>
        <w:t>Требования к документации по ценообразованию</w:t>
      </w:r>
      <w:bookmarkEnd w:id="26"/>
      <w:r>
        <w:rPr>
          <w:lang w:val="ru-RU"/>
        </w:rPr>
        <w:t xml:space="preserve"> на этапе закупки</w:t>
      </w:r>
      <w:bookmarkEnd w:id="25"/>
    </w:p>
    <w:p>
      <w:pPr>
        <w:pStyle w:val="PlainText"/>
        <w:spacing w:before="120" w:after="120"/>
        <w:ind w:left="567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учётом прилагаемой к ней инструкции по заполнению), приведённой в Документации о закупке.</w:t>
      </w:r>
    </w:p>
    <w:p>
      <w:pPr>
        <w:pStyle w:val="PlainText"/>
        <w:spacing w:before="120" w:after="120"/>
        <w:ind w:left="567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3.2.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  <w:bookmarkStart w:id="27" w:name="_Hlk125441686"/>
      <w:bookmarkStart w:id="28" w:name="_Hlk125441686"/>
      <w:bookmarkEnd w:id="28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9" w:name="_Hlk125441985"/>
      <w:bookmarkStart w:id="30" w:name="_Toc54646412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29"/>
      <w:bookmarkEnd w:id="30"/>
    </w:p>
    <w:p>
      <w:pPr>
        <w:pStyle w:val="PlainText"/>
        <w:numPr>
          <w:ilvl w:val="1"/>
          <w:numId w:val="3"/>
        </w:numPr>
        <w:spacing w:before="120" w:after="12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Calibri"/>
          <w:szCs w:val="22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Сметную документацию составлять и оформлять в соответствии с требованиями к документации по ценообразованию (Приложение №1 к настоящим техническим требованиям) с начислением понижающего коэффициента, приводящего к стоимости, указанной в ТКП участника, с которым принято решение заключить договор. Коэффициент начисляется в каждой локальной смете к итогу.</w:t>
      </w:r>
    </w:p>
    <w:p>
      <w:pPr>
        <w:pStyle w:val="PlainText"/>
        <w:spacing w:before="120" w:after="120"/>
        <w:ind w:left="432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31" w:name="_Toc51339699"/>
      <w:bookmarkStart w:id="32" w:name="_Toc46743519"/>
      <w:bookmarkStart w:id="33" w:name="_Toc54646413"/>
      <w:r>
        <w:rPr>
          <w:iCs/>
        </w:rPr>
        <w:t>Приложения</w:t>
      </w:r>
      <w:bookmarkEnd w:id="31"/>
      <w:bookmarkEnd w:id="32"/>
      <w:bookmarkEnd w:id="33"/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№1: требования к оформлению и составлению сметной документации на выполнение работ при новом строительстве, реконструкции и техническом перевооружении, ремонте.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№2: ведомость планируемых работ.</w:t>
      </w:r>
      <w:r>
        <w:br w:type="page"/>
      </w:r>
    </w:p>
    <w:p>
      <w:pPr>
        <w:pStyle w:val="Normal"/>
        <w:jc w:val="right"/>
        <w:rPr>
          <w:b/>
          <w:i/>
          <w:i/>
          <w:sz w:val="24"/>
          <w:szCs w:val="24"/>
        </w:rPr>
      </w:pPr>
      <w:bookmarkStart w:id="34" w:name="_Hlk48222348"/>
      <w:r>
        <w:rPr>
          <w:b/>
          <w:i/>
          <w:sz w:val="24"/>
          <w:szCs w:val="24"/>
        </w:rPr>
        <w:t xml:space="preserve">Приложение № 1 к ТТ </w:t>
      </w:r>
      <w:bookmarkEnd w:id="34"/>
    </w:p>
    <w:p>
      <w:pPr>
        <w:pStyle w:val="Heading1"/>
        <w:keepLines/>
        <w:tabs>
          <w:tab w:val="clear" w:pos="0"/>
        </w:tabs>
        <w:ind w:left="357" w:hanging="0"/>
        <w:jc w:val="center"/>
        <w:rPr>
          <w:b w:val="false"/>
        </w:rPr>
      </w:pPr>
      <w:bookmarkStart w:id="35" w:name="_Toc54646414"/>
      <w:bookmarkStart w:id="36" w:name="_Toc54451385"/>
      <w:r>
        <w:rPr/>
        <w:t>Требования к оформлению и составлению документации по ценообразованию</w:t>
      </w:r>
      <w:bookmarkEnd w:id="35"/>
      <w:bookmarkEnd w:id="36"/>
    </w:p>
    <w:p>
      <w:pPr>
        <w:pStyle w:val="Normal"/>
        <w:keepNext w:val="true"/>
        <w:keepLines/>
        <w:spacing w:before="0" w:after="120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</w:r>
      <w:bookmarkStart w:id="37" w:name="_Hlk48224758"/>
      <w:bookmarkStart w:id="38" w:name="_Ref40301253"/>
      <w:bookmarkStart w:id="39" w:name="_Hlk48224758"/>
      <w:bookmarkStart w:id="40" w:name="_Ref40301253"/>
      <w:bookmarkEnd w:id="39"/>
      <w:bookmarkEnd w:id="40"/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Требования к оформлению и составлению документации по ценообразованию могут быть дополнительно представлены в отдельном файле.</w:t>
      </w:r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jc w:val="right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№2 к ТТ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Ведомость планируемых работ. Ремонт </w:t>
      </w:r>
      <w:r>
        <w:rPr>
          <w:sz w:val="24"/>
          <w:szCs w:val="24"/>
        </w:rPr>
        <w:t>10-и</w:t>
      </w:r>
      <w:r>
        <w:rPr>
          <w:sz w:val="24"/>
          <w:szCs w:val="24"/>
        </w:rPr>
        <w:t xml:space="preserve"> полюсов выключателя ВГТ-110.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06" w:type="dxa"/>
        <w:jc w:val="left"/>
        <w:tblInd w:w="1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46"/>
        <w:gridCol w:w="5408"/>
        <w:gridCol w:w="1842"/>
        <w:gridCol w:w="745"/>
        <w:gridCol w:w="1165"/>
      </w:tblGrid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п/п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Кол.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>
        <w:trPr/>
        <w:tc>
          <w:tcPr>
            <w:tcW w:w="9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1. Ремонт </w:t>
            </w: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полюсов выключателя ВГТ-110 (для каждого полюса)</w:t>
            </w:r>
          </w:p>
        </w:tc>
      </w:tr>
      <w:tr>
        <w:trPr>
          <w:trHeight w:val="1867" w:hRule="atLeast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Разгрузка ящика с полюсом с транспортного средства. Внешний осмотр изоляторов на наличие повреждений. Проверка транспортного давления. Ручной перевод контактов во включенное положение. Контрольный замер переходного сопротивления (до ревизии). Откачивание транспортного давления элегаза. Демонтаж осушителя и упаковка в герметичный мешок, дугогасительной камеры, узла подвижных и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неподвижных контактов, зачистка фланцев и уплотнений от старой смазки. Ревизия контактных поверхностей главных контактов с зачисткой от старой смазки, нанесение новой. Проверка затяжек болтов крепления алюминиевых токопроводов (нижн. и верхн.) к выводам камеры используя смазку для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контактных поверхностей, для винтов и стопорных шайб. Сборка полюса (с использованием старых уплотнений и центровкой (перевод во включенное положение перед окончательной затяжкой болтов крепления). Контрольный замер переходного сопротивления (после ревизии). Установка осушителя. Вакуумирование. Заполнение элегазом до транспортного давления. Упаковка полюса в ящик. Погрузка ящика с полюсом на транспортное средство.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выключатель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right"/>
        <w:rPr>
          <w:b/>
          <w:i/>
          <w:i/>
          <w:sz w:val="24"/>
          <w:szCs w:val="24"/>
        </w:rPr>
      </w:pPr>
      <w:r>
        <w:rPr/>
      </w:r>
    </w:p>
    <w:sectPr>
      <w:headerReference w:type="default" r:id="rId9"/>
      <w:headerReference w:type="first" r:id="rId10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GOST Type BU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  <w:t>9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  <w:t>12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412b82"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character" w:styleId="Style15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412b82"/>
    <w:pPr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4A1E-5694-4A5F-AD47-DB42E04BE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Application>AlterOffice/3.4.0.9$Linux_X86_64 LibreOffice_project/b8daf9e823b1a5463a2f48435ddc2e8696e7d4fc</Application>
  <AppVersion>15.0000</AppVersion>
  <Pages>11</Pages>
  <Words>1395</Words>
  <Characters>9304</Characters>
  <CharactersWithSpaces>10475</CharactersWithSpaces>
  <Paragraphs>232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2023-03-02T10:27:00Z</dcterms:created>
  <dc:creator>Никитин Николай Анатольевич</dc:creator>
  <dc:description/>
  <dc:language>ru-RU</dc:language>
  <cp:lastModifiedBy>nikitinna@corp.gidroogk.com</cp:lastModifiedBy>
  <cp:lastPrinted>2006-07-26T14:04:00Z</cp:lastPrinted>
  <dcterms:modified xsi:type="dcterms:W3CDTF">2026-08-04T14:46:05Z</dcterms:modified>
  <cp:revision>24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