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 xml:space="preserve">Технические требования </w:t>
      </w:r>
      <w:r>
        <w:rPr>
          <w:rFonts w:eastAsia="Calibri"/>
        </w:rPr>
        <w:t>на оказание услуг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ОКПД 2</w:t>
      </w:r>
      <w:r>
        <w:rPr>
          <w:rFonts w:eastAsia="Calibri"/>
          <w:color w:val="000000"/>
        </w:rPr>
        <w:t xml:space="preserve">: 33.14.11 Оказание услуг по шеф-надзору </w:t>
      </w:r>
      <w:r>
        <w:rPr>
          <w:rFonts w:eastAsia="Calibri"/>
          <w:color w:val="000000"/>
        </w:rPr>
        <w:t xml:space="preserve">авторизованным представителем завода-изготовителя SERGI </w:t>
      </w:r>
      <w:r>
        <w:rPr>
          <w:rFonts w:eastAsia="Calibri"/>
          <w:color w:val="000000"/>
        </w:rPr>
        <w:t xml:space="preserve">при замене </w:t>
      </w:r>
      <w:r>
        <w:rPr>
          <w:rFonts w:eastAsia="Calibri"/>
          <w:color w:val="000000"/>
        </w:rPr>
        <w:t>клапана расширителя TL34</w:t>
      </w:r>
      <w:r>
        <w:rPr>
          <w:rFonts w:eastAsia="Calibri"/>
          <w:color w:val="000000"/>
        </w:rPr>
        <w:t xml:space="preserve"> SERGI </w:t>
      </w:r>
      <w:r>
        <w:rPr/>
        <w:t xml:space="preserve">на </w:t>
      </w:r>
      <w:r>
        <w:rPr>
          <w:rFonts w:eastAsia="Calibri"/>
          <w:color w:val="000000"/>
        </w:rPr>
        <w:t>шунтирующ</w:t>
      </w:r>
      <w:r>
        <w:rPr>
          <w:rFonts w:eastAsia="Calibri"/>
          <w:color w:val="000000"/>
        </w:rPr>
        <w:t>их</w:t>
      </w:r>
      <w:r>
        <w:rPr>
          <w:rFonts w:eastAsia="Calibri"/>
          <w:color w:val="000000"/>
        </w:rPr>
        <w:t xml:space="preserve"> реактор</w:t>
      </w:r>
      <w:r>
        <w:rPr>
          <w:rFonts w:eastAsia="Calibri"/>
          <w:color w:val="000000"/>
        </w:rPr>
        <w:t>ах</w:t>
      </w:r>
      <w:r>
        <w:rPr>
          <w:rFonts w:eastAsia="Calibri"/>
          <w:color w:val="000000"/>
        </w:rPr>
        <w:t xml:space="preserve"> РОМ-60000/500-УХЛ1 для нужд Воткинского филиала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Общие</w:t>
            </w:r>
            <w:r>
              <w:rPr>
                <w:rStyle w:val="Style14"/>
                <w:lang w:val="en-US"/>
              </w:rPr>
              <w:t xml:space="preserve"> </w:t>
            </w:r>
            <w:r>
              <w:rPr>
                <w:rStyle w:val="Style14"/>
              </w:rPr>
              <w:t>сведения</w:t>
            </w:r>
            <w:r>
              <w:rPr>
                <w:rStyle w:val="Style14"/>
                <w:lang w:val="en-US"/>
              </w:rPr>
              <w:t>…………..…..………………………………………………………..…..…....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Существующее положение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58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…………………………………………………………3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продукции…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.…………………………………………………………………...4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2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3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4">
            <w:r>
              <w:rPr>
                <w:webHidden/>
                <w:rStyle w:val="Style14"/>
                <w:vanish w:val="false"/>
              </w:rPr>
              <w:t>Таблица 2. Перечень и объем оказываемых услуг</w:t>
            </w:r>
            <w:r>
              <w:rPr>
                <w:rStyle w:val="Style14"/>
              </w:rPr>
              <w:t>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.……………………………………………4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5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</w:r>
            <w:r>
              <w:rPr>
                <w:rStyle w:val="Style14"/>
              </w:rPr>
              <w:t>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……………………………………………...4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8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</w:r>
            <w:r>
              <w:rPr>
                <w:rStyle w:val="Style14"/>
                <w:lang w:val="en-US"/>
              </w:rPr>
              <w:t xml:space="preserve"> ...……………………………………………………...</w:t>
            </w:r>
            <w:r>
              <w:rPr>
                <w:rStyle w:val="Style14"/>
              </w:rPr>
              <w:t>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r>
            <w:rPr/>
            <w:t>3.</w:t>
            <w:tab/>
            <w:t>Требования к документации по ценообразованию на этапе заключения (исполнения) договора………………………………………………………………………..…..…………………10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  <w:lang w:val="en-US"/>
            </w:rPr>
          </w:pPr>
          <w:hyperlink w:anchor="_Toc54643470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Приложения…</w:t>
            </w:r>
            <w:r>
              <w:rPr>
                <w:rStyle w:val="Style14"/>
                <w:lang w:val="en-US"/>
              </w:rPr>
              <w:t>…………………………………………………………………………………1</w:t>
            </w:r>
          </w:hyperlink>
          <w:r>
            <w:rPr>
              <w:lang w:val="en-US"/>
            </w:rPr>
            <w:t>1</w:t>
          </w:r>
          <w:r>
            <w:rPr>
              <w:lang w:val="en-US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iCs/>
        </w:rPr>
      </w:pPr>
      <w:r>
        <w:rPr>
          <w:rFonts w:eastAsia="新細明體" w:cs="Arial" w:cstheme="minorBidi" w:eastAsiaTheme="minorEastAsia" w:ascii="Calibri" w:hAnsi="Calibri"/>
          <w:iCs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hanging="432"/>
        <w:rPr>
          <w:lang w:val="en-US"/>
        </w:rPr>
      </w:pPr>
      <w:r>
        <w:rPr>
          <w:lang w:val="en-US"/>
        </w:rPr>
        <w:t>Обозначения и сокращения</w:t>
      </w:r>
    </w:p>
    <w:tbl>
      <w:tblPr>
        <w:tblStyle w:val="affff5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55"/>
        <w:gridCol w:w="4955"/>
      </w:tblGrid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ГЭС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Гидроэлектростанция 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ПАО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Публичное акционерное общество 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Система SERGI TP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x-none" w:bidi="ar-SA"/>
              </w:rPr>
              <w:t>Система, разработанная для предотвращения взрывов и пожаров маслонаполненных трансформаторов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Р500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Реактор шунтирующий РОМ-60000/500-УХЛ1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ТТ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Технические требования 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СТО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Стандарт организации</w:t>
            </w:r>
          </w:p>
        </w:tc>
      </w:tr>
    </w:tbl>
    <w:p>
      <w:pPr>
        <w:pStyle w:val="Normal"/>
        <w:rPr>
          <w:lang w:val="en-US" w:eastAsia="x-none"/>
        </w:rPr>
      </w:pPr>
      <w:r>
        <w:rPr>
          <w:lang w:val="en-US" w:eastAsia="x-none"/>
        </w:rPr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1" w:name="_Toc46743506"/>
      <w:bookmarkStart w:id="2" w:name="_Toc54643696"/>
      <w:r>
        <w:rPr/>
        <w:t>Наименование закупаемой продукции</w:t>
      </w:r>
      <w:bookmarkEnd w:id="1"/>
      <w:bookmarkEnd w:id="2"/>
    </w:p>
    <w:p>
      <w:pPr>
        <w:pStyle w:val="Normal"/>
        <w:keepNext w:val="true"/>
        <w:keepLines/>
        <w:jc w:val="both"/>
        <w:rPr/>
      </w:pPr>
      <w:r>
        <w:rPr>
          <w:rStyle w:val="Style8"/>
          <w:rFonts w:eastAsia="Calibri"/>
          <w:b w:val="false"/>
          <w:bCs/>
          <w:color w:val="000000"/>
          <w:sz w:val="24"/>
          <w:szCs w:val="24"/>
          <w:shd w:fill="auto" w:val="clear"/>
          <w:lang w:eastAsia="x-none"/>
        </w:rPr>
        <w:t>ОКПД 2: 33.14.11 Оказание услуг по шеф-надзору авторизованным представителем завода-изготовителя SERGI при замене клапана расширителя TL34 SERGI на шунтирующих реакторах РОМ-60000/500-УХЛ1 для нужд Воткинского филиала.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3" w:name="_Toc54643697"/>
      <w:bookmarkStart w:id="4" w:name="_Toc46743507"/>
      <w:r>
        <w:rPr/>
        <w:t xml:space="preserve">Цель </w:t>
      </w:r>
      <w:bookmarkEnd w:id="4"/>
      <w:r>
        <w:rPr>
          <w:lang w:val="ru-RU"/>
        </w:rPr>
        <w:t>оказания услуг</w:t>
      </w:r>
      <w:r>
        <w:rPr/>
        <w:t xml:space="preserve"> </w:t>
      </w:r>
      <w:bookmarkEnd w:id="3"/>
    </w:p>
    <w:p>
      <w:pPr>
        <w:pStyle w:val="Normal"/>
        <w:widowControl w:val="false"/>
        <w:tabs>
          <w:tab w:val="clear" w:pos="397"/>
          <w:tab w:val="left" w:pos="426" w:leader="none"/>
        </w:tabs>
        <w:spacing w:before="0" w:after="120"/>
        <w:jc w:val="both"/>
        <w:rPr>
          <w:rFonts w:eastAsia="Calibri"/>
          <w:lang w:eastAsia="x-none"/>
        </w:rPr>
      </w:pPr>
      <w:r>
        <w:rPr>
          <w:i/>
          <w:sz w:val="24"/>
          <w:szCs w:val="24"/>
        </w:rPr>
        <w:t xml:space="preserve">Исполнение обязательств по договору №4-РЕМ-2023-ВотГЭС от 31.10.2023 «Работы по капитальному и текущему ремонту оборудования, зданий, сооружений для нужд филиала ПАО «РусГидро»-«Воткинская ГЭС», заключенного между филиалом ПАО «РусГидро»-«Воткинская ГЭС» с одной стороны и Воткинским филиалом АО «Гидроремонт-ВКК» в г. Чайковский, с другой стороны. 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5" w:name="_Toc54643699"/>
      <w:r>
        <w:rPr/>
        <w:t>Существующее положение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На филиале ПАО «РусГидро-Воткинская ГЭС» установлены системы SERGI TP шунтирующих реакторов РОМ-60000/500-УХЛ1</w:t>
      </w:r>
      <w:r>
        <w:rPr>
          <w:rFonts w:eastAsia="Calibri"/>
          <w:i/>
          <w:sz w:val="24"/>
          <w:szCs w:val="24"/>
          <w:lang w:eastAsia="x-none"/>
        </w:rPr>
        <w:t xml:space="preserve"> и находятся на ОРУ-500кВ.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2975"/>
        <w:gridCol w:w="1987"/>
        <w:gridCol w:w="2126"/>
        <w:gridCol w:w="2126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27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</w:rPr>
            </w:pPr>
            <w:r>
              <w:rPr>
                <w:rStyle w:val="Style8"/>
                <w:rFonts w:eastAsia="Calibri"/>
                <w:b w:val="false"/>
                <w:bCs/>
                <w:color w:val="000000"/>
                <w:sz w:val="22"/>
                <w:szCs w:val="22"/>
                <w:shd w:fill="auto" w:val="clear"/>
                <w:lang w:eastAsia="x-none"/>
              </w:rPr>
              <w:t>ОКПД 2: 33.14.11 Оказание услуг по шеф-надзору авторизованным представителем завода-изготовителя SERGI при замене клапана расширителя TL34 SERGI на шунтирующих реакторах РОМ-60000/500-УХЛ1 для нужд Воткинского филиала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Филиал ПАО «РусГидро-Воткинская ГЭС», Российская Федерация, Пермский край, г. Чайковский, территория Воткинской ГЭС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" w:hanging="6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  <w:lang w:eastAsia="x-none"/>
              </w:rPr>
              <w:t xml:space="preserve">Р500 зав.№161462; Р500 зав.№161463; Р500 зав.№161461; Р500 зав.№161460; Р500 зав.№161459; Р500 зав.№161457; </w:t>
            </w:r>
            <w:r>
              <w:rPr>
                <w:rFonts w:eastAsia="Calibri"/>
                <w:i/>
                <w:sz w:val="22"/>
                <w:szCs w:val="22"/>
                <w:lang w:eastAsia="x-none"/>
              </w:rPr>
              <w:t>Р500 зав. №161458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9" w:hanging="149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Эксплуатирующая организация: ПАО «РусГидро-Воткинская ГЭС»</w:t>
            </w:r>
          </w:p>
        </w:tc>
      </w:tr>
    </w:tbl>
    <w:p>
      <w:pPr>
        <w:pStyle w:val="Normal"/>
        <w:widowControl w:val="false"/>
        <w:tabs>
          <w:tab w:val="clear" w:pos="397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ind w:left="432" w:hanging="432"/>
        <w:rPr/>
      </w:pPr>
      <w:bookmarkStart w:id="8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8"/>
    </w:p>
    <w:p>
      <w:pPr>
        <w:pStyle w:val="Heading3"/>
        <w:numPr>
          <w:ilvl w:val="2"/>
          <w:numId w:val="3"/>
        </w:numPr>
        <w:rPr/>
      </w:pPr>
      <w:bookmarkStart w:id="9" w:name="_Toc54643704"/>
      <w:r>
        <w:rPr>
          <w:lang w:val="ru-RU"/>
        </w:rPr>
        <w:t>Требования к перечню и объему услуг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54643705"/>
      <w:bookmarkStart w:id="1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оказываемых услуг</w:t>
      </w:r>
      <w:bookmarkEnd w:id="10"/>
    </w:p>
    <w:tbl>
      <w:tblPr>
        <w:tblW w:w="96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09"/>
        <w:gridCol w:w="4351"/>
        <w:gridCol w:w="1417"/>
        <w:gridCol w:w="1307"/>
        <w:gridCol w:w="1984"/>
      </w:tblGrid>
      <w:tr>
        <w:trPr/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79" w:hRule="atLeast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ОКПД 2: 33.14.11 Оказание услуг по шеф-надзору авторизованным представителем завода-изготовителя SERGI при замене клапана расширителя TL34 SERGI на шунтирующих реакторах РОМ-60000/500-УХЛ1 для нужд Воткинского филиала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Р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 xml:space="preserve">500 </w:t>
            </w:r>
            <w:r>
              <w:rPr>
                <w:rFonts w:eastAsia="Calibri"/>
                <w:sz w:val="22"/>
                <w:szCs w:val="22"/>
                <w:lang w:eastAsia="x-none"/>
              </w:rPr>
              <w:t>зав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>.№161462</w:t>
            </w:r>
          </w:p>
        </w:tc>
      </w:tr>
      <w:tr>
        <w:trPr/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Р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 xml:space="preserve">500 </w:t>
            </w:r>
            <w:r>
              <w:rPr>
                <w:rFonts w:eastAsia="Calibri"/>
                <w:sz w:val="22"/>
                <w:szCs w:val="22"/>
                <w:lang w:eastAsia="x-none"/>
              </w:rPr>
              <w:t>зав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>.№161463</w:t>
            </w:r>
          </w:p>
        </w:tc>
      </w:tr>
      <w:tr>
        <w:trPr/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Р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 xml:space="preserve">500 </w:t>
            </w:r>
            <w:r>
              <w:rPr>
                <w:rFonts w:eastAsia="Calibri"/>
                <w:sz w:val="22"/>
                <w:szCs w:val="22"/>
                <w:lang w:eastAsia="x-none"/>
              </w:rPr>
              <w:t>зав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>.№161461</w:t>
            </w:r>
          </w:p>
        </w:tc>
      </w:tr>
      <w:tr>
        <w:trPr/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Р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 xml:space="preserve">500 </w:t>
            </w:r>
            <w:r>
              <w:rPr>
                <w:rFonts w:eastAsia="Calibri"/>
                <w:sz w:val="22"/>
                <w:szCs w:val="22"/>
                <w:lang w:eastAsia="x-none"/>
              </w:rPr>
              <w:t>зав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>.№161460</w:t>
            </w:r>
          </w:p>
        </w:tc>
      </w:tr>
      <w:tr>
        <w:trPr/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Р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 xml:space="preserve">500 </w:t>
            </w:r>
            <w:r>
              <w:rPr>
                <w:rFonts w:eastAsia="Calibri"/>
                <w:sz w:val="22"/>
                <w:szCs w:val="22"/>
                <w:lang w:eastAsia="x-none"/>
              </w:rPr>
              <w:t>зав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>.№161459</w:t>
            </w:r>
          </w:p>
        </w:tc>
      </w:tr>
      <w:tr>
        <w:trPr/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Р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 xml:space="preserve">500 </w:t>
            </w:r>
            <w:r>
              <w:rPr>
                <w:rFonts w:eastAsia="Calibri"/>
                <w:sz w:val="22"/>
                <w:szCs w:val="22"/>
                <w:lang w:eastAsia="x-none"/>
              </w:rPr>
              <w:t>зав</w:t>
            </w:r>
            <w:r>
              <w:rPr>
                <w:rFonts w:eastAsia="Calibri"/>
                <w:sz w:val="22"/>
                <w:szCs w:val="22"/>
                <w:lang w:val="en-US" w:eastAsia="x-none"/>
              </w:rPr>
              <w:t>.№161457</w:t>
            </w:r>
          </w:p>
        </w:tc>
      </w:tr>
      <w:tr>
        <w:trPr/>
        <w:tc>
          <w:tcPr>
            <w:tcW w:w="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Р500 зав.№16145</w:t>
            </w:r>
            <w:r>
              <w:rPr>
                <w:rFonts w:eastAsia="Calibri"/>
                <w:color w:val="000000"/>
                <w:sz w:val="22"/>
                <w:szCs w:val="22"/>
              </w:rPr>
              <w:t>8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2" w:name="_Toc54643706"/>
      <w:bookmarkStart w:id="13" w:name="_Toc51339696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оказания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54643707"/>
      <w:bookmarkStart w:id="15" w:name="_Toc50125126"/>
      <w:bookmarkStart w:id="16" w:name="_Toc51339697"/>
      <w:bookmarkStart w:id="17" w:name="_Toc50125127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8"/>
      <w:r>
        <w:rPr>
          <w:sz w:val="24"/>
          <w:szCs w:val="24"/>
          <w:lang w:val="ru-RU"/>
        </w:rPr>
        <w:t>оказания услуг</w:t>
      </w:r>
      <w:bookmarkEnd w:id="1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3260"/>
        <w:gridCol w:w="2836"/>
        <w:gridCol w:w="2835"/>
      </w:tblGrid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  <w:r>
              <w:rPr>
                <w:sz w:val="24"/>
                <w:szCs w:val="24"/>
              </w:rPr>
              <w:t>*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ОКПД 2: 33.14.11 Оказание услуг по шеф-надзору авторизованным представителем завода-изготовителя SERGI при замене клапана расширителя TL34 SERGI на шунтирующих реакторах РОМ-60000/500-УХЛ1 для нужд Воткинского филиала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>
                <w:bottom w:val="single" w:sz="4" w:space="1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.07.202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(Р500 зав.№161462; Р500 зав.№161463; Р500 зав.№161461)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(Р500 зав.№161460; Р500 зав.№161459; Р500 зав.№161457; </w:t>
            </w:r>
            <w:r>
              <w:rPr>
                <w:sz w:val="24"/>
                <w:szCs w:val="24"/>
              </w:rPr>
              <w:t>Р500 зав. №161458</w:t>
            </w:r>
            <w:r>
              <w:rPr>
                <w:sz w:val="24"/>
                <w:szCs w:val="24"/>
              </w:rPr>
              <w:t xml:space="preserve">)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>
                <w:bottom w:val="single" w:sz="4" w:space="1" w:color="00000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(Р500 зав.№161462; Р500 зав.№161463; Р500 зав.№161461)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(Р500 зав.№161460; Р500 зав.№161459; Р500 зав.№161457; </w:t>
            </w:r>
            <w:r>
              <w:rPr>
                <w:sz w:val="24"/>
                <w:szCs w:val="24"/>
              </w:rPr>
              <w:t>Р500 зав. №161458</w:t>
            </w:r>
            <w:r>
              <w:rPr>
                <w:sz w:val="24"/>
                <w:szCs w:val="24"/>
              </w:rPr>
              <w:t xml:space="preserve">) 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keepNext w:val="true"/>
        <w:keepLines/>
        <w:numPr>
          <w:ilvl w:val="0"/>
          <w:numId w:val="0"/>
        </w:numPr>
        <w:spacing w:before="240" w:after="60"/>
        <w:jc w:val="both"/>
        <w:outlineLvl w:val="0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*Сроки оказания услуг могут быть изменены в связи с корректировкой графика вывода оборудования в ремонт по инициативе Системного Оператора.  Точные сроки оказания услуг по ремонт</w:t>
      </w:r>
      <w:r>
        <w:rPr>
          <w:rFonts w:eastAsia="Calibri"/>
          <w:i/>
          <w:sz w:val="24"/>
          <w:szCs w:val="24"/>
          <w:lang w:eastAsia="x-none"/>
        </w:rPr>
        <w:t>у</w:t>
      </w:r>
      <w:r>
        <w:rPr>
          <w:rFonts w:eastAsia="Calibri"/>
          <w:i/>
          <w:sz w:val="24"/>
          <w:szCs w:val="24"/>
          <w:lang w:eastAsia="x-none"/>
        </w:rPr>
        <w:t xml:space="preserve"> систм</w:t>
      </w:r>
      <w:r>
        <w:rPr>
          <w:rFonts w:eastAsia="Calibri"/>
          <w:i/>
          <w:sz w:val="24"/>
          <w:szCs w:val="24"/>
          <w:lang w:eastAsia="x-none"/>
        </w:rPr>
        <w:t>ы</w:t>
      </w:r>
      <w:r>
        <w:rPr>
          <w:rFonts w:eastAsia="Calibri"/>
          <w:i/>
          <w:sz w:val="24"/>
          <w:szCs w:val="24"/>
          <w:lang w:eastAsia="x-none"/>
        </w:rPr>
        <w:t xml:space="preserve"> SERGI TP будут известны после утверждения графиков текущих ремонтов шунтирующих реакторов Р500 Емелино и Р500 Вятка главным инженером филиала ПАО «РусГидро» - «Воткинская ГЭС».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20" w:name="_Toc54643709"/>
      <w:bookmarkStart w:id="21" w:name="_Toc51339698"/>
      <w:bookmarkStart w:id="22" w:name="_Toc54643708"/>
      <w:bookmarkStart w:id="23" w:name="_Toc46743511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1"/>
      <w:r>
        <w:rPr>
          <w:sz w:val="24"/>
          <w:szCs w:val="24"/>
          <w:lang w:val="ru-RU"/>
        </w:rPr>
        <w:t>качеству услуг</w:t>
      </w:r>
      <w:bookmarkEnd w:id="20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b w:val="false"/>
          <w:bCs w:val="false"/>
          <w:sz w:val="24"/>
          <w:szCs w:val="24"/>
        </w:rPr>
        <w:t>ОКПД 2: 33.14.11 Оказание услуг по шеф-надзору авторизованным представителем завода-изготовителя SERGI при замене клапана расширителя TL34 SERGI на шунтирующих реакторах РОМ-60000/500-УХЛ1 для нужд Воткинского филиала.</w:t>
      </w:r>
    </w:p>
    <w:tbl>
      <w:tblPr>
        <w:tblStyle w:val="affff5"/>
        <w:tblW w:w="143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54"/>
        <w:gridCol w:w="2365"/>
        <w:gridCol w:w="11198"/>
      </w:tblGrid>
      <w:tr>
        <w:trPr>
          <w:trHeight w:val="276" w:hRule="atLeast"/>
        </w:trPr>
        <w:tc>
          <w:tcPr>
            <w:tcW w:w="75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19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7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19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4"/>
          </w:p>
        </w:tc>
        <w:tc>
          <w:tcPr>
            <w:tcW w:w="2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>
          <w:trHeight w:val="415" w:hRule="atLeast"/>
        </w:trPr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выполняемых услуг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Услуга выполняется на выведенном в ремонт Р500 и включает в себя: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Транспортировка и доставка оборудования для выполнения работ к месту проведения услуг;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Шеф-надзор за работами по снятию и установке на системе SERGI </w:t>
            </w:r>
            <w:r>
              <w:rPr>
                <w:rFonts w:cs="Times New Roman"/>
                <w:kern w:val="0"/>
                <w:lang w:val="ru-RU" w:eastAsia="ru-RU" w:bidi="ar-SA"/>
              </w:rPr>
              <w:t>клапана расширителя TL34</w:t>
            </w:r>
            <w:r>
              <w:rPr>
                <w:rFonts w:cs="Times New Roman"/>
                <w:kern w:val="0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37" w:firstLine="141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Проверка работоспособности системы с проверкой корректности работы логики системы по утвержденному производителем оборудования формуляру;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Оформление приемосдаточной документации в соответствии с требованиями регламентирующих документов.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Услуга считается выполненной с момента сдачи Р500 в эксплуатацию и подписания акта сдачи-приемки выполненных услуг. 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услуг норм и правил нормативно-технических документов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bookmarkStart w:id="25" w:name="_Hlk124928894"/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эксплуатации электроустановок, приказ Минтруда России от 15.12.2020 N903н</w:t>
            </w:r>
            <w:bookmarkEnd w:id="25"/>
            <w:r>
              <w:rPr>
                <w:rFonts w:cs="Times New Roman"/>
                <w:kern w:val="0"/>
                <w:lang w:val="ru-RU" w:eastAsia="ru-RU" w:bidi="ar-SA"/>
              </w:rPr>
              <w:t xml:space="preserve"> с изменениями, внесенными приказом Минтруда России от 29 апреля 2022г. №279н;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устройства электроустановок издание седьмое (утв. Приказом Минэнерго России от 08.07.2002 №204);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организации технического обслуживания и ремонта объектов электроэнергетики, приказ Минэнерго России от 25.10.2017 №1013;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работе с инструментом и приспособлениями, приказ Минтруда России от 27.11.2020г. N 835н;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РД 34.45-51.300-97 «Объемы и нормы испытаний электрооборудования»;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технической эксплуатации электрических станций и сетей РФ, приказ Минэнерго России от 04.10.2022 №1070;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размещении,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Другими правилами, не противоречащие законодательству Российской Федерации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Корпоративные стандарты ПАО “РусГидро” размещены в свободном доступе в сети интернет по адресу: </w:t>
            </w:r>
            <w:hyperlink r:id="rId4">
              <w:r>
                <w:rPr>
                  <w:rStyle w:val="Hyperlink"/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http://www.rushydro.ru/sustainable_development/safety/101153.html</w:t>
              </w:r>
            </w:hyperlink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1.2.</w:t>
            </w:r>
          </w:p>
        </w:tc>
        <w:tc>
          <w:tcPr>
            <w:tcW w:w="1356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способам оказания услуг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right="-64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1.2.1.</w:t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выполняются на охраняемом Объекте с применением досмотровых технических средств охраны (переносные и стационарные), с целью недопущения проноса (провоза) на охраняемый Объект вооружения, взрывчатых веществ и самодельных взрывных устройств и их элементов, а также других запрещенных предметов.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1.3.</w:t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1119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8" w:firstLine="142"/>
              <w:contextualSpacing/>
              <w:jc w:val="both"/>
              <w:rPr>
                <w:b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Допуск персонала исполнителя для выполнения услуг должен осуществляться в соответствии с </w:t>
            </w:r>
            <w:bookmarkStart w:id="26" w:name="_Hlk124767430"/>
            <w:r>
              <w:rPr>
                <w:rFonts w:cs="Times New Roman"/>
                <w:kern w:val="0"/>
                <w:lang w:val="ru-RU" w:eastAsia="ru-RU" w:bidi="ar-SA"/>
              </w:rPr>
              <w:t>Регламентом процесса «Допуск персонала подрядных организаций на объекты ПАО «РусГидро» (утв. Приказом ПАО «РусГидро» №300 от 28.0</w:t>
            </w:r>
            <w:r>
              <w:rPr>
                <w:rFonts w:cs="Times New Roman"/>
                <w:kern w:val="0"/>
                <w:lang w:val="en-US" w:eastAsia="ru-RU" w:bidi="ar-SA"/>
              </w:rPr>
              <w:t>4</w:t>
            </w:r>
            <w:r>
              <w:rPr>
                <w:rFonts w:cs="Times New Roman"/>
                <w:kern w:val="0"/>
                <w:lang w:val="ru-RU" w:eastAsia="ru-RU" w:bidi="ar-SA"/>
              </w:rPr>
              <w:t>.202</w:t>
            </w:r>
            <w:r>
              <w:rPr>
                <w:rFonts w:cs="Times New Roman"/>
                <w:kern w:val="0"/>
                <w:lang w:val="en-US" w:eastAsia="ru-RU" w:bidi="ar-SA"/>
              </w:rPr>
              <w:t>3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г) </w:t>
            </w:r>
            <w:bookmarkEnd w:id="26"/>
            <w:r>
              <w:rPr>
                <w:rFonts w:cs="Times New Roman"/>
                <w:kern w:val="0"/>
                <w:lang w:val="ru-RU" w:eastAsia="ru-RU" w:bidi="ar-SA"/>
              </w:rPr>
              <w:t>(Приложение №</w:t>
            </w:r>
            <w:r>
              <w:rPr>
                <w:rFonts w:cs="Times New Roman"/>
                <w:kern w:val="0"/>
                <w:lang w:val="en-US" w:eastAsia="ru-RU" w:bidi="ar-SA"/>
              </w:rPr>
              <w:t>1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к настоящим ТТ).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11198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2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11198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Выполнение услуг должно осуществляться в составе бригады </w:t>
            </w:r>
            <w:bookmarkStart w:id="27" w:name="_Hlk124928831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квалифицированными специалистами с сертификатом, выданным заводом-изготовителем системы SERGI TP, обладающими группой по электробезопасности не ниже III.</w:t>
            </w:r>
            <w:bookmarkEnd w:id="27"/>
          </w:p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bookmarkStart w:id="28" w:name="_Hlk124929079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 начала выполнения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с приложением копий удостоверений на производство работ и протоколы проверки знаний правил работы в электроустановках. </w:t>
            </w:r>
            <w:bookmarkEnd w:id="28"/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7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2.1.</w:t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1119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292" w:hanging="292"/>
              <w:contextualSpacing/>
              <w:jc w:val="both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Результаты услуг должны обеспечивать: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92" w:hanging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надежную и безаварийную работу оборудования.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292" w:hanging="29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Отчетная документация должна обеспечивать достоверность и полноту сведений о фактически оказанных услугах.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right="-64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2.2.1.</w:t>
            </w:r>
          </w:p>
        </w:tc>
        <w:tc>
          <w:tcPr>
            <w:tcW w:w="2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оказания услуг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требованиями «Правил организации технического обслуживания и ремонта объектов электроэнергетики», утвержденных Приказом Министерства энергетики Российской Федерации от 25.10.2017 №1013 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требования».</w:t>
            </w:r>
          </w:p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считаются выполненными после приемки объекта из ремонта ответственными лицами филиала ПАО “РусГидро”-“Воткинская ГЭС.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ind w:left="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Предоставить заказчику отчетную документацию: акт выполненных услуг (оказанных услуг), иные технические документы (формуляр производителя оборудования).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ind w:left="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Исполнитель передает заказчику приемосдаточную документацию не позднее 5 рабочих дней после оказания услуг.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ind w:left="8" w:hanging="0"/>
              <w:contextualSpacing/>
              <w:jc w:val="left"/>
              <w:rPr>
                <w:rFonts w:ascii="Times New Roman" w:hAnsi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Отчетные документы по оказанным услугам предоставить на русском языке на бумажном носителе в 2 экземплярах и в электронном виде в 1 экземпляре в формтах </w:t>
            </w:r>
            <w:r>
              <w:rPr>
                <w:rFonts w:cs="Dutch 801 SWA"/>
                <w:kern w:val="0"/>
                <w:lang w:val="ru-RU" w:eastAsia="ru-RU" w:bidi="ar-SA"/>
              </w:rPr>
              <w:t xml:space="preserve">*.dwg, *.vsd, *.dос, *.хls. 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3.</w:t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right="-64" w:hanging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3.1.1.</w:t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Выполнение комплекса услуг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8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выполняются в таком объёме, которые позволяют начать эксплуатацию объекта без закупки заказчиком дополнительных объёмов каких-либо материалов, оборудования и работ, за исключением случаев выполнения непредвиденных работ, выявленных в процессе выполнения услуг.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670" w:gutter="0" w:header="680" w:top="851" w:footer="0" w:bottom="851"/>
          <w:pgNumType w:start="5"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keepNext w:val="true"/>
        <w:keepLines/>
        <w:numPr>
          <w:ilvl w:val="0"/>
          <w:numId w:val="3"/>
        </w:numPr>
        <w:spacing w:before="120" w:after="60"/>
        <w:ind w:left="357" w:hanging="357"/>
        <w:jc w:val="center"/>
        <w:outlineLvl w:val="0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  <w:t>Требования к документации по ценообразованию на этапе заключения (исполнения) договора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851" w:right="851" w:gutter="0" w:header="680" w:top="1135" w:footer="0" w:bottom="992"/>
          <w:pgNumType w:start="10" w:fmt="decimal"/>
          <w:formProt w:val="false"/>
          <w:textDirection w:val="lrTb"/>
          <w:docGrid w:type="default" w:linePitch="381" w:charSpace="0"/>
        </w:sectPr>
        <w:pStyle w:val="Heading4"/>
        <w:numPr>
          <w:ilvl w:val="1"/>
          <w:numId w:val="3"/>
        </w:numPr>
        <w:jc w:val="both"/>
        <w:rPr>
          <w:b w:val="false"/>
          <w:i/>
          <w:i/>
        </w:rPr>
      </w:pPr>
      <w:r>
        <w:rPr>
          <w:b w:val="false"/>
          <w:i/>
          <w:lang w:val="ru-RU"/>
        </w:rPr>
        <w:t>Р</w:t>
      </w:r>
      <w:r>
        <w:rPr>
          <w:b w:val="false"/>
          <w:i/>
        </w:rPr>
        <w:t xml:space="preserve">асчет стоимости составлять в соответствии с утвержденными ставками на оказание услуг сервисного центра. Предоставить Утвержденный расчет ставок </w:t>
      </w:r>
      <w:r>
        <w:rPr>
          <w:b w:val="false"/>
          <w:i/>
        </w:rPr>
        <w:t xml:space="preserve">авторизованного представителя завода-изготовителя </w:t>
      </w:r>
      <w:r>
        <w:rPr>
          <w:b w:val="false"/>
          <w:i/>
        </w:rPr>
        <w:t>SERGI на 202</w:t>
      </w:r>
      <w:r>
        <w:rPr>
          <w:b w:val="false"/>
          <w:i/>
        </w:rPr>
        <w:t>7</w:t>
      </w:r>
      <w:r>
        <w:rPr>
          <w:b w:val="false"/>
          <w:i/>
        </w:rPr>
        <w:t xml:space="preserve"> год.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r>
        <w:rPr>
          <w:iCs/>
          <w:lang w:val="ru-RU"/>
        </w:rPr>
        <w:t>Приложения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№1: регламент процесса «Допуск персонала подрядных организаций на объекты ПАО «РусГидро» (утв. Приказом ПАО «РусГидро» №300 от 28.04.2023 г).</w:t>
      </w:r>
      <w:r>
        <w:br w:type="page"/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bookmarkStart w:id="29" w:name="_Ref40301253"/>
      <w:bookmarkEnd w:id="29"/>
      <w:r>
        <w:rPr>
          <w:b/>
          <w:i/>
          <w:sz w:val="24"/>
          <w:szCs w:val="24"/>
        </w:rPr>
        <w:t>Приложение №1 к ТТ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i/>
          <w:i/>
          <w:iCs/>
        </w:rPr>
      </w:pPr>
      <w:r>
        <w:rPr>
          <w:i/>
          <w:iCs/>
          <w:sz w:val="24"/>
          <w:szCs w:val="24"/>
        </w:rPr>
        <w:t>Регламент процесса «Допуск персонала подрядных организаций на объекты ПАО «РусГидро» (утв. Приказом ПАО «РусГидро» №300 от 28.04.2023 г) представлен отдельным файлом.</w:t>
      </w:r>
    </w:p>
    <w:sectPr>
      <w:headerReference w:type="default" r:id="rId11"/>
      <w:headerReference w:type="first" r:id="rId12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GOST Type BU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429559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4"/>
        <w:i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4"/>
      <w:numFmt w:val="bullet"/>
      <w:lvlText w:val="-"/>
      <w:lvlJc w:val="left"/>
      <w:pPr>
        <w:tabs>
          <w:tab w:val="num" w:pos="207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397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397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397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397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397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397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e7127"/>
    <w:pPr>
      <w:tabs>
        <w:tab w:val="clear" w:pos="397"/>
        <w:tab w:val="left" w:pos="567" w:leader="none"/>
      </w:tabs>
      <w:spacing w:before="120" w:after="0"/>
      <w:ind w:right="-2" w:hanging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a94621"/>
    <w:pPr>
      <w:tabs>
        <w:tab w:val="clear" w:pos="397"/>
        <w:tab w:val="left" w:pos="1134" w:leader="none"/>
        <w:tab w:val="right" w:pos="9911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397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397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://www.rushydro.ru/sustainable_development/safety/101153.html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25727-A6F8-41B0-B8CE-FE104150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10352</TotalTime>
  <Application>AlterOffice/3.4.0.9$Linux_X86_64 LibreOffice_project/b8daf9e823b1a5463a2f48435ddc2e8696e7d4fc</Application>
  <AppVersion>15.0000</AppVersion>
  <Pages>10</Pages>
  <Words>1430</Words>
  <Characters>10252</Characters>
  <CharactersWithSpaces>11481</CharactersWithSpaces>
  <Paragraphs>209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nikitinna@corp.gidroogk.com</cp:lastModifiedBy>
  <dcterms:modified xsi:type="dcterms:W3CDTF">2026-08-03T15:54:31Z</dcterms:modified>
  <cp:revision>95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