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06" w:type="dxa"/>
        <w:jc w:val="left"/>
        <w:tblInd w:w="-4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firstRow="1" w:lastRow="1" w:firstColumn="1" w:lastColumn="1"/>
      </w:tblPr>
      <w:tblGrid>
        <w:gridCol w:w="9606"/>
      </w:tblGrid>
      <w:tr>
        <w:trPr/>
        <w:tc>
          <w:tcPr>
            <w:tcW w:w="9606" w:type="dxa"/>
            <w:tcBorders/>
          </w:tcPr>
          <w:p>
            <w:pPr>
              <w:pStyle w:val="Normal"/>
              <w:widowControl w:val="false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>
            <w:pPr>
              <w:pStyle w:val="Normal"/>
              <w:widowControl w:val="false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директора- </w:t>
            </w:r>
          </w:p>
          <w:p>
            <w:pPr>
              <w:pStyle w:val="Normal"/>
              <w:widowControl w:val="false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инженер</w:t>
            </w:r>
          </w:p>
          <w:p>
            <w:pPr>
              <w:pStyle w:val="Normal"/>
              <w:widowControl w:val="false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Воткинского филиала </w:t>
            </w:r>
          </w:p>
          <w:p>
            <w:pPr>
              <w:pStyle w:val="Normal"/>
              <w:widowControl w:val="false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АО «Гидроремонт-ВКК» </w:t>
            </w:r>
          </w:p>
          <w:p>
            <w:pPr>
              <w:pStyle w:val="Normal"/>
              <w:widowControl w:val="false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г. Чайковский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______________ Э.В. Сальников</w:t>
            </w:r>
          </w:p>
          <w:p>
            <w:pPr>
              <w:pStyle w:val="Normal"/>
              <w:widowControl w:val="false"/>
              <w:ind w:firstLine="11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ind w:firstLine="1165"/>
              <w:jc w:val="right"/>
              <w:rPr/>
            </w:pPr>
            <w:r>
              <w:rPr>
                <w:sz w:val="24"/>
                <w:szCs w:val="24"/>
              </w:rPr>
              <w:t>«_</w:t>
            </w:r>
            <w:r>
              <w:rPr>
                <w:sz w:val="24"/>
                <w:szCs w:val="24"/>
                <w:lang w:val="en-US"/>
              </w:rPr>
              <w:t>__</w:t>
            </w:r>
            <w:r>
              <w:rPr>
                <w:sz w:val="24"/>
                <w:szCs w:val="24"/>
              </w:rPr>
              <w:t>_» ________ 202</w:t>
            </w: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sz w:val="26"/>
          <w:szCs w:val="26"/>
          <w:lang w:eastAsia="x-none"/>
        </w:rPr>
        <w:t>ОКПД271.20.1: «Оказание услуг шеф-инженеров при выполнении текущего ремонта с осушением проточной части гидроагрегата ст. №</w:t>
      </w:r>
      <w:r>
        <w:rPr>
          <w:rFonts w:eastAsia="Calibri"/>
          <w:sz w:val="26"/>
          <w:szCs w:val="26"/>
          <w:lang w:val="en-US" w:eastAsia="x-none"/>
        </w:rPr>
        <w:t>2</w:t>
      </w:r>
      <w:r>
        <w:rPr>
          <w:rFonts w:eastAsia="Calibri"/>
          <w:sz w:val="26"/>
          <w:szCs w:val="26"/>
          <w:lang w:eastAsia="x-none"/>
        </w:rPr>
        <w:t xml:space="preserve"> Воткинской ГЭС»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r>
            <w:fldChar w:fldCharType="begin"/>
          </w:r>
          <w:r>
            <w:rPr>
              <w:webHidden/>
              <w:rStyle w:val="Style14"/>
              <w:sz w:val="28"/>
              <w:szCs w:val="28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z w:val="28"/>
              <w:szCs w:val="28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  <w:sz w:val="28"/>
                <w:szCs w:val="28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8"/>
                <w:szCs w:val="28"/>
              </w:rPr>
              <w:tab/>
            </w:r>
            <w:r>
              <w:rPr>
                <w:rStyle w:val="Style14"/>
                <w:sz w:val="28"/>
                <w:szCs w:val="28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8"/>
                <w:szCs w:val="2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8"/>
              <w:szCs w:val="28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  <w:sz w:val="28"/>
                <w:szCs w:val="28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8"/>
                <w:szCs w:val="28"/>
              </w:rPr>
              <w:tab/>
            </w:r>
            <w:r>
              <w:rPr>
                <w:rStyle w:val="Style14"/>
                <w:sz w:val="28"/>
                <w:szCs w:val="28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8"/>
                <w:szCs w:val="28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8"/>
              <w:szCs w:val="28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  <w:sz w:val="28"/>
                <w:szCs w:val="28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8"/>
                <w:szCs w:val="28"/>
              </w:rPr>
              <w:tab/>
            </w:r>
            <w:r>
              <w:rPr>
                <w:rStyle w:val="Style14"/>
                <w:sz w:val="28"/>
                <w:szCs w:val="28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8"/>
              <w:szCs w:val="28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  <w:sz w:val="28"/>
                <w:szCs w:val="28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8"/>
                <w:szCs w:val="28"/>
              </w:rPr>
              <w:tab/>
            </w:r>
            <w:r>
              <w:rPr>
                <w:rStyle w:val="Style14"/>
                <w:sz w:val="28"/>
                <w:szCs w:val="28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z w:val="28"/>
                <w:szCs w:val="28"/>
              </w:rPr>
              <w:t>Таблица 1. Перечень объектов заказчика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54643702">
            <w:r>
              <w:rPr>
                <w:webHidden/>
                <w:rStyle w:val="Style14"/>
                <w:vanish w:val="false"/>
                <w:sz w:val="28"/>
                <w:szCs w:val="28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8"/>
                <w:szCs w:val="28"/>
              </w:rPr>
              <w:tab/>
            </w:r>
            <w:r>
              <w:rPr>
                <w:rStyle w:val="Style14"/>
                <w:iCs/>
                <w:sz w:val="28"/>
                <w:szCs w:val="28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8"/>
              <w:szCs w:val="28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  <w:sz w:val="28"/>
                <w:szCs w:val="28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8"/>
                <w:szCs w:val="28"/>
              </w:rPr>
              <w:tab/>
            </w:r>
            <w:r>
              <w:rPr>
                <w:rStyle w:val="Style14"/>
                <w:sz w:val="28"/>
                <w:szCs w:val="28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8"/>
              <w:szCs w:val="28"/>
            </w:rPr>
          </w:pPr>
          <w:hyperlink w:anchor="_Toc54643704">
            <w:r>
              <w:rPr>
                <w:webHidden/>
                <w:rStyle w:val="Style14"/>
                <w:vanish w:val="false"/>
                <w:sz w:val="28"/>
                <w:szCs w:val="28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8"/>
                <w:szCs w:val="28"/>
              </w:rPr>
              <w:tab/>
            </w:r>
            <w:r>
              <w:rPr>
                <w:rStyle w:val="Style14"/>
                <w:sz w:val="28"/>
                <w:szCs w:val="28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8"/>
                <w:szCs w:val="28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z w:val="28"/>
                <w:szCs w:val="28"/>
              </w:rPr>
              <w:t>Таблица 2. Перечень и объем оказываемых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8"/>
              <w:szCs w:val="28"/>
            </w:rPr>
          </w:pPr>
          <w:hyperlink w:anchor="_Toc54643706">
            <w:r>
              <w:rPr>
                <w:webHidden/>
                <w:rStyle w:val="Style14"/>
                <w:vanish w:val="false"/>
                <w:sz w:val="28"/>
                <w:szCs w:val="28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8"/>
                <w:szCs w:val="28"/>
              </w:rPr>
              <w:tab/>
            </w:r>
            <w:r>
              <w:rPr>
                <w:rStyle w:val="Style14"/>
                <w:sz w:val="28"/>
                <w:szCs w:val="28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8"/>
              <w:szCs w:val="28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z w:val="28"/>
                <w:szCs w:val="28"/>
              </w:rPr>
              <w:t>Таблица 3. 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8"/>
              <w:szCs w:val="28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  <w:sz w:val="28"/>
                <w:szCs w:val="28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8"/>
                <w:szCs w:val="28"/>
              </w:rPr>
              <w:tab/>
            </w:r>
            <w:r>
              <w:rPr>
                <w:rStyle w:val="Style14"/>
                <w:sz w:val="28"/>
                <w:szCs w:val="28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8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sz w:val="28"/>
              <w:szCs w:val="28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z w:val="28"/>
                <w:szCs w:val="28"/>
              </w:rPr>
              <w:t>Таблица 4. 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rFonts w:eastAsia="新細明體" w:eastAsiaTheme="minorEastAsia"/>
              <w:b/>
            </w:rPr>
          </w:pPr>
          <w:r>
            <w:rPr>
              <w:rFonts w:eastAsia="新細明體" w:eastAsiaTheme="minorEastAsia"/>
            </w:rPr>
            <w:t xml:space="preserve"> </w:t>
          </w:r>
          <w:r>
            <w:rPr>
              <w:rFonts w:eastAsia="新細明體" w:eastAsiaTheme="minorEastAsia"/>
              <w:b/>
            </w:rPr>
            <w:t>3.</w:t>
          </w:r>
          <w:r>
            <w:rPr>
              <w:b/>
            </w:rPr>
            <w:t xml:space="preserve"> </w:t>
          </w:r>
          <w:r>
            <w:rPr>
              <w:rFonts w:eastAsia="新細明體" w:eastAsiaTheme="minorEastAsia"/>
              <w:b/>
            </w:rPr>
            <w:t>Требования к документации по ценообразованию на этапе заключения (исполнения) договора………………………………………………………………12</w:t>
          </w:r>
        </w:p>
        <w:p>
          <w:pPr>
            <w:pStyle w:val="Normal"/>
            <w:rPr>
              <w:rFonts w:eastAsia="新細明體" w:eastAsiaTheme="minorEastAsia"/>
              <w:b/>
            </w:rPr>
          </w:pPr>
          <w:r>
            <w:rPr>
              <w:rFonts w:eastAsia="新細明體" w:eastAsiaTheme="minorEastAsia"/>
              <w:b/>
            </w:rPr>
            <w:t xml:space="preserve">      </w:t>
          </w:r>
        </w:p>
        <w:p>
          <w:pPr>
            <w:pStyle w:val="Normal"/>
            <w:rPr>
              <w:rFonts w:eastAsia="新細明體" w:eastAsiaTheme="minorEastAsia"/>
              <w:b/>
            </w:rPr>
          </w:pPr>
          <w:r>
            <w:rPr>
              <w:rFonts w:eastAsia="新細明體" w:eastAsiaTheme="minorEastAsia"/>
              <w:b/>
            </w:rPr>
            <w:t>4. Приложения………………………………………………………………………..1</w:t>
          </w:r>
          <w:r>
            <w:rPr>
              <w:rFonts w:eastAsia="新細明體" w:eastAsiaTheme="minorEastAsia"/>
              <w:b/>
              <w:lang w:val="en-US"/>
            </w:rPr>
            <w:t>3</w:t>
          </w:r>
          <w:r>
            <w:rPr>
              <w:b/>
              <w:rFonts w:eastAsia="新細明體"/>
              <w:lang w:val="en-US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3695"/>
      <w:bookmarkStart w:id="2" w:name="_Toc46743505"/>
      <w:r>
        <w:rPr/>
        <w:t>Обозначения и сокращения</w:t>
      </w:r>
      <w:bookmarkEnd w:id="1"/>
      <w:bookmarkEnd w:id="2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 предприятия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Руководящий документ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</w:tbl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r>
        <w:rPr/>
        <w:t>Наименование закупаемой продукции</w:t>
      </w:r>
      <w:bookmarkEnd w:id="3"/>
    </w:p>
    <w:p>
      <w:pPr>
        <w:pStyle w:val="BodyText2"/>
        <w:spacing w:lineRule="auto" w:line="240"/>
        <w:jc w:val="both"/>
        <w:rPr>
          <w:rStyle w:val="Style8"/>
          <w:b w:val="false"/>
          <w:i w:val="false"/>
          <w:i w:val="false"/>
          <w:dstrike/>
          <w:sz w:val="24"/>
          <w:shd w:fill="auto" w:val="clear"/>
        </w:rPr>
      </w:pPr>
      <w:r>
        <w:rPr/>
        <w:t xml:space="preserve"> </w:t>
      </w:r>
      <w:r>
        <w:rPr>
          <w:sz w:val="24"/>
          <w:szCs w:val="24"/>
        </w:rPr>
        <w:t xml:space="preserve">ОКПД271.20.1: </w:t>
      </w:r>
      <w:r>
        <w:rPr>
          <w:sz w:val="24"/>
        </w:rPr>
        <w:t>«Оказание услуг шеф-инженеров при выполнении текущего ремонта с осушением проточной части гидроагрегата ст. №2 Воткинской ГЭС».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Style w:val="Style8"/>
          <w:b/>
          <w:lang w:val="ru-RU"/>
        </w:rPr>
      </w:pPr>
      <w:bookmarkStart w:id="4" w:name="_Toc54643697"/>
      <w:bookmarkStart w:id="5" w:name="_Toc46743507"/>
      <w:r>
        <w:rPr/>
        <w:t xml:space="preserve">Цель </w:t>
      </w:r>
      <w:bookmarkEnd w:id="5"/>
      <w:r>
        <w:rPr>
          <w:lang w:val="ru-RU"/>
        </w:rPr>
        <w:t>оказания услуг</w:t>
      </w:r>
      <w:r>
        <w:rPr/>
        <w:t xml:space="preserve"> </w:t>
      </w:r>
      <w:bookmarkEnd w:id="4"/>
    </w:p>
    <w:p>
      <w:pPr>
        <w:pStyle w:val="Normal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    </w:t>
      </w:r>
      <w:r>
        <w:rPr>
          <w:sz w:val="24"/>
          <w:szCs w:val="20"/>
        </w:rPr>
        <w:t>Исполнение Договора №4-РЕМ-2023-ВотГЭС от 31.10.2023г. Капитальный и текущий ремонт оборудования, зданий, сооружений филиала ПАО «РусГидро» - «Воткинская ГЭС», заключенному между филиалом ПАО «РусГидро» - «Воткинская ГЭС» и Воткинским филиалом «Гидроремонт-ВКК».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6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6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62"/>
        <w:gridCol w:w="2410"/>
        <w:gridCol w:w="2693"/>
        <w:gridCol w:w="2269"/>
        <w:gridCol w:w="1984"/>
      </w:tblGrid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53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>
                <w:i/>
                <w:i/>
              </w:rPr>
            </w:pPr>
            <w:r>
              <w:rPr>
                <w:i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</w:rPr>
              <w:t>Оказание услуг шеф-инженеров при выполнении текущего ремонта с осушением проточной части гидроагрегата ст. №2 Воткинской ГЭС».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Воткинская ГЭС, Российская Федерация, Пермский край,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г. Чайковский, 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машинный зал ГЭС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Гидроагрегат ст.№</w:t>
            </w:r>
            <w:r>
              <w:rPr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Style w:val="Style8"/>
          <w:b w:val="false"/>
          <w:iCs/>
        </w:rPr>
      </w:pPr>
      <w:r>
        <w:rPr>
          <w:b w:val="false"/>
          <w:iCs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54643702"/>
      <w:bookmarkStart w:id="9" w:name="_Toc50125126"/>
      <w:bookmarkStart w:id="10" w:name="_Toc46743510"/>
      <w:bookmarkEnd w:id="9"/>
      <w:bookmarkEnd w:id="10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7"/>
      <w:bookmarkEnd w:id="8"/>
    </w:p>
    <w:p>
      <w:pPr>
        <w:pStyle w:val="Heading4"/>
        <w:numPr>
          <w:ilvl w:val="1"/>
          <w:numId w:val="3"/>
        </w:numPr>
        <w:rPr/>
      </w:pPr>
      <w:bookmarkStart w:id="11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1"/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2" w:name="_Toc54643704"/>
      <w:r>
        <w:rPr>
          <w:lang w:val="ru-RU"/>
        </w:rPr>
        <w:t>Требования к перечню и объему услуг</w:t>
      </w:r>
      <w:bookmarkEnd w:id="1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3" w:name="_Toc54643705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>и объем оказываемых услуг</w:t>
      </w:r>
      <w:bookmarkEnd w:id="13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4849"/>
        <w:gridCol w:w="1987"/>
        <w:gridCol w:w="2124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Cs/>
                <w:sz w:val="24"/>
                <w:szCs w:val="24"/>
              </w:rPr>
            </w:pPr>
            <w:r>
              <w:rPr>
                <w:sz w:val="24"/>
              </w:rPr>
              <w:t>Услуги шеф-инженера по турбинному оборудованию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</w:rPr>
            </w:pPr>
            <w:r>
              <w:rPr>
                <w:sz w:val="24"/>
              </w:rPr>
              <w:t>Услуги шеф-инженера по генераторному оборудованию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дней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54643706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>к срокам оказания услуг</w:t>
      </w:r>
      <w:bookmarkEnd w:id="1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54643707"/>
      <w:bookmarkStart w:id="18" w:name="_Toc50125127"/>
      <w:bookmarkStart w:id="19" w:name="_Toc51339697"/>
      <w:bookmarkStart w:id="20" w:name="_Toc50125126_Копия_1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оказания услуг</w:t>
      </w:r>
      <w:bookmarkEnd w:id="17"/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  <w:bookmarkStart w:id="22" w:name="_Toc50125131"/>
      <w:bookmarkStart w:id="23" w:name="_Toc46743510_Копия_1"/>
      <w:bookmarkStart w:id="24" w:name="_Toc50125131"/>
      <w:bookmarkStart w:id="25" w:name="_Toc46743510_Копия_1"/>
      <w:bookmarkEnd w:id="25"/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tbl>
      <w:tblPr>
        <w:tblW w:w="9639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3260"/>
        <w:gridCol w:w="2694"/>
        <w:gridCol w:w="2833"/>
      </w:tblGrid>
      <w:tr>
        <w:trPr>
          <w:trHeight w:val="903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шеф-инженера по турбинному оборудованию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27.</w:t>
            </w:r>
            <w:r>
              <w:rPr>
                <w:iCs/>
                <w:sz w:val="24"/>
                <w:szCs w:val="24"/>
                <w:lang w:val="en-US"/>
              </w:rPr>
              <w:t>0</w:t>
            </w:r>
            <w:r>
              <w:rPr>
                <w:iCs/>
                <w:sz w:val="24"/>
                <w:szCs w:val="24"/>
                <w:lang w:val="en-US"/>
              </w:rPr>
              <w:t>9</w:t>
            </w:r>
            <w:r>
              <w:rPr>
                <w:iCs/>
                <w:sz w:val="24"/>
                <w:szCs w:val="24"/>
                <w:lang w:val="en-US"/>
              </w:rPr>
              <w:t>.2027г.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.2027г.</w:t>
            </w:r>
          </w:p>
        </w:tc>
      </w:tr>
      <w:tr>
        <w:trPr>
          <w:trHeight w:val="5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uppressAutoHyphens w:val="true"/>
              <w:rPr/>
            </w:pPr>
            <w:r>
              <w:rPr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Услуги шеф-инженера по генераторному оборудованию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27.</w:t>
            </w:r>
            <w:r>
              <w:rPr>
                <w:iCs/>
                <w:sz w:val="24"/>
                <w:szCs w:val="24"/>
                <w:lang w:val="en-US"/>
              </w:rPr>
              <w:t>0</w:t>
            </w:r>
            <w:r>
              <w:rPr>
                <w:iCs/>
                <w:sz w:val="24"/>
                <w:szCs w:val="24"/>
                <w:lang w:val="en-US"/>
              </w:rPr>
              <w:t>9</w:t>
            </w:r>
            <w:r>
              <w:rPr>
                <w:iCs/>
                <w:sz w:val="24"/>
                <w:szCs w:val="24"/>
                <w:lang w:val="en-US"/>
              </w:rPr>
              <w:t>.2027г.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31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.2027г.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6" w:name="_Toc54643709"/>
      <w:bookmarkStart w:id="27" w:name="_Toc51339698"/>
      <w:bookmarkStart w:id="28" w:name="_Toc54643708"/>
      <w:bookmarkStart w:id="29" w:name="_Toc46743511"/>
      <w:r>
        <w:rPr/>
        <w:t xml:space="preserve">Требования к </w:t>
      </w:r>
      <w:bookmarkEnd w:id="29"/>
      <w:r>
        <w:rPr>
          <w:lang w:val="ru-RU"/>
        </w:rPr>
        <w:t>качеству услуг</w:t>
      </w:r>
      <w:bookmarkEnd w:id="2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4"/>
      <w:bookmarkEnd w:id="27"/>
      <w:r>
        <w:rPr>
          <w:sz w:val="24"/>
          <w:szCs w:val="24"/>
          <w:lang w:val="ru-RU"/>
        </w:rPr>
        <w:t>качеству услуг</w:t>
      </w:r>
      <w:bookmarkEnd w:id="26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bCs/>
          <w:sz w:val="24"/>
          <w:szCs w:val="24"/>
        </w:rPr>
        <w:t>ОКПД271.20.1: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Оказание услуг шеф-инженеров при выполнении текущего ремонта 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Style w:val="af"/>
        <w:tblW w:w="1389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6"/>
        <w:gridCol w:w="4112"/>
        <w:gridCol w:w="3119"/>
        <w:gridCol w:w="3544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1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6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1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5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2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1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5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36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311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63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11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 оказании услуг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Правила организации технического обслуживания и ремонта объектов электроэнергетики», зарегистрирован 26.03.2019; приказ Минэнерго России от 25.10.2017 №1013;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ФНиП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«Правила по охране труда при размещении, монтаже, техническом обслуживании и ремонте технологического оборудования»;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 xml:space="preserve">«Правила технической эксплуатации электрических станций и сетей РФ»; 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Правила по охране труда в строительстве;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ФНиП в области промышленной безопасности «Правила безопасности опасных производственных объектов, на которых используются подъемные сооружения»;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Правила по охране труда при эксплуатации электроустановок;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РД 34.45-51.300-97 «Объем и нормы испытаний электрооборудования»;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«Правила устройства электроустановок» издание седьмое 2003 год;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«Инструкции по обращению с отходами производства и потребления Воткинской ГЭС»;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«Правила по охране труда при работе с инструментом и приспособлениями»;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РД 153-34.1-20.602-2002 «Основные положения и требования договора на выполнение работ по ремонту оборудования электростанций»;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СТО РусГидро 02.01.62-2021. «Гидроэлектростанции. Ремонт и техническое обслуживание оборудования, зданий и сооружений. Организация производственных процессов. Нормы и требования»;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СТО РусГидро 02.03.70-2022 «Гидротурбины. Общие технические условия на капитальный ремонт. Нормы и требования»;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СТО РусГидро 02.03.69-2022 «Гидрогенераторы. Общие технические условия на капитальный ремонт. Нормы и требования»;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СТО 17330282.27.140.001-2006 «Методики оценки технического состояния основного оборудования гидроэлектростанций»;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ГОСТ Р 56203-2014 Оборудование энергетическое тепло- и гидромеханическое. Шефмонтаж и шефналадка. Общие требования.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Регламент взаимодействия при проведении ремонтов ГА, прошедших техническое перевооружение по договору от 30.12.2014 №05030856/140761-0898.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44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 к порядку оказания услуг</w:t>
            </w:r>
          </w:p>
        </w:tc>
        <w:tc>
          <w:tcPr>
            <w:tcW w:w="411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321" w:hanging="0"/>
              <w:jc w:val="both"/>
              <w:rPr>
                <w:sz w:val="24"/>
                <w:szCs w:val="24"/>
                <w:lang w:val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Техническое руководство ремонтными работами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на территории Воткинской ГЭС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>, осуществляемое во время текущего  ремонта с осушением проточной части  гидроагрегата ст.№2 при проведении работ согласно Регламенту  взаимодействия при проведении ремонтов ГА, прошедших техническое перевооружение по договору от 30.12.2014 №05030856/140761-0898.</w:t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4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11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Организационно-технические мероприятия по допуску персонала исполнителя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12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Допуск персонала исполнителя для оказания услуг должен осуществляться в соответствии с «Методикой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допуска персонала подрядных организаций к выполнению работ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на объектах ПАО «РусГидро» (утв. приказом ПАО «РусГидро» №300 от 28.04.2023г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)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(Приложение №2 к ТТ)» с обязательным оформлением необходимых нарядов-допусков.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Требование к информационной безопасности</w:t>
            </w:r>
          </w:p>
        </w:tc>
        <w:tc>
          <w:tcPr>
            <w:tcW w:w="411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При пересылке файлов не допускается использование открытых файлообменных сервисов. 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11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Квалификация персонала исполнителя, привлекаемого к оказанию услуг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11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группе по электробезопасности и на высоте с приложением копий удостоверений на производство специальных видов работ и копий протокола по электробезопасности: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21" w:leader="none"/>
              </w:tabs>
              <w:suppressAutoHyphens w:val="true"/>
              <w:spacing w:before="60" w:after="0"/>
              <w:ind w:left="463" w:hanging="360"/>
              <w:contextualSpacing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шеф-инженер по турбинному оборудованию – не менее 1 чел. с группой допуска по электробезопасности не ниже III и группой по высоте не ниже II;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ind w:left="321" w:hanging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- шеф-инженер по генераторному оборудованию  – не менее 1 чел. с группой допуска по электробезопасности не ниже III и группой по высоте не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ниже II.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36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11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11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шеф-инженера считаются выполненными с момента сдачи оборудования в эксплуатацию и подписания акта сдачи-приемки.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11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Документы, передаваемые заказчику по результатам оказанных услуг </w:t>
            </w:r>
          </w:p>
        </w:tc>
        <w:tc>
          <w:tcPr>
            <w:tcW w:w="41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приемки-сдачи оказанных услуг в двух экземплярах.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предоставляет  в составе приемо-сдаточной и исполнительной документации Справку о фактических трудозатратах.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4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ind w:left="360" w:hanging="3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11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544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26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услуг</w:t>
            </w:r>
          </w:p>
        </w:tc>
        <w:tc>
          <w:tcPr>
            <w:tcW w:w="41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услуг должен составлять 24 месяца с даты подписания Акта о приемке выполненных работ КС-2.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5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true"/>
        <w:spacing w:before="120" w:after="60"/>
        <w:ind w:left="0" w:hanging="0"/>
        <w:outlineLvl w:val="0"/>
        <w:rPr>
          <w:rFonts w:eastAsia="Calibri" w:eastAsiaTheme="minorHAnsi"/>
          <w:sz w:val="24"/>
          <w:szCs w:val="24"/>
          <w:lang w:eastAsia="en-US"/>
        </w:rPr>
      </w:pPr>
      <w:r>
        <w:rPr>
          <w:rFonts w:eastAsia="Calibri"/>
          <w:b/>
          <w:lang w:eastAsia="x-none"/>
        </w:rPr>
        <w:t>3.</w:t>
      </w:r>
      <w:r>
        <w:rPr>
          <w:rFonts w:eastAsia="Calibri" w:eastAsiaTheme="minorHAnsi"/>
          <w:sz w:val="24"/>
          <w:szCs w:val="24"/>
          <w:lang w:eastAsia="en-US"/>
        </w:rPr>
        <w:t xml:space="preserve">  </w:t>
      </w:r>
      <w:r>
        <w:rPr>
          <w:b/>
          <w:sz w:val="24"/>
          <w:szCs w:val="24"/>
        </w:rPr>
        <w:t>Требования к документации по ценообразованию на этапе заключения (исполнения)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договора</w:t>
      </w:r>
    </w:p>
    <w:p>
      <w:pPr>
        <w:pStyle w:val="Normal"/>
        <w:tabs>
          <w:tab w:val="clear" w:pos="708"/>
          <w:tab w:val="left" w:pos="1260" w:leader="none"/>
        </w:tabs>
        <w:suppressAutoHyphens w:val="true"/>
        <w:ind w:left="1260" w:hanging="10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260" w:leader="none"/>
        </w:tabs>
        <w:suppressAutoHyphens w:val="true"/>
        <w:ind w:left="1260" w:hanging="108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1"/>
          <w:numId w:val="12"/>
        </w:numPr>
        <w:suppressAutoHyphens w:val="true"/>
        <w:spacing w:before="0" w:after="0"/>
        <w:contextualSpacing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sz w:val="24"/>
          <w:szCs w:val="24"/>
        </w:rPr>
        <w:t>Сметную документацию составлять и оформлять в соответствии с требованиями к документации по ценообразованию (Приложение №1 к настоящим техническим требованиям) с применением понижающего коэффициента, приводящего к стоимости указанного в ТКП участника, коэффициент начисляется в каждой локальной смете к итогу.</w:t>
      </w:r>
    </w:p>
    <w:p>
      <w:pPr>
        <w:pStyle w:val="Normal"/>
        <w:tabs>
          <w:tab w:val="clear" w:pos="708"/>
          <w:tab w:val="left" w:pos="1260" w:leader="none"/>
        </w:tabs>
        <w:suppressAutoHyphens w:val="true"/>
        <w:ind w:left="1260" w:hanging="108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rPr>
          <w:lang w:eastAsia="x-none"/>
        </w:rPr>
      </w:pPr>
      <w:r>
        <w:rPr>
          <w:lang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uppressAutoHyphens w:val="true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ListParagraph"/>
        <w:keepNext w:val="true"/>
        <w:numPr>
          <w:ilvl w:val="0"/>
          <w:numId w:val="6"/>
        </w:numPr>
        <w:suppressAutoHyphens w:val="true"/>
        <w:spacing w:before="120" w:after="60"/>
        <w:contextualSpacing/>
        <w:jc w:val="center"/>
        <w:outlineLvl w:val="0"/>
        <w:rPr>
          <w:b/>
          <w:caps/>
          <w:sz w:val="28"/>
          <w:szCs w:val="28"/>
          <w:lang w:val="x-none" w:eastAsia="x-none"/>
        </w:rPr>
      </w:pPr>
      <w:bookmarkStart w:id="30" w:name="_Toc54646413"/>
      <w:r>
        <w:rPr>
          <w:b/>
          <w:sz w:val="28"/>
          <w:szCs w:val="28"/>
          <w:lang w:val="x-none" w:eastAsia="x-none"/>
        </w:rPr>
        <w:t>Приложения</w:t>
      </w:r>
      <w:bookmarkEnd w:id="30"/>
    </w:p>
    <w:p>
      <w:pPr>
        <w:pStyle w:val="Normal"/>
        <w:suppressAutoHyphens w:val="true"/>
        <w:spacing w:before="0" w:after="120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uppressAutoHyphens w:val="true"/>
        <w:spacing w:lineRule="auto" w:line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>
      <w:pPr>
        <w:pStyle w:val="Normal"/>
        <w:suppressAutoHyphens w:val="tru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№1 - Требования к оформлению и составлению сметной документации на    выполнение работ при новом строительстве, реконструкции и техническом перевооружении, ремонте.</w:t>
      </w:r>
    </w:p>
    <w:p>
      <w:pPr>
        <w:pStyle w:val="Normal"/>
        <w:suppressAutoHyphens w:val="true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Приложении № 2 - Методика допуска персонала подрядных организаций к выполнению работ на объектах Общества.</w:t>
      </w:r>
    </w:p>
    <w:p>
      <w:pPr>
        <w:pStyle w:val="Normal"/>
        <w:suppressAutoHyphens w:val="true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Приложение №3 - Регламент взаимодействия при проведении ремонтов ГА, прошедших техническое перевооружение по договору от 30.12.2014 №05030856/140761-0898.</w:t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sz w:val="28"/>
        <w:i w:val="false"/>
        <w:b/>
        <w:szCs w:val="28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3"/>
      <w:numFmt w:val="decimal"/>
      <w:lvlText w:val="%1"/>
      <w:lvlJc w:val="left"/>
      <w:pPr>
        <w:tabs>
          <w:tab w:val="num" w:pos="0"/>
        </w:tabs>
        <w:ind w:left="375" w:hanging="375"/>
      </w:pPr>
      <w:rPr>
        <w:i w:val="false"/>
        <w:b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5" w:hanging="375"/>
      </w:pPr>
      <w:rPr>
        <w:i w:val="false"/>
        <w:b w:val="fals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i w:val="false"/>
        <w:b w:val="fals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i w:val="false"/>
        <w:b w:val="fals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i w:val="false"/>
        <w:b w:val="fals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i w:val="false"/>
        <w:b w:val="fals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i w:val="false"/>
        <w:b w:val="fals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2160"/>
      </w:pPr>
      <w:rPr>
        <w:i w:val="false"/>
        <w:b w:val="false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a2f6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Знак Знак1 Знак"/>
    <w:basedOn w:val="Normal"/>
    <w:qFormat/>
    <w:rsid w:val="00e166f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14E57-7428-458B-9543-D016050D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Application>AlterOffice/3.4.0.9$Linux_X86_64 LibreOffice_project/b8daf9e823b1a5463a2f48435ddc2e8696e7d4fc</Application>
  <AppVersion>15.0000</AppVersion>
  <Pages>13</Pages>
  <Words>1165</Words>
  <Characters>8020</Characters>
  <CharactersWithSpaces>8979</CharactersWithSpaces>
  <Paragraphs>222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2024-06-14T04:17:00Z</dcterms:created>
  <dc:creator>Быстров Олег Геннадьевич</dc:creator>
  <dc:description/>
  <dc:language>ru-RU</dc:language>
  <cp:lastModifiedBy>bannikovae@corp.gidroogk.com</cp:lastModifiedBy>
  <cp:lastPrinted>2006-07-26T14:04:00Z</cp:lastPrinted>
  <dcterms:modified xsi:type="dcterms:W3CDTF">2026-07-29T14:00:55Z</dcterms:modified>
  <cp:revision>15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