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header9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Утверждаю:    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Заместитель директора филиала-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Главный инженер Воткинского филиала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АО «Гидроремонт-ВКК» в г. Чайковский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spacing w:before="0" w:after="200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__________________Э.В. Сальников</w:t>
      </w:r>
    </w:p>
    <w:p>
      <w:pPr>
        <w:pStyle w:val="Normal"/>
        <w:jc w:val="right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«____» _______________2026г.</w:t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</w:rPr>
      </w:pPr>
      <w:r>
        <w:rPr>
          <w:rFonts w:eastAsia="Calibri"/>
        </w:rPr>
        <w:t xml:space="preserve">Технические требования на оказание услуг </w:t>
      </w:r>
    </w:p>
    <w:p>
      <w:pPr>
        <w:pStyle w:val="Normal"/>
        <w:keepNext w:val="true"/>
        <w:keepLines/>
        <w:jc w:val="center"/>
        <w:rPr>
          <w:rFonts w:eastAsia="Calibri"/>
        </w:rPr>
      </w:pPr>
      <w:r>
        <w:rPr>
          <w:rFonts w:eastAsia="Calibri"/>
        </w:rPr>
        <w:t>ОКПД 2</w:t>
      </w:r>
      <w:r>
        <w:rPr>
          <w:rFonts w:eastAsia="Calibri"/>
          <w:color w:val="000000"/>
        </w:rPr>
        <w:t>: 33.14.11 Оказание услуг по техническому контролю за работами по сервисному (техническому) обслуживанию генераторных распределительных устройств тип HECS-130L для нужд Воткинского филиала</w:t>
      </w:r>
    </w:p>
    <w:p>
      <w:pPr>
        <w:pStyle w:val="Normal"/>
        <w:keepNext w:val="true"/>
        <w:keepLines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iCs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54643453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</w:rPr>
              <w:tab/>
            </w:r>
            <w:r>
              <w:rPr>
                <w:rStyle w:val="Style14"/>
              </w:rPr>
              <w:t>Общие</w:t>
            </w:r>
            <w:r>
              <w:rPr>
                <w:rStyle w:val="Style14"/>
                <w:lang w:val="en-US"/>
              </w:rPr>
              <w:t xml:space="preserve"> </w:t>
            </w:r>
            <w:r>
              <w:rPr>
                <w:rStyle w:val="Style14"/>
              </w:rPr>
              <w:t>сведения</w:t>
            </w:r>
            <w:r>
              <w:rPr>
                <w:rStyle w:val="Style14"/>
                <w:lang w:val="en-US"/>
              </w:rPr>
              <w:t>…………..…..………………………………………………………..…..…....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_Toc54643453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left" w:pos="1120" w:leader="none"/>
              <w:tab w:val="left" w:pos="140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454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Обозначения и сокращения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_Toc54643454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lang w:val="en-US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left" w:pos="1120" w:leader="none"/>
              <w:tab w:val="left" w:pos="140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455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Наименование закупаемой продукции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_Toc54643455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lang w:val="en-US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left" w:pos="1120" w:leader="none"/>
              <w:tab w:val="left" w:pos="140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456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 xml:space="preserve">Цель оказания услуг 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_Toc54643456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lang w:val="en-US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left" w:pos="1120" w:leader="none"/>
              <w:tab w:val="left" w:pos="140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457">
            <w:r>
              <w:rPr>
                <w:webHidden/>
                <w:rStyle w:val="Style14"/>
                <w:iCs/>
                <w:vanish w:val="false"/>
              </w:rPr>
              <w:t>1.4.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 xml:space="preserve">Существующее положение 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_Toc54643457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lang w:val="en-US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iCs/>
            </w:rPr>
          </w:pPr>
          <w:hyperlink w:anchor="_Toc54643458"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_Toc54643458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lang w:val="en-US"/>
              </w:rPr>
              <w:t>…………………………………………………………3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left" w:pos="1120" w:leader="none"/>
              <w:tab w:val="left" w:pos="140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459">
            <w:r>
              <w:rPr>
                <w:webHidden/>
                <w:rStyle w:val="Style14"/>
                <w:iCs/>
                <w:vanish w:val="false"/>
              </w:rPr>
              <w:t>1.5.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 xml:space="preserve"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 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_Toc54643459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lang w:val="en-US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left" w:pos="1120" w:leader="none"/>
              <w:tab w:val="left" w:pos="140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460">
            <w:r>
              <w:rPr>
                <w:webHidden/>
                <w:rStyle w:val="Style14"/>
                <w:iCs/>
                <w:vanish w:val="false"/>
              </w:rPr>
              <w:t>1.6.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 xml:space="preserve">Иные требования и сведения общего характера 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_Toc54643460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lang w:val="en-US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iCs/>
            </w:rPr>
          </w:pPr>
          <w:hyperlink w:anchor="_Toc54643461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</w:rPr>
              <w:tab/>
            </w:r>
            <w:r>
              <w:rPr>
                <w:rStyle w:val="Style14"/>
              </w:rPr>
              <w:t>Требования к продукции…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_Toc54643461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lang w:val="en-US"/>
              </w:rPr>
              <w:t>.…………………………………………………………………...4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left" w:pos="1120" w:leader="none"/>
              <w:tab w:val="left" w:pos="140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462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объемам и срокам оказания услуг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_Toc54643462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lang w:val="en-US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463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перечню и объему услуг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_Toc54643463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lang w:val="en-US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iCs/>
            </w:rPr>
          </w:pPr>
          <w:hyperlink w:anchor="_Toc54643464">
            <w:r>
              <w:rPr>
                <w:webHidden/>
                <w:rStyle w:val="Style14"/>
                <w:vanish w:val="false"/>
              </w:rPr>
              <w:t>Таблица 2. Перечень и объем оказываемых услуг</w:t>
            </w:r>
            <w:r>
              <w:rPr>
                <w:rStyle w:val="Style14"/>
              </w:rPr>
              <w:t>…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_Toc54643464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lang w:val="en-US"/>
              </w:rPr>
              <w:t>.……………………………………………4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465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срокам оказания услуг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_Toc54643465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lang w:val="en-US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iCs/>
            </w:rPr>
          </w:pPr>
          <w:hyperlink w:anchor="_Toc54643466">
            <w:r>
              <w:rPr>
                <w:webHidden/>
                <w:rStyle w:val="Style14"/>
                <w:vanish w:val="false"/>
              </w:rPr>
              <w:t>Таблица 3. Требования к срокам оказания услуг</w:t>
            </w:r>
            <w:r>
              <w:rPr>
                <w:rStyle w:val="Style14"/>
              </w:rPr>
              <w:t>…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_Toc54643466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lang w:val="en-US"/>
              </w:rPr>
              <w:t>……………………………………………...4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left" w:pos="1120" w:leader="none"/>
              <w:tab w:val="left" w:pos="140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467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</w:rPr>
              <w:t>Требования к качеству услуг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_Toc54643467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lang w:val="en-US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iCs/>
            </w:rPr>
          </w:pPr>
          <w:hyperlink w:anchor="_Toc54643468">
            <w:r>
              <w:rPr>
                <w:webHidden/>
                <w:rStyle w:val="Style14"/>
                <w:vanish w:val="false"/>
              </w:rPr>
              <w:t>Таблица 4. Требования к качеству услуг</w:t>
            </w:r>
            <w:r>
              <w:rPr>
                <w:rStyle w:val="Style14"/>
                <w:lang w:val="en-US"/>
              </w:rPr>
              <w:t xml:space="preserve"> ...……………………………………………………...</w:t>
            </w:r>
            <w:r>
              <w:rPr>
                <w:rStyle w:val="Style14"/>
              </w:rPr>
              <w:t>..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_Toc54643468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lang w:val="en-US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/>
          </w:pPr>
          <w:r>
            <w:rPr/>
            <w:t>3.</w:t>
            <w:tab/>
            <w:t>Требования к документации по ценообразованию на этапе заключения (исполнения) договора………………………………………………………………………..…..…………………10</w:t>
          </w:r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iCs/>
              <w:lang w:val="en-US"/>
            </w:rPr>
          </w:pPr>
          <w:hyperlink w:anchor="_Toc54643470">
            <w:r>
              <w:rPr>
                <w:webHidden/>
                <w:rStyle w:val="Style14"/>
                <w:vanish w:val="false"/>
              </w:rPr>
              <w:t>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</w:rPr>
              <w:tab/>
            </w:r>
            <w:r>
              <w:rPr>
                <w:rStyle w:val="Style14"/>
              </w:rPr>
              <w:t>Приложения…</w:t>
            </w:r>
            <w:r>
              <w:rPr>
                <w:rStyle w:val="Style14"/>
                <w:lang w:val="en-US"/>
              </w:rPr>
              <w:t>…………………………………………………………………………………1</w:t>
            </w:r>
          </w:hyperlink>
          <w:r>
            <w:rPr>
              <w:lang w:val="en-US"/>
            </w:rPr>
            <w:t>1</w:t>
          </w:r>
          <w:r>
            <w:rPr>
              <w:lang w:val="en-US"/>
            </w:rPr>
            <w:fldChar w:fldCharType="end"/>
          </w:r>
        </w:p>
      </w:sdtContent>
    </w:sdt>
    <w:p>
      <w:pPr>
        <w:pStyle w:val="TOC1"/>
        <w:rPr>
          <w:rFonts w:ascii="Calibri" w:hAnsi="Calibri" w:eastAsia="新細明體" w:cs="Arial" w:asciiTheme="minorHAnsi" w:cstheme="minorBidi" w:eastAsiaTheme="minorEastAsia" w:hAnsiTheme="minorHAnsi"/>
          <w:iCs/>
        </w:rPr>
      </w:pPr>
      <w:r>
        <w:rPr>
          <w:rFonts w:eastAsia="新細明體" w:cs="Arial" w:cstheme="minorBidi" w:eastAsiaTheme="minorEastAsia" w:ascii="Calibri" w:hAnsi="Calibri"/>
          <w:iCs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54643694"/>
      <w:r>
        <w:rPr>
          <w:lang w:val="ru-RU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ind w:left="432" w:hanging="432"/>
        <w:rPr>
          <w:lang w:val="en-US"/>
        </w:rPr>
      </w:pPr>
      <w:r>
        <w:rPr>
          <w:lang w:val="en-US"/>
        </w:rPr>
        <w:t>Обозначения и сокращения</w:t>
      </w:r>
    </w:p>
    <w:tbl>
      <w:tblPr>
        <w:tblStyle w:val="affff5"/>
        <w:tblW w:w="991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955"/>
        <w:gridCol w:w="4955"/>
      </w:tblGrid>
      <w:tr>
        <w:trPr/>
        <w:tc>
          <w:tcPr>
            <w:tcW w:w="4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  <w:lang w:val="en-US" w:eastAsia="x-none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 w:eastAsia="x-none" w:bidi="ar-SA"/>
              </w:rPr>
              <w:t>ГЭС</w:t>
            </w:r>
          </w:p>
        </w:tc>
        <w:tc>
          <w:tcPr>
            <w:tcW w:w="4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  <w:lang w:val="en-US" w:eastAsia="x-none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 w:eastAsia="x-none" w:bidi="ar-SA"/>
              </w:rPr>
              <w:t xml:space="preserve">Гидроэлектростанция </w:t>
            </w:r>
          </w:p>
        </w:tc>
      </w:tr>
      <w:tr>
        <w:trPr/>
        <w:tc>
          <w:tcPr>
            <w:tcW w:w="4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  <w:lang w:val="en-US" w:eastAsia="x-none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 w:eastAsia="x-none" w:bidi="ar-SA"/>
              </w:rPr>
              <w:t>ПАО</w:t>
            </w:r>
          </w:p>
        </w:tc>
        <w:tc>
          <w:tcPr>
            <w:tcW w:w="4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  <w:lang w:val="en-US" w:eastAsia="x-none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 w:eastAsia="x-none" w:bidi="ar-SA"/>
              </w:rPr>
              <w:t xml:space="preserve">Публичное акционерное общество </w:t>
            </w:r>
          </w:p>
        </w:tc>
      </w:tr>
      <w:tr>
        <w:trPr/>
        <w:tc>
          <w:tcPr>
            <w:tcW w:w="4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  <w:lang w:val="en-US" w:eastAsia="x-none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 w:eastAsia="x-none" w:bidi="ar-SA"/>
              </w:rPr>
              <w:t>ГР</w:t>
            </w:r>
          </w:p>
        </w:tc>
        <w:tc>
          <w:tcPr>
            <w:tcW w:w="4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x-none" w:bidi="ar-SA"/>
              </w:rPr>
              <w:t>Генераторное распределительное устройство (элегазовый генераторный комплекс)</w:t>
            </w:r>
          </w:p>
        </w:tc>
      </w:tr>
      <w:tr>
        <w:trPr/>
        <w:tc>
          <w:tcPr>
            <w:tcW w:w="4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  <w:lang w:val="en-US" w:eastAsia="x-none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 w:eastAsia="x-none" w:bidi="ar-SA"/>
              </w:rPr>
              <w:t>Г</w:t>
            </w:r>
          </w:p>
        </w:tc>
        <w:tc>
          <w:tcPr>
            <w:tcW w:w="4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  <w:lang w:val="en-US" w:eastAsia="x-none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 w:eastAsia="x-none" w:bidi="ar-SA"/>
              </w:rPr>
              <w:t xml:space="preserve">Генератор синхронный </w:t>
            </w:r>
          </w:p>
        </w:tc>
      </w:tr>
      <w:tr>
        <w:trPr/>
        <w:tc>
          <w:tcPr>
            <w:tcW w:w="49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  <w:lang w:val="en-US" w:eastAsia="x-none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 w:eastAsia="x-none" w:bidi="ar-SA"/>
              </w:rPr>
              <w:t>ТТ</w:t>
            </w:r>
          </w:p>
        </w:tc>
        <w:tc>
          <w:tcPr>
            <w:tcW w:w="49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  <w:lang w:val="en-US" w:eastAsia="x-none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 w:eastAsia="x-none" w:bidi="ar-SA"/>
              </w:rPr>
              <w:t xml:space="preserve">Технические требования </w:t>
            </w:r>
          </w:p>
        </w:tc>
      </w:tr>
      <w:tr>
        <w:trPr/>
        <w:tc>
          <w:tcPr>
            <w:tcW w:w="4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  <w:lang w:val="en-US" w:eastAsia="x-none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 w:eastAsia="x-none" w:bidi="ar-SA"/>
              </w:rPr>
              <w:t>СТО</w:t>
            </w:r>
          </w:p>
        </w:tc>
        <w:tc>
          <w:tcPr>
            <w:tcW w:w="4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  <w:lang w:val="en-US" w:eastAsia="x-none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 w:eastAsia="x-none" w:bidi="ar-SA"/>
              </w:rPr>
              <w:t>Стандарт организации</w:t>
            </w:r>
          </w:p>
        </w:tc>
      </w:tr>
    </w:tbl>
    <w:p>
      <w:pPr>
        <w:pStyle w:val="Normal"/>
        <w:rPr>
          <w:sz w:val="24"/>
          <w:szCs w:val="24"/>
          <w:lang w:val="en-US" w:eastAsia="x-none"/>
        </w:rPr>
      </w:pPr>
      <w:r>
        <w:rPr>
          <w:sz w:val="24"/>
          <w:szCs w:val="24"/>
          <w:lang w:val="en-US" w:eastAsia="x-none"/>
        </w:rPr>
      </w:r>
    </w:p>
    <w:p>
      <w:pPr>
        <w:pStyle w:val="Heading4"/>
        <w:numPr>
          <w:ilvl w:val="1"/>
          <w:numId w:val="3"/>
        </w:numPr>
        <w:ind w:left="432" w:hanging="432"/>
        <w:rPr/>
      </w:pPr>
      <w:bookmarkStart w:id="1" w:name="_Toc46743506"/>
      <w:bookmarkStart w:id="2" w:name="_Toc54643696"/>
      <w:r>
        <w:rPr/>
        <w:t>Наименование закупаемой продукции</w:t>
      </w:r>
      <w:bookmarkEnd w:id="1"/>
      <w:bookmarkEnd w:id="2"/>
    </w:p>
    <w:p>
      <w:pPr>
        <w:pStyle w:val="Normal"/>
        <w:keepNext w:val="true"/>
        <w:keepLines/>
        <w:jc w:val="both"/>
        <w:rPr/>
      </w:pPr>
      <w:r>
        <w:rPr>
          <w:rStyle w:val="Style8"/>
          <w:rFonts w:eastAsia="Calibri"/>
          <w:b w:val="false"/>
          <w:bCs/>
          <w:sz w:val="24"/>
          <w:szCs w:val="24"/>
          <w:shd w:fill="auto" w:val="clear"/>
          <w:lang w:eastAsia="x-none"/>
        </w:rPr>
        <w:t>ОКПД 2</w:t>
      </w:r>
      <w:r>
        <w:rPr>
          <w:rStyle w:val="Style8"/>
          <w:rFonts w:eastAsia="Calibri"/>
          <w:b w:val="false"/>
          <w:bCs/>
          <w:color w:val="000000"/>
          <w:sz w:val="24"/>
          <w:szCs w:val="24"/>
          <w:shd w:fill="auto" w:val="clear"/>
          <w:lang w:eastAsia="x-none"/>
        </w:rPr>
        <w:t>: 33.14.11 Оказание услуг по техническому контролю за работами по сервисному (техническому) обслуживанию генераторных распределительных устройств тип HECS-130L персоналом ООО «Эйч Энерджи».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3" w:name="_Toc54643697"/>
      <w:bookmarkStart w:id="4" w:name="_Toc46743507"/>
      <w:r>
        <w:rPr/>
        <w:t xml:space="preserve">Цель </w:t>
      </w:r>
      <w:bookmarkEnd w:id="4"/>
      <w:r>
        <w:rPr>
          <w:lang w:val="ru-RU"/>
        </w:rPr>
        <w:t>оказания услуг</w:t>
      </w:r>
      <w:r>
        <w:rPr/>
        <w:t xml:space="preserve"> </w:t>
      </w:r>
      <w:bookmarkEnd w:id="3"/>
    </w:p>
    <w:p>
      <w:pPr>
        <w:pStyle w:val="Normal"/>
        <w:widowControl w:val="false"/>
        <w:tabs>
          <w:tab w:val="clear" w:pos="397"/>
          <w:tab w:val="left" w:pos="426" w:leader="none"/>
        </w:tabs>
        <w:spacing w:before="0" w:after="120"/>
        <w:jc w:val="both"/>
        <w:rPr>
          <w:rFonts w:eastAsia="Calibri"/>
          <w:lang w:eastAsia="x-none"/>
        </w:rPr>
      </w:pPr>
      <w:r>
        <w:rPr>
          <w:i/>
          <w:sz w:val="24"/>
          <w:szCs w:val="24"/>
        </w:rPr>
        <w:t xml:space="preserve">Исполнение обязательств по договору №4-РЕМ-2023-ВотГЭС от 31.10.2023 «Работы по капитальному и текущему ремонту оборудования, зданий, сооружений», заключенного между филиалом ПАО «РусГидро»-«Воткинская ГЭС» с одной стороны и Воткинским филиалом АО «Гидроремонт-ВКК» в г. Чайковский, с другой стороны. </w:t>
      </w:r>
      <w:r>
        <w:rPr>
          <w:rFonts w:eastAsia="Calibri"/>
          <w:i/>
          <w:sz w:val="24"/>
          <w:szCs w:val="24"/>
          <w:lang w:eastAsia="x-none"/>
        </w:rPr>
        <w:t xml:space="preserve"> </w:t>
      </w:r>
    </w:p>
    <w:p>
      <w:pPr>
        <w:pStyle w:val="Heading4"/>
        <w:numPr>
          <w:ilvl w:val="1"/>
          <w:numId w:val="3"/>
        </w:numPr>
        <w:ind w:left="432" w:hanging="432"/>
        <w:rPr/>
      </w:pPr>
      <w:bookmarkStart w:id="5" w:name="_Toc54643699"/>
      <w:r>
        <w:rPr/>
        <w:t>Существующее положение</w:t>
      </w:r>
    </w:p>
    <w:p>
      <w:pPr>
        <w:pStyle w:val="Normal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 xml:space="preserve">На филиале ПАО «РусГидро-Воткинская ГЭС» установлены генераторные распределительные устройства </w:t>
      </w:r>
      <w:r>
        <w:rPr>
          <w:rFonts w:eastAsia="Calibri"/>
          <w:i/>
          <w:sz w:val="24"/>
          <w:szCs w:val="24"/>
          <w:lang w:eastAsia="x-none"/>
        </w:rPr>
        <w:t>тип HECS-130L и находятся в здании ГЭС.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5"/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562"/>
        <w:gridCol w:w="2973"/>
        <w:gridCol w:w="1989"/>
        <w:gridCol w:w="1842"/>
        <w:gridCol w:w="2410"/>
      </w:tblGrid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rPr/>
            </w:pPr>
            <w:r>
              <w:rPr/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eastAsia="Calibri"/>
              </w:rPr>
            </w:pPr>
            <w:r>
              <w:rPr>
                <w:rFonts w:eastAsia="Calibri"/>
                <w:i/>
                <w:sz w:val="22"/>
                <w:szCs w:val="22"/>
              </w:rPr>
              <w:t>ОКПД 2</w:t>
            </w:r>
            <w:r>
              <w:rPr>
                <w:rFonts w:eastAsia="Calibri"/>
                <w:i/>
                <w:color w:val="000000"/>
                <w:sz w:val="22"/>
                <w:szCs w:val="22"/>
              </w:rPr>
              <w:t xml:space="preserve">: 33.14.11 Оказание услуг по техническому контролю за работами по сервисному (техническому) обслуживанию генераторных распределительных устройств тип </w:t>
            </w:r>
            <w:r>
              <w:rPr>
                <w:rFonts w:eastAsia="Calibri"/>
                <w:i/>
                <w:color w:val="000000"/>
                <w:sz w:val="24"/>
                <w:szCs w:val="24"/>
                <w:lang w:eastAsia="x-none"/>
              </w:rPr>
              <w:t>HECS-130L</w:t>
            </w:r>
            <w:r>
              <w:rPr>
                <w:rFonts w:eastAsia="Calibri"/>
                <w:i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Филиал ПАО «РусГидро-Воткинская ГЭС», Российская Федерация, Пермский край, г. Чайковский, здание ГЭС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6" w:hanging="6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397"/>
                <w:tab w:val="left" w:pos="426" w:leader="none"/>
              </w:tabs>
              <w:spacing w:before="0" w:after="120"/>
              <w:jc w:val="center"/>
              <w:rPr>
                <w:rFonts w:eastAsia="Calibri"/>
                <w:lang w:eastAsia="x-none"/>
              </w:rPr>
            </w:pPr>
            <w:r>
              <w:rPr>
                <w:rFonts w:eastAsia="Calibri"/>
                <w:i/>
                <w:sz w:val="24"/>
                <w:szCs w:val="24"/>
                <w:lang w:eastAsia="x-none"/>
              </w:rPr>
              <w:t>HECS-130L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49" w:hanging="149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Эксплуатирующая организация: ПАО «РусГидро-Воткинская ГЭС»</w:t>
            </w:r>
          </w:p>
        </w:tc>
      </w:tr>
    </w:tbl>
    <w:p>
      <w:pPr>
        <w:pStyle w:val="Normal"/>
        <w:widowControl w:val="false"/>
        <w:tabs>
          <w:tab w:val="clear" w:pos="397"/>
          <w:tab w:val="left" w:pos="426" w:leader="none"/>
        </w:tabs>
        <w:jc w:val="both"/>
        <w:rPr>
          <w:rStyle w:val="Style8"/>
          <w:b w:val="false"/>
          <w:bCs/>
          <w:sz w:val="24"/>
          <w:szCs w:val="24"/>
        </w:rPr>
      </w:pPr>
      <w:r>
        <w:rPr>
          <w:b w:val="false"/>
          <w:bCs/>
          <w:sz w:val="24"/>
          <w:szCs w:val="24"/>
        </w:rPr>
      </w:r>
    </w:p>
    <w:p>
      <w:pPr>
        <w:pStyle w:val="Heading4"/>
        <w:numPr>
          <w:ilvl w:val="1"/>
          <w:numId w:val="3"/>
        </w:numPr>
        <w:ind w:left="426" w:hanging="426"/>
        <w:jc w:val="both"/>
        <w:rPr/>
      </w:pPr>
      <w:bookmarkStart w:id="6" w:name="_Toc48062863"/>
      <w:bookmarkStart w:id="7" w:name="_Toc54643459"/>
      <w:r>
        <w:rPr/>
        <w:t xml:space="preserve">Информация в отношении исполнения договора, </w:t>
      </w:r>
      <w:bookmarkStart w:id="8" w:name="_Hlk46492347"/>
      <w:r>
        <w:rPr/>
        <w:t xml:space="preserve">которая должна быть учтена при подготовке заявки </w:t>
      </w:r>
      <w:bookmarkEnd w:id="8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6"/>
      <w:bookmarkEnd w:id="7"/>
    </w:p>
    <w:p>
      <w:pPr>
        <w:pStyle w:val="Normal"/>
        <w:rPr>
          <w:i/>
          <w:i/>
          <w:sz w:val="24"/>
          <w:szCs w:val="24"/>
          <w:lang w:eastAsia="x-none"/>
        </w:rPr>
      </w:pPr>
      <w:r>
        <w:rPr>
          <w:i/>
          <w:sz w:val="24"/>
          <w:szCs w:val="24"/>
          <w:lang w:eastAsia="x-none"/>
        </w:rPr>
        <w:t xml:space="preserve">Заказчик предоставит </w:t>
      </w:r>
      <w:r>
        <w:rPr>
          <w:i/>
          <w:sz w:val="24"/>
          <w:szCs w:val="24"/>
          <w:lang w:val="en-US" w:eastAsia="x-none"/>
        </w:rPr>
        <w:t>исполнителю</w:t>
      </w:r>
      <w:r>
        <w:rPr>
          <w:i/>
          <w:sz w:val="24"/>
          <w:szCs w:val="24"/>
          <w:lang w:eastAsia="x-none"/>
        </w:rPr>
        <w:t xml:space="preserve">: </w:t>
      </w:r>
    </w:p>
    <w:p>
      <w:pPr>
        <w:pStyle w:val="ListParagraph"/>
        <w:numPr>
          <w:ilvl w:val="0"/>
          <w:numId w:val="11"/>
        </w:numPr>
        <w:jc w:val="both"/>
        <w:rPr>
          <w:i/>
          <w:i/>
          <w:lang w:eastAsia="x-none"/>
        </w:rPr>
      </w:pPr>
      <w:r>
        <w:rPr>
          <w:i/>
          <w:lang w:eastAsia="x-none"/>
        </w:rPr>
        <w:t>Оборудование, выведенное в ремонт. Меры безопасности обеспечивают возможность доступа персонала к оборудованию, включая возможность оперирования выключателем, разъединителем и заземляющими ножами со стороны трансформатора и со стороны генератора;</w:t>
      </w:r>
    </w:p>
    <w:p>
      <w:pPr>
        <w:pStyle w:val="ListParagraph"/>
        <w:numPr>
          <w:ilvl w:val="0"/>
          <w:numId w:val="11"/>
        </w:numPr>
        <w:jc w:val="both"/>
        <w:rPr>
          <w:i/>
          <w:i/>
          <w:lang w:eastAsia="x-none"/>
        </w:rPr>
      </w:pPr>
      <w:r>
        <w:rPr>
          <w:i/>
          <w:lang w:eastAsia="x-none"/>
        </w:rPr>
        <w:t>Помещение для складирования оборудования, размещения персонала на время оказания услуг.</w:t>
      </w:r>
    </w:p>
    <w:p>
      <w:pPr>
        <w:pStyle w:val="Heading4"/>
        <w:numPr>
          <w:ilvl w:val="1"/>
          <w:numId w:val="3"/>
        </w:numPr>
        <w:ind w:left="426" w:hanging="426"/>
        <w:jc w:val="both"/>
        <w:rPr/>
      </w:pPr>
      <w:bookmarkStart w:id="9" w:name="_Toc54643460"/>
      <w:bookmarkStart w:id="10" w:name="_Ref54011166"/>
      <w:r>
        <w:rPr/>
        <w:t>Иные требования и сведения общего характера</w:t>
      </w:r>
      <w:bookmarkEnd w:id="10"/>
      <w:r>
        <w:rPr>
          <w:lang w:val="ru-RU"/>
        </w:rPr>
        <w:t xml:space="preserve"> </w:t>
      </w:r>
      <w:bookmarkEnd w:id="9"/>
    </w:p>
    <w:p>
      <w:pPr>
        <w:pStyle w:val="Normal"/>
        <w:rPr>
          <w:i/>
          <w:i/>
          <w:sz w:val="24"/>
          <w:szCs w:val="24"/>
          <w:lang w:val="en-US" w:eastAsia="x-none"/>
        </w:rPr>
      </w:pPr>
      <w:r>
        <w:rPr>
          <w:i/>
          <w:sz w:val="24"/>
          <w:szCs w:val="24"/>
          <w:lang w:val="en-US" w:eastAsia="x-none"/>
        </w:rPr>
        <w:t xml:space="preserve">Условия оказания услуг: </w:t>
      </w:r>
    </w:p>
    <w:p>
      <w:pPr>
        <w:pStyle w:val="ListParagraph"/>
        <w:numPr>
          <w:ilvl w:val="0"/>
          <w:numId w:val="12"/>
        </w:numPr>
        <w:jc w:val="both"/>
        <w:rPr>
          <w:i/>
          <w:i/>
          <w:lang w:eastAsia="x-none"/>
        </w:rPr>
      </w:pPr>
      <w:r>
        <w:rPr>
          <w:i/>
          <w:lang w:eastAsia="x-none"/>
        </w:rPr>
        <w:t>Оказание услуг осуществляются в помещениях эксплуатируемого объекта без остановки рабочего процесса предприятия, при этом в зоне оказания услуг имеется</w:t>
      </w:r>
      <w:r>
        <w:rPr>
          <w:lang w:eastAsia="x-none"/>
        </w:rPr>
        <w:t xml:space="preserve"> </w:t>
      </w:r>
      <w:r>
        <w:rPr>
          <w:i/>
          <w:lang w:eastAsia="x-none"/>
        </w:rPr>
        <w:t>действующее технологическое оборудование.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1" w:name="_Toc54643702"/>
      <w:bookmarkStart w:id="12" w:name="_Toc51339693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11"/>
      <w:bookmarkEnd w:id="12"/>
    </w:p>
    <w:p>
      <w:pPr>
        <w:pStyle w:val="Heading4"/>
        <w:numPr>
          <w:ilvl w:val="1"/>
          <w:numId w:val="3"/>
        </w:numPr>
        <w:ind w:left="432" w:hanging="432"/>
        <w:rPr/>
      </w:pPr>
      <w:bookmarkStart w:id="13" w:name="_Toc54643703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13"/>
    </w:p>
    <w:p>
      <w:pPr>
        <w:pStyle w:val="Heading3"/>
        <w:numPr>
          <w:ilvl w:val="2"/>
          <w:numId w:val="3"/>
        </w:numPr>
        <w:rPr/>
      </w:pPr>
      <w:bookmarkStart w:id="14" w:name="_Toc54643704"/>
      <w:r>
        <w:rPr>
          <w:lang w:val="ru-RU"/>
        </w:rPr>
        <w:t>Требования к перечню и объему услуг</w:t>
      </w:r>
      <w:bookmarkEnd w:id="14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5" w:name="_Toc54643705"/>
      <w:bookmarkStart w:id="16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6"/>
      <w:r>
        <w:rPr>
          <w:sz w:val="24"/>
          <w:szCs w:val="24"/>
          <w:lang w:val="ru-RU"/>
        </w:rPr>
        <w:t>и объем оказываемых услуг</w:t>
      </w:r>
      <w:bookmarkEnd w:id="15"/>
    </w:p>
    <w:tbl>
      <w:tblPr>
        <w:tblW w:w="966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609"/>
        <w:gridCol w:w="5556"/>
        <w:gridCol w:w="1769"/>
        <w:gridCol w:w="1733"/>
      </w:tblGrid>
      <w:tr>
        <w:trPr/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562" w:hRule="atLeast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eastAsia="Calibri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 xml:space="preserve">ОКПД 2: 33.14.11 Оказание услуг по техническому контролю за работами по сервисному (техническому) обслуживанию генераторных распределительных устройств тип  </w:t>
            </w:r>
            <w:r>
              <w:rPr>
                <w:rFonts w:eastAsia="Calibri"/>
                <w:i/>
                <w:color w:val="000000"/>
                <w:sz w:val="24"/>
                <w:szCs w:val="24"/>
                <w:lang w:eastAsia="x-none"/>
              </w:rPr>
              <w:t>HECS-130L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шт.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</w:tr>
    </w:tbl>
    <w:p>
      <w:pPr>
        <w:pStyle w:val="Heading3"/>
        <w:numPr>
          <w:ilvl w:val="2"/>
          <w:numId w:val="3"/>
        </w:numPr>
        <w:rPr>
          <w:lang w:val="ru-RU"/>
        </w:rPr>
      </w:pPr>
      <w:bookmarkStart w:id="17" w:name="_Toc54643706"/>
      <w:bookmarkStart w:id="18" w:name="_Toc51339696"/>
      <w:r>
        <w:rPr>
          <w:lang w:val="ru-RU"/>
        </w:rPr>
        <w:t xml:space="preserve">Требования </w:t>
      </w:r>
      <w:bookmarkEnd w:id="18"/>
      <w:r>
        <w:rPr>
          <w:lang w:val="ru-RU"/>
        </w:rPr>
        <w:t>к срокам оказания услуг</w:t>
      </w:r>
      <w:bookmarkEnd w:id="17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9" w:name="_Toc54643707"/>
      <w:bookmarkStart w:id="20" w:name="_Toc50125127"/>
      <w:bookmarkStart w:id="21" w:name="_Toc51339697"/>
      <w:bookmarkStart w:id="22" w:name="_Toc50125126"/>
      <w:bookmarkEnd w:id="22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23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20"/>
      <w:bookmarkEnd w:id="21"/>
      <w:bookmarkEnd w:id="23"/>
      <w:r>
        <w:rPr>
          <w:sz w:val="24"/>
          <w:szCs w:val="24"/>
          <w:lang w:val="ru-RU"/>
        </w:rPr>
        <w:t>оказания услуг</w:t>
      </w:r>
      <w:bookmarkEnd w:id="19"/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40"/>
        <w:gridCol w:w="3262"/>
        <w:gridCol w:w="2838"/>
        <w:gridCol w:w="2835"/>
      </w:tblGrid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услуг/ этапа услуг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услуг*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услуг*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bookmarkStart w:id="24" w:name="_Toc46743510"/>
            <w:r>
              <w:rPr>
                <w:b/>
                <w:sz w:val="24"/>
                <w:szCs w:val="24"/>
              </w:rPr>
              <w:t>4</w:t>
            </w:r>
            <w:bookmarkEnd w:id="24"/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rFonts w:eastAsia="Calibri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ОКПД 2: 33.14.11 Оказание услуг по техническому контролю за работами по сервисному (техническому) обслуживанию генераторных распределительных устройств тип HECS-130L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15.03.2027 (ГР-7Г) 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19.07.2027 (ГР-8Г</w:t>
            </w:r>
            <w:r>
              <w:rPr>
                <w:rFonts w:eastAsia="Calibri"/>
                <w:color w:val="000000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03.04.2027 (ГР-7Г) 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31.07.2027 (ГР-8Г</w:t>
            </w:r>
            <w:r>
              <w:rPr>
                <w:rFonts w:eastAsia="Calibri"/>
                <w:color w:val="000000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even" r:id="rId2"/>
          <w:headerReference w:type="defaul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keepNext w:val="true"/>
        <w:keepLines/>
        <w:numPr>
          <w:ilvl w:val="0"/>
          <w:numId w:val="0"/>
        </w:numPr>
        <w:spacing w:before="240" w:after="60"/>
        <w:ind w:left="0" w:hanging="0"/>
        <w:jc w:val="both"/>
        <w:outlineLvl w:val="0"/>
        <w:rPr>
          <w:rFonts w:eastAsia="Calibri"/>
          <w:i/>
          <w:i/>
          <w:sz w:val="24"/>
          <w:szCs w:val="24"/>
          <w:lang w:eastAsia="x-none"/>
        </w:rPr>
      </w:pPr>
      <w:r>
        <w:rPr>
          <w:rFonts w:eastAsia="Calibri"/>
          <w:i/>
          <w:sz w:val="24"/>
          <w:szCs w:val="24"/>
          <w:lang w:eastAsia="x-none"/>
        </w:rPr>
        <w:t>*Точные сроки оказания услуг будут известны после утверждения графиков ремонтов гидрогенераторов ст. №7</w:t>
      </w:r>
      <w:r>
        <w:rPr>
          <w:rFonts w:eastAsia="Calibri"/>
          <w:i/>
          <w:sz w:val="24"/>
          <w:szCs w:val="24"/>
          <w:lang w:val="en-US" w:eastAsia="x-none"/>
        </w:rPr>
        <w:t xml:space="preserve"> и №8</w:t>
      </w:r>
      <w:r>
        <w:rPr>
          <w:rFonts w:eastAsia="Calibri"/>
          <w:i/>
          <w:sz w:val="24"/>
          <w:szCs w:val="24"/>
          <w:lang w:eastAsia="x-none"/>
        </w:rPr>
        <w:t xml:space="preserve"> главным инженером филиала ПАО «РусГидро» - «Воткинская ГЭС».</w:t>
      </w:r>
    </w:p>
    <w:p>
      <w:pPr>
        <w:pStyle w:val="Heading4"/>
        <w:numPr>
          <w:ilvl w:val="1"/>
          <w:numId w:val="3"/>
        </w:numPr>
        <w:ind w:left="432" w:hanging="432"/>
        <w:rPr/>
      </w:pPr>
      <w:bookmarkStart w:id="25" w:name="_Toc54643709"/>
      <w:bookmarkStart w:id="26" w:name="_Toc51339698"/>
      <w:bookmarkStart w:id="27" w:name="_Toc54643708"/>
      <w:bookmarkStart w:id="28" w:name="_Toc46743511"/>
      <w:r>
        <w:rPr/>
        <w:t xml:space="preserve">Требования к </w:t>
      </w:r>
      <w:bookmarkEnd w:id="28"/>
      <w:r>
        <w:rPr>
          <w:lang w:val="ru-RU"/>
        </w:rPr>
        <w:t>качеству услуг</w:t>
      </w:r>
      <w:bookmarkEnd w:id="27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6"/>
      <w:r>
        <w:rPr>
          <w:sz w:val="24"/>
          <w:szCs w:val="24"/>
          <w:lang w:val="ru-RU"/>
        </w:rPr>
        <w:t>качеству услуг</w:t>
      </w:r>
      <w:bookmarkEnd w:id="25"/>
      <w:r>
        <w:rPr>
          <w:sz w:val="24"/>
          <w:szCs w:val="24"/>
        </w:rPr>
        <w:t xml:space="preserve"> </w:t>
      </w:r>
    </w:p>
    <w:p>
      <w:pPr>
        <w:pStyle w:val="Normal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 xml:space="preserve">Наименование услуг/этапа услуг (позиция №1 Таблицы 2): </w:t>
      </w:r>
      <w:r>
        <w:rPr>
          <w:rFonts w:eastAsia="Calibri"/>
          <w:b w:val="false"/>
          <w:bCs w:val="false"/>
          <w:sz w:val="24"/>
          <w:szCs w:val="24"/>
        </w:rPr>
        <w:t>ОКПД 2</w:t>
      </w:r>
      <w:r>
        <w:rPr>
          <w:rFonts w:eastAsia="Calibri"/>
          <w:b w:val="false"/>
          <w:bCs w:val="false"/>
          <w:color w:val="000000"/>
          <w:sz w:val="24"/>
          <w:szCs w:val="24"/>
        </w:rPr>
        <w:t>: 33.14.11 Оказание услуг по техническому контролю за работами по сервисному (техническому) обслуживанию генераторных распределительных устройств тип HECS-130L.</w:t>
      </w:r>
    </w:p>
    <w:tbl>
      <w:tblPr>
        <w:tblStyle w:val="affff5"/>
        <w:tblW w:w="14317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54"/>
        <w:gridCol w:w="2365"/>
        <w:gridCol w:w="11198"/>
      </w:tblGrid>
      <w:tr>
        <w:trPr>
          <w:trHeight w:val="276" w:hRule="atLeast"/>
        </w:trPr>
        <w:tc>
          <w:tcPr>
            <w:tcW w:w="75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36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1119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>
          <w:trHeight w:val="276" w:hRule="atLeast"/>
        </w:trPr>
        <w:tc>
          <w:tcPr>
            <w:tcW w:w="75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36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119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9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29"/>
          </w:p>
        </w:tc>
        <w:tc>
          <w:tcPr>
            <w:tcW w:w="23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119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7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56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</w:tr>
      <w:tr>
        <w:trPr>
          <w:trHeight w:val="415" w:hRule="atLeast"/>
        </w:trPr>
        <w:tc>
          <w:tcPr>
            <w:tcW w:w="7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356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</w:tr>
      <w:tr>
        <w:trPr/>
        <w:tc>
          <w:tcPr>
            <w:tcW w:w="7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6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Объем выполняемых услуг</w:t>
            </w:r>
          </w:p>
        </w:tc>
        <w:tc>
          <w:tcPr>
            <w:tcW w:w="1119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Услуга выполняется на выведенном в ремонт ГР и включает в себя:</w:t>
            </w:r>
          </w:p>
          <w:p>
            <w:pPr>
              <w:pStyle w:val="ListParagraph"/>
              <w:widowControl w:val="false"/>
              <w:numPr>
                <w:ilvl w:val="0"/>
                <w:numId w:val="13"/>
              </w:numPr>
              <w:tabs>
                <w:tab w:val="clear" w:pos="397"/>
                <w:tab w:val="left" w:pos="442" w:leader="none"/>
              </w:tabs>
              <w:suppressAutoHyphens w:val="true"/>
              <w:spacing w:before="0" w:after="0"/>
              <w:ind w:left="16" w:firstLine="142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Транспортировка и доставка приборов (оборудования) к месту проведения услуг;</w:t>
            </w:r>
          </w:p>
          <w:p>
            <w:pPr>
              <w:pStyle w:val="ListParagraph"/>
              <w:widowControl w:val="false"/>
              <w:numPr>
                <w:ilvl w:val="0"/>
                <w:numId w:val="13"/>
              </w:numPr>
              <w:tabs>
                <w:tab w:val="clear" w:pos="397"/>
                <w:tab w:val="left" w:pos="442" w:leader="none"/>
              </w:tabs>
              <w:suppressAutoHyphens w:val="true"/>
              <w:spacing w:before="0" w:after="0"/>
              <w:ind w:left="16" w:firstLine="142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Оказание услуг согласно перечню указанного в п/п 1.1.2. таблицы 4;</w:t>
            </w:r>
          </w:p>
          <w:p>
            <w:pPr>
              <w:pStyle w:val="ListParagraph"/>
              <w:widowControl w:val="false"/>
              <w:numPr>
                <w:ilvl w:val="0"/>
                <w:numId w:val="13"/>
              </w:numPr>
              <w:tabs>
                <w:tab w:val="clear" w:pos="397"/>
                <w:tab w:val="left" w:pos="442" w:leader="none"/>
              </w:tabs>
              <w:suppressAutoHyphens w:val="true"/>
              <w:spacing w:before="0" w:after="0"/>
              <w:ind w:left="16" w:firstLine="142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Проведение необходимых измерений и испытаний, предусмотренных требованиями регламентирующих документов и перечнем оказываемых услуг;</w:t>
            </w:r>
          </w:p>
          <w:p>
            <w:pPr>
              <w:pStyle w:val="ListParagraph"/>
              <w:widowControl w:val="false"/>
              <w:numPr>
                <w:ilvl w:val="0"/>
                <w:numId w:val="13"/>
              </w:numPr>
              <w:tabs>
                <w:tab w:val="clear" w:pos="397"/>
                <w:tab w:val="left" w:pos="442" w:leader="none"/>
              </w:tabs>
              <w:suppressAutoHyphens w:val="true"/>
              <w:spacing w:before="0" w:after="0"/>
              <w:ind w:left="16" w:firstLine="142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Оформление приемосдаточной документации в соответствии с требованиями регламентирующих документов.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Услуга считается выполненной с момента сдачи ГР в эксплуатацию и подписания акта сдачи-приемки выполненных услуг.  </w:t>
            </w:r>
          </w:p>
        </w:tc>
      </w:tr>
      <w:tr>
        <w:trPr/>
        <w:tc>
          <w:tcPr>
            <w:tcW w:w="7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6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Перечень оказываемых услуг</w:t>
            </w:r>
          </w:p>
        </w:tc>
        <w:tc>
          <w:tcPr>
            <w:tcW w:w="1119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Состав услуг технического контроля за работами по сервисному (техническому) обслуживанию генераторных распределительных устройств тип HECS-130L, которые выполняются на каждом устройстве: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 Измерение временных и скоростных характеристик выключателя с использованием программного обеспечения CabaWin, рекомендованного заводом-изготовителем элегазового генераторного распределительного устройства (далее ЭГРУ);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 Сравнение заводских временных и скоростных характеристик с измеренными с использованием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программного обеспечения CabaWin, рекомендованного заводом-изготовителем ЭГРУ;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 Определение износа контактов методом измерения динамического сопротивления контактов (метод DRM) с использованием программного обеспечения CabaWin, рекомендованного заводом-изготовителем ЭГРУ;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4. Анализ измеренных характеристик выключателя в программе CabaWin;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 Контроль правильности функционирования гидромеханического привода;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6. Анализ параметров элегаза в выключателе;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7. Откачка элегаза из выключателя (фазы А, В, С) до вакуума с контролем и проверкой сигнала и блокировок по элегазу;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8. Вакуумирование и заполнение выключателей (фазы А, В, С) азотом до 130 кПа;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9. Откачка азота из выключателя (фазы А, В, С) до вакуума;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10. Вакуумирование и заполнение выключателей (фазы А, В, С) азотом до 130 кПа;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11. Откачка азота из выключателя (фазы А, В, С) до вакуума;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12. Вакуумирование и заполнение выключателей (фазы А, В, С) элегазом до рабочего давления;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13. Проверка отсутствия утечек элегаза;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14. Анализ параметров элегаза в выключателе;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15. Проверка отсутствия аварийных сигналов на информационной панели;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16. Проверка работоспособности контрольных ламп шкафа управления;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17. Управление выключателем из шкафа управления посредством электрических органов управления;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18. Управление разъединителем и заземляющими ножами посредством электрических органов управления;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19. Управление разъединителем и заземляющими ножами посредством оперативной рукоятки;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20. Нанесение смазки OKS на разъединитель и заземляющие ножи в случае необходимости;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21. Измерение переходного сопротивления выключателя либо цепи «выключатель-разъединитель»;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22. Проверка работоспособности системы обогрева шкафа управления и гидромеханического привода;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23. Проверка работоспособности освещения шкафа управления;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24. Визуальный контроль на предмет внешних повреждений, включая состояние оборудования внутри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кожухов;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25. Дополнительная проверка давления заполнения и отсутствия утечек элегаза, пополнение элегазом при необходимости;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26. Контроль за очисткой оборудования внутри кожухов;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27. Контроль механических соединений на предмет исправности и надежности;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28. Контроль электрических соединений на предмет исправности и надежности;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29. Формирование технического отчёта об оказанных услугах.</w:t>
            </w:r>
          </w:p>
        </w:tc>
      </w:tr>
      <w:tr>
        <w:trPr/>
        <w:tc>
          <w:tcPr>
            <w:tcW w:w="7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6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Соблюдение при выполнении услуг норм и правил нормативно-технических документов</w:t>
            </w:r>
          </w:p>
        </w:tc>
        <w:tc>
          <w:tcPr>
            <w:tcW w:w="1119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 выполнении услуг исполнитель должен руководствоваться следующими национальными, отраслевыми и корпоративными нормативно-техническими документами (НТД):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397"/>
                <w:tab w:val="left" w:pos="292" w:leader="none"/>
              </w:tabs>
              <w:suppressAutoHyphens w:val="true"/>
              <w:spacing w:before="0" w:after="0"/>
              <w:ind w:left="16" w:firstLine="142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bookmarkStart w:id="30" w:name="_Hlk124928894"/>
            <w:r>
              <w:rPr>
                <w:rFonts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kern w:val="0"/>
                <w:lang w:val="ru-RU" w:eastAsia="ru-RU" w:bidi="ar-SA"/>
              </w:rPr>
              <w:t>Правилами по охране труда при эксплуатации электроустановок, приказ Минтруда России от 15.12.2020 N903н</w:t>
            </w:r>
            <w:bookmarkEnd w:id="30"/>
            <w:r>
              <w:rPr>
                <w:rFonts w:cs="Times New Roman"/>
                <w:kern w:val="0"/>
                <w:lang w:val="ru-RU" w:eastAsia="ru-RU" w:bidi="ar-SA"/>
              </w:rPr>
              <w:t xml:space="preserve"> с изменениями, внесенными приказом Минтруда России от 29 апреля 2022г. №279н;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397"/>
                <w:tab w:val="left" w:pos="292" w:leader="none"/>
              </w:tabs>
              <w:suppressAutoHyphens w:val="true"/>
              <w:spacing w:before="0" w:after="0"/>
              <w:ind w:left="16" w:firstLine="142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kern w:val="0"/>
                <w:lang w:val="ru-RU" w:eastAsia="ru-RU" w:bidi="ar-SA"/>
              </w:rPr>
              <w:t>Правилами устройства электроустановок издание седьмое (утв. Приказом Минэнерго России от 08.07.2002 №204);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397"/>
                <w:tab w:val="left" w:pos="292" w:leader="none"/>
              </w:tabs>
              <w:suppressAutoHyphens w:val="true"/>
              <w:spacing w:before="0" w:after="0"/>
              <w:ind w:left="16" w:firstLine="142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kern w:val="0"/>
                <w:lang w:val="ru-RU" w:eastAsia="ru-RU" w:bidi="ar-SA"/>
              </w:rPr>
              <w:t>Правилами организации технического обслуживания и ремонта объектов электроэнергетики, приказ Минэнерго России от 25.10.2017 №1013;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397"/>
                <w:tab w:val="left" w:pos="292" w:leader="none"/>
              </w:tabs>
              <w:suppressAutoHyphens w:val="true"/>
              <w:spacing w:before="0" w:after="0"/>
              <w:ind w:left="16" w:firstLine="142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kern w:val="0"/>
                <w:lang w:val="ru-RU" w:eastAsia="ru-RU" w:bidi="ar-SA"/>
              </w:rPr>
              <w:t>Правилами по охране труда при работе с инструментом и приспособлениями, приказ Минтруда России от 27.11.2020г. N 835н;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397"/>
                <w:tab w:val="left" w:pos="292" w:leader="none"/>
              </w:tabs>
              <w:suppressAutoHyphens w:val="true"/>
              <w:spacing w:before="0" w:after="0"/>
              <w:ind w:left="16" w:firstLine="142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kern w:val="0"/>
                <w:lang w:val="ru-RU" w:eastAsia="ru-RU" w:bidi="ar-SA"/>
              </w:rPr>
              <w:t>РД 34.45-51.300-97 «Объемы и нормы испытаний электрооборудования»;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397"/>
                <w:tab w:val="left" w:pos="292" w:leader="none"/>
              </w:tabs>
              <w:suppressAutoHyphens w:val="true"/>
              <w:spacing w:before="0" w:after="0"/>
              <w:ind w:left="16" w:firstLine="142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kern w:val="0"/>
                <w:lang w:val="ru-RU" w:eastAsia="ru-RU" w:bidi="ar-SA"/>
              </w:rPr>
              <w:t>Правилами технической эксплуатации электрических станций и сетей РФ, приказ Минэнерго России от 04.10.2022 №1070;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397"/>
                <w:tab w:val="left" w:pos="292" w:leader="none"/>
              </w:tabs>
              <w:suppressAutoHyphens w:val="true"/>
              <w:spacing w:before="0" w:after="0"/>
              <w:ind w:left="16" w:firstLine="142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kern w:val="0"/>
                <w:lang w:val="ru-RU" w:eastAsia="ru-RU" w:bidi="ar-SA"/>
              </w:rPr>
              <w:t>Правилами по охране труда при размещении, монтаже, техническом обслуживании и ремонте технологического оборудования», утв. Приказом Минтруда России от 27.11.2020 №833н;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397"/>
                <w:tab w:val="left" w:pos="292" w:leader="none"/>
              </w:tabs>
              <w:suppressAutoHyphens w:val="true"/>
              <w:spacing w:before="0" w:after="0"/>
              <w:ind w:left="16" w:firstLine="142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kern w:val="0"/>
                <w:lang w:val="ru-RU" w:eastAsia="ru-RU" w:bidi="ar-SA"/>
              </w:rPr>
              <w:t>СТО РусГидро 02.01.62-2021 «Электрические станции и сети. Ремонт и техническое обслуживание оборудования, зданий и сооружений. Организация производственных процессов. Нормы и требования»;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-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Другими правилами, не противоречащие законодательству Российской Федерации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Корпоративные стандарты ПАО “РусГидро” размещены в свободном доступе в сети интернет по адресу: </w:t>
            </w:r>
            <w:hyperlink r:id="rId4">
              <w:r>
                <w:rPr>
                  <w:rStyle w:val="Hyperlink"/>
                  <w:rFonts w:eastAsia="Times New Roman" w:cs="Times New Roman"/>
                  <w:kern w:val="0"/>
                  <w:sz w:val="24"/>
                  <w:szCs w:val="24"/>
                  <w:lang w:val="ru-RU" w:eastAsia="ru-RU" w:bidi="ar-SA"/>
                </w:rPr>
                <w:t>http://www.rushydro.ru/sustainable_development/safety/101153.html</w:t>
              </w:r>
            </w:hyperlink>
          </w:p>
        </w:tc>
      </w:tr>
      <w:tr>
        <w:trPr/>
        <w:tc>
          <w:tcPr>
            <w:tcW w:w="7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1.2.</w:t>
            </w:r>
          </w:p>
        </w:tc>
        <w:tc>
          <w:tcPr>
            <w:tcW w:w="1356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способам оказания услуг </w:t>
            </w:r>
          </w:p>
        </w:tc>
      </w:tr>
      <w:tr>
        <w:trPr/>
        <w:tc>
          <w:tcPr>
            <w:tcW w:w="7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1.2.1.</w:t>
            </w:r>
          </w:p>
        </w:tc>
        <w:tc>
          <w:tcPr>
            <w:tcW w:w="236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Организационно-технические мероприятия по допуску персонала исполнителя</w:t>
            </w:r>
          </w:p>
        </w:tc>
        <w:tc>
          <w:tcPr>
            <w:tcW w:w="1119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Услуги выполняются на охраняемом Объекте с применением досмотровых технических средств охраны (переносные и стационарные), с целью недопущения проноса (провоза) на охраняемый Объект вооружения, взрывчатых веществ и самодельных взрывных устройств и их элементов, а также других запрещенных предметов.</w:t>
            </w:r>
          </w:p>
        </w:tc>
      </w:tr>
      <w:tr>
        <w:trPr/>
        <w:tc>
          <w:tcPr>
            <w:tcW w:w="7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1.3.</w:t>
            </w:r>
          </w:p>
        </w:tc>
        <w:tc>
          <w:tcPr>
            <w:tcW w:w="1356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</w:tr>
      <w:tr>
        <w:trPr/>
        <w:tc>
          <w:tcPr>
            <w:tcW w:w="7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4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65" w:type="dxa"/>
            <w:tcBorders/>
          </w:tcPr>
          <w:p>
            <w:pPr>
              <w:pStyle w:val="Normal"/>
              <w:widowControl w:val="false"/>
              <w:tabs>
                <w:tab w:val="clear" w:pos="397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Организационно-технические мероприятия по допуску персонала исполнителя</w:t>
            </w:r>
          </w:p>
        </w:tc>
        <w:tc>
          <w:tcPr>
            <w:tcW w:w="11198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397"/>
                <w:tab w:val="left" w:pos="292" w:leader="none"/>
                <w:tab w:val="left" w:pos="426" w:leader="none"/>
              </w:tabs>
              <w:suppressAutoHyphens w:val="true"/>
              <w:spacing w:before="60" w:after="0"/>
              <w:ind w:left="8" w:firstLine="142"/>
              <w:contextualSpacing/>
              <w:jc w:val="both"/>
              <w:rPr>
                <w:b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Допуск персонала исполнителя для выполнения услуг должен осуществляться в соответствии с </w:t>
            </w:r>
            <w:bookmarkStart w:id="31" w:name="_Hlk124767430"/>
            <w:r>
              <w:rPr>
                <w:rFonts w:cs="Times New Roman"/>
                <w:kern w:val="0"/>
                <w:lang w:val="ru-RU" w:eastAsia="ru-RU" w:bidi="ar-SA"/>
              </w:rPr>
              <w:t xml:space="preserve">Регламентом процесса «Допуск персонала подрядных организаций на объекты ПАО «РусГидро» (утв. Приказом ПАО «РусГидро» №300 от 28.04.2023 г) </w:t>
            </w:r>
            <w:bookmarkEnd w:id="31"/>
            <w:r>
              <w:rPr>
                <w:rFonts w:cs="Times New Roman"/>
                <w:kern w:val="0"/>
                <w:lang w:val="ru-RU" w:eastAsia="ru-RU" w:bidi="ar-SA"/>
              </w:rPr>
              <w:t>(Приложение №</w:t>
            </w:r>
            <w:r>
              <w:rPr>
                <w:rFonts w:cs="Times New Roman"/>
                <w:kern w:val="0"/>
                <w:lang w:val="en-US" w:eastAsia="ru-RU" w:bidi="ar-SA"/>
              </w:rPr>
              <w:t>1</w:t>
            </w:r>
            <w:bookmarkStart w:id="32" w:name="_GoBack"/>
            <w:bookmarkEnd w:id="32"/>
            <w:r>
              <w:rPr>
                <w:rFonts w:cs="Times New Roman"/>
                <w:kern w:val="0"/>
                <w:lang w:val="ru-RU" w:eastAsia="ru-RU" w:bidi="ar-SA"/>
              </w:rPr>
              <w:t xml:space="preserve"> к настоящим ТТ).</w:t>
            </w:r>
          </w:p>
        </w:tc>
      </w:tr>
      <w:tr>
        <w:trPr/>
        <w:tc>
          <w:tcPr>
            <w:tcW w:w="7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4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65" w:type="dxa"/>
            <w:tcBorders/>
          </w:tcPr>
          <w:p>
            <w:pPr>
              <w:pStyle w:val="Normal"/>
              <w:widowControl w:val="false"/>
              <w:tabs>
                <w:tab w:val="clear" w:pos="397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Требование к информационной безопасности</w:t>
            </w:r>
          </w:p>
        </w:tc>
        <w:tc>
          <w:tcPr>
            <w:tcW w:w="11198" w:type="dxa"/>
            <w:tcBorders/>
          </w:tcPr>
          <w:p>
            <w:pPr>
              <w:pStyle w:val="Normal"/>
              <w:widowControl w:val="false"/>
              <w:tabs>
                <w:tab w:val="clear" w:pos="397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При пересылке файлов не допускается использование открытых файлообменных сервисов. </w:t>
            </w:r>
          </w:p>
        </w:tc>
      </w:tr>
      <w:tr>
        <w:trPr/>
        <w:tc>
          <w:tcPr>
            <w:tcW w:w="7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4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56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</w:tr>
      <w:tr>
        <w:trPr/>
        <w:tc>
          <w:tcPr>
            <w:tcW w:w="7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4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65" w:type="dxa"/>
            <w:tcBorders/>
          </w:tcPr>
          <w:p>
            <w:pPr>
              <w:pStyle w:val="Normal"/>
              <w:widowControl w:val="false"/>
              <w:tabs>
                <w:tab w:val="clear" w:pos="397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используемому оборудованию</w:t>
            </w:r>
          </w:p>
        </w:tc>
        <w:tc>
          <w:tcPr>
            <w:tcW w:w="11198" w:type="dxa"/>
            <w:tcBorders/>
          </w:tcPr>
          <w:p>
            <w:pPr>
              <w:pStyle w:val="ListParagraph"/>
              <w:widowControl w:val="false"/>
              <w:tabs>
                <w:tab w:val="clear" w:pos="397"/>
                <w:tab w:val="left" w:pos="292" w:leader="none"/>
                <w:tab w:val="left" w:pos="426" w:leader="none"/>
              </w:tabs>
              <w:suppressAutoHyphens w:val="true"/>
              <w:spacing w:before="60" w:after="0"/>
              <w:ind w:left="150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 Наличие у исполнителя материально-технических ресурсов:</w:t>
            </w:r>
          </w:p>
          <w:p>
            <w:pPr>
              <w:pStyle w:val="ListParagraph"/>
              <w:widowControl w:val="false"/>
              <w:tabs>
                <w:tab w:val="clear" w:pos="397"/>
                <w:tab w:val="left" w:pos="292" w:leader="none"/>
                <w:tab w:val="left" w:pos="426" w:leader="none"/>
              </w:tabs>
              <w:suppressAutoHyphens w:val="true"/>
              <w:spacing w:before="60" w:after="0"/>
              <w:ind w:left="150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▪ </w:t>
            </w:r>
            <w:r>
              <w:rPr>
                <w:rFonts w:cs="Times New Roman"/>
                <w:kern w:val="0"/>
                <w:lang w:val="ru-RU" w:eastAsia="ru-RU" w:bidi="ar-SA"/>
              </w:rPr>
              <w:t>ноутбук, с установленным программным обеспечением CabaWin версии R04 или выше – 1 шт.;</w:t>
            </w:r>
          </w:p>
          <w:p>
            <w:pPr>
              <w:pStyle w:val="ListParagraph"/>
              <w:widowControl w:val="false"/>
              <w:tabs>
                <w:tab w:val="clear" w:pos="397"/>
                <w:tab w:val="left" w:pos="292" w:leader="none"/>
                <w:tab w:val="left" w:pos="426" w:leader="none"/>
              </w:tabs>
              <w:suppressAutoHyphens w:val="true"/>
              <w:spacing w:before="60" w:after="0"/>
              <w:ind w:left="150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▪ </w:t>
            </w:r>
            <w:r>
              <w:rPr>
                <w:rFonts w:cs="Times New Roman"/>
                <w:kern w:val="0"/>
                <w:lang w:val="ru-RU" w:eastAsia="ru-RU" w:bidi="ar-SA"/>
              </w:rPr>
              <w:t>заводской файл (arc-файл) с временными и скоростными характеристиками с данными заводских испытаний, для использования в программном обеспечении CabaWin;</w:t>
            </w:r>
          </w:p>
          <w:p>
            <w:pPr>
              <w:pStyle w:val="ListParagraph"/>
              <w:widowControl w:val="false"/>
              <w:tabs>
                <w:tab w:val="clear" w:pos="397"/>
                <w:tab w:val="left" w:pos="292" w:leader="none"/>
                <w:tab w:val="left" w:pos="426" w:leader="none"/>
              </w:tabs>
              <w:suppressAutoHyphens w:val="true"/>
              <w:spacing w:before="60" w:after="0"/>
              <w:ind w:left="150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▪ </w:t>
            </w:r>
            <w:r>
              <w:rPr>
                <w:rFonts w:cs="Times New Roman"/>
                <w:kern w:val="0"/>
                <w:lang w:val="ru-RU" w:eastAsia="ru-RU" w:bidi="ar-SA"/>
              </w:rPr>
              <w:t>анализатор характеристик выключателей EGIL либо TM1600 – 1 шт.;</w:t>
            </w:r>
          </w:p>
          <w:p>
            <w:pPr>
              <w:pStyle w:val="ListParagraph"/>
              <w:widowControl w:val="false"/>
              <w:tabs>
                <w:tab w:val="clear" w:pos="397"/>
                <w:tab w:val="left" w:pos="292" w:leader="none"/>
                <w:tab w:val="left" w:pos="426" w:leader="none"/>
              </w:tabs>
              <w:suppressAutoHyphens w:val="true"/>
              <w:spacing w:before="60" w:after="0"/>
              <w:ind w:left="150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▪ </w:t>
            </w:r>
            <w:r>
              <w:rPr>
                <w:rFonts w:cs="Times New Roman"/>
                <w:kern w:val="0"/>
                <w:lang w:val="ru-RU" w:eastAsia="ru-RU" w:bidi="ar-SA"/>
              </w:rPr>
              <w:t>прибор SDRM202 – 1 шт.;</w:t>
            </w:r>
          </w:p>
          <w:p>
            <w:pPr>
              <w:pStyle w:val="ListParagraph"/>
              <w:widowControl w:val="false"/>
              <w:tabs>
                <w:tab w:val="clear" w:pos="397"/>
                <w:tab w:val="left" w:pos="292" w:leader="none"/>
                <w:tab w:val="left" w:pos="426" w:leader="none"/>
              </w:tabs>
              <w:suppressAutoHyphens w:val="true"/>
              <w:spacing w:before="60" w:after="0"/>
              <w:ind w:left="150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▪ </w:t>
            </w:r>
            <w:r>
              <w:rPr>
                <w:rFonts w:cs="Times New Roman"/>
                <w:kern w:val="0"/>
                <w:lang w:val="ru-RU" w:eastAsia="ru-RU" w:bidi="ar-SA"/>
              </w:rPr>
              <w:t>микроомметр MOM200 или MOM600 – 1 комплект;</w:t>
            </w:r>
          </w:p>
          <w:p>
            <w:pPr>
              <w:pStyle w:val="ListParagraph"/>
              <w:widowControl w:val="false"/>
              <w:tabs>
                <w:tab w:val="clear" w:pos="397"/>
                <w:tab w:val="left" w:pos="292" w:leader="none"/>
                <w:tab w:val="left" w:pos="426" w:leader="none"/>
              </w:tabs>
              <w:suppressAutoHyphens w:val="true"/>
              <w:spacing w:before="60" w:after="0"/>
              <w:ind w:left="150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▪ </w:t>
            </w:r>
            <w:r>
              <w:rPr>
                <w:rFonts w:cs="Times New Roman"/>
                <w:kern w:val="0"/>
                <w:lang w:val="ru-RU" w:eastAsia="ru-RU" w:bidi="ar-SA"/>
              </w:rPr>
              <w:t>течеискатель – 1 шт.;</w:t>
            </w:r>
          </w:p>
          <w:p>
            <w:pPr>
              <w:pStyle w:val="ListParagraph"/>
              <w:widowControl w:val="false"/>
              <w:tabs>
                <w:tab w:val="clear" w:pos="397"/>
                <w:tab w:val="left" w:pos="292" w:leader="none"/>
                <w:tab w:val="left" w:pos="426" w:leader="none"/>
              </w:tabs>
              <w:suppressAutoHyphens w:val="true"/>
              <w:spacing w:before="60" w:after="0"/>
              <w:ind w:left="150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▪ </w:t>
            </w:r>
            <w:r>
              <w:rPr>
                <w:rFonts w:cs="Times New Roman"/>
                <w:kern w:val="0"/>
                <w:lang w:val="ru-RU" w:eastAsia="ru-RU" w:bidi="ar-SA"/>
              </w:rPr>
              <w:t>анализатор элегаза (влажности элегаза) – 1 шт.;</w:t>
            </w:r>
          </w:p>
          <w:p>
            <w:pPr>
              <w:pStyle w:val="ListParagraph"/>
              <w:widowControl w:val="false"/>
              <w:tabs>
                <w:tab w:val="clear" w:pos="397"/>
                <w:tab w:val="left" w:pos="292" w:leader="none"/>
                <w:tab w:val="left" w:pos="426" w:leader="none"/>
              </w:tabs>
              <w:suppressAutoHyphens w:val="true"/>
              <w:spacing w:before="60" w:after="0"/>
              <w:ind w:left="150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▪ </w:t>
            </w:r>
            <w:r>
              <w:rPr>
                <w:rFonts w:cs="Times New Roman"/>
                <w:kern w:val="0"/>
                <w:lang w:val="ru-RU" w:eastAsia="ru-RU" w:bidi="ar-SA"/>
              </w:rPr>
              <w:t>датчик перемещения резистивный (трансдюсер) – 1 шт.;</w:t>
            </w:r>
          </w:p>
          <w:p>
            <w:pPr>
              <w:pStyle w:val="ListParagraph"/>
              <w:widowControl w:val="false"/>
              <w:tabs>
                <w:tab w:val="clear" w:pos="397"/>
                <w:tab w:val="left" w:pos="292" w:leader="none"/>
                <w:tab w:val="left" w:pos="426" w:leader="none"/>
              </w:tabs>
              <w:suppressAutoHyphens w:val="true"/>
              <w:spacing w:before="60" w:after="0"/>
              <w:ind w:left="150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▪ </w:t>
            </w:r>
            <w:r>
              <w:rPr>
                <w:rFonts w:cs="Times New Roman"/>
                <w:kern w:val="0"/>
                <w:lang w:val="ru-RU" w:eastAsia="ru-RU" w:bidi="ar-SA"/>
              </w:rPr>
              <w:t>цифровой мультиметр – 1 шт.;</w:t>
            </w:r>
          </w:p>
          <w:p>
            <w:pPr>
              <w:pStyle w:val="ListParagraph"/>
              <w:widowControl w:val="false"/>
              <w:tabs>
                <w:tab w:val="clear" w:pos="397"/>
                <w:tab w:val="left" w:pos="292" w:leader="none"/>
                <w:tab w:val="left" w:pos="426" w:leader="none"/>
              </w:tabs>
              <w:suppressAutoHyphens w:val="true"/>
              <w:spacing w:before="60" w:after="0"/>
              <w:ind w:left="150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▪ </w:t>
            </w:r>
            <w:r>
              <w:rPr>
                <w:rFonts w:cs="Times New Roman"/>
                <w:kern w:val="0"/>
                <w:lang w:val="ru-RU" w:eastAsia="ru-RU" w:bidi="ar-SA"/>
              </w:rPr>
              <w:t>газотехнологические переходники – 1 комплект;</w:t>
            </w:r>
          </w:p>
          <w:p>
            <w:pPr>
              <w:pStyle w:val="ListParagraph"/>
              <w:widowControl w:val="false"/>
              <w:tabs>
                <w:tab w:val="clear" w:pos="397"/>
                <w:tab w:val="left" w:pos="292" w:leader="none"/>
                <w:tab w:val="left" w:pos="426" w:leader="none"/>
              </w:tabs>
              <w:suppressAutoHyphens w:val="true"/>
              <w:spacing w:before="60" w:after="0"/>
              <w:ind w:left="150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▪ </w:t>
            </w:r>
            <w:r>
              <w:rPr>
                <w:rFonts w:cs="Times New Roman"/>
                <w:kern w:val="0"/>
                <w:lang w:val="ru-RU" w:eastAsia="ru-RU" w:bidi="ar-SA"/>
              </w:rPr>
              <w:t>набор монтажного инструмента (отвертки, глючи гаечные) – 1 комплект;</w:t>
            </w:r>
          </w:p>
          <w:p>
            <w:pPr>
              <w:pStyle w:val="ListParagraph"/>
              <w:widowControl w:val="false"/>
              <w:tabs>
                <w:tab w:val="clear" w:pos="397"/>
                <w:tab w:val="left" w:pos="292" w:leader="none"/>
                <w:tab w:val="left" w:pos="426" w:leader="none"/>
              </w:tabs>
              <w:suppressAutoHyphens w:val="true"/>
              <w:spacing w:before="60" w:after="0"/>
              <w:ind w:left="150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▪ </w:t>
            </w:r>
            <w:r>
              <w:rPr>
                <w:rFonts w:cs="Times New Roman"/>
                <w:kern w:val="0"/>
                <w:lang w:val="ru-RU" w:eastAsia="ru-RU" w:bidi="ar-SA"/>
              </w:rPr>
              <w:t>смазка OKS в тубе 250 мл – 1 шт;</w:t>
            </w:r>
          </w:p>
          <w:p>
            <w:pPr>
              <w:pStyle w:val="ListParagraph"/>
              <w:widowControl w:val="false"/>
              <w:tabs>
                <w:tab w:val="clear" w:pos="397"/>
                <w:tab w:val="left" w:pos="292" w:leader="none"/>
                <w:tab w:val="left" w:pos="426" w:leader="none"/>
              </w:tabs>
              <w:suppressAutoHyphens w:val="true"/>
              <w:spacing w:before="60" w:after="0"/>
              <w:ind w:left="150" w:hanging="0"/>
              <w:contextualSpacing/>
              <w:jc w:val="both"/>
              <w:rPr>
                <w:rFonts w:ascii="Times New Roman" w:hAnsi="Times New Roman" w:cs="Times New Roman"/>
                <w:kern w:val="0"/>
                <w:lang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▪ </w:t>
            </w:r>
            <w:r>
              <w:rPr>
                <w:rFonts w:cs="Times New Roman"/>
                <w:kern w:val="0"/>
                <w:lang w:val="ru-RU" w:eastAsia="ru-RU" w:bidi="ar-SA"/>
              </w:rPr>
              <w:t>баллон с элегазом (</w:t>
            </w:r>
            <w:r>
              <w:rPr>
                <w:rFonts w:cs="Times New Roman"/>
                <w:kern w:val="0"/>
                <w:lang w:val="en-US" w:eastAsia="ru-RU" w:bidi="ar-SA"/>
              </w:rPr>
              <w:t>SF</w:t>
            </w:r>
            <w:r>
              <w:rPr>
                <w:rFonts w:cs="Times New Roman"/>
                <w:kern w:val="0"/>
                <w:lang w:val="ru-RU" w:eastAsia="ru-RU" w:bidi="ar-SA"/>
              </w:rPr>
              <w:t>6) по ТУ6-02-1249-83, 40 кг – 1 шт.;</w:t>
            </w:r>
          </w:p>
          <w:p>
            <w:pPr>
              <w:pStyle w:val="ListParagraph"/>
              <w:widowControl w:val="false"/>
              <w:tabs>
                <w:tab w:val="clear" w:pos="397"/>
                <w:tab w:val="left" w:pos="292" w:leader="none"/>
                <w:tab w:val="left" w:pos="426" w:leader="none"/>
              </w:tabs>
              <w:suppressAutoHyphens w:val="true"/>
              <w:spacing w:before="60" w:after="0"/>
              <w:ind w:left="150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▪ </w:t>
            </w:r>
            <w:r>
              <w:rPr>
                <w:rFonts w:cs="Times New Roman"/>
                <w:kern w:val="0"/>
                <w:lang w:val="ru-RU" w:eastAsia="ru-RU" w:bidi="ar-SA"/>
              </w:rPr>
              <w:t>баллон с азотом особой чистоты – 2 шт.</w:t>
            </w:r>
          </w:p>
          <w:p>
            <w:pPr>
              <w:pStyle w:val="ListParagraph"/>
              <w:widowControl w:val="false"/>
              <w:tabs>
                <w:tab w:val="clear" w:pos="397"/>
                <w:tab w:val="left" w:pos="292" w:leader="none"/>
                <w:tab w:val="left" w:pos="426" w:leader="none"/>
              </w:tabs>
              <w:suppressAutoHyphens w:val="true"/>
              <w:spacing w:before="60" w:after="0"/>
              <w:ind w:left="150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2. Используемые исполнителем материально-технические ресурсы должны иметь действующие сертификаты соответствия и результаты поверки, технические паспорта и другие документы, удостоверяющие их качество.</w:t>
            </w:r>
          </w:p>
        </w:tc>
      </w:tr>
      <w:tr>
        <w:trPr/>
        <w:tc>
          <w:tcPr>
            <w:tcW w:w="7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4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56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</w:tr>
      <w:tr>
        <w:trPr/>
        <w:tc>
          <w:tcPr>
            <w:tcW w:w="7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4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65" w:type="dxa"/>
            <w:tcBorders/>
          </w:tcPr>
          <w:p>
            <w:pPr>
              <w:pStyle w:val="Normal"/>
              <w:widowControl w:val="false"/>
              <w:tabs>
                <w:tab w:val="clear" w:pos="397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Квалификация персонала исполнителя, привлекаемого к оказанию услуг</w:t>
            </w:r>
          </w:p>
        </w:tc>
        <w:tc>
          <w:tcPr>
            <w:tcW w:w="11198" w:type="dxa"/>
            <w:tcBorders/>
          </w:tcPr>
          <w:p>
            <w:pPr>
              <w:pStyle w:val="Normal"/>
              <w:widowControl w:val="false"/>
              <w:tabs>
                <w:tab w:val="clear" w:pos="397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Выполнение услуг должно осуществляться в составе бригады </w:t>
            </w:r>
            <w:bookmarkStart w:id="33" w:name="_Hlk124928831"/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квалифицированными специалистами с сертификатом уровня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L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3 либо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L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4, выданным заводом-изготовителем элегазового генераторного выключателя (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Hitachi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ABB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Power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Grids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Switzerland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Ltd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. либо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Hitachi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Energy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Switzerland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Ltd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.)), обладающими группой по электробезопасности не ниже III.</w:t>
            </w:r>
            <w:bookmarkEnd w:id="33"/>
          </w:p>
          <w:p>
            <w:pPr>
              <w:pStyle w:val="Normal"/>
              <w:widowControl w:val="false"/>
              <w:tabs>
                <w:tab w:val="clear" w:pos="397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bookmarkStart w:id="34" w:name="_Hlk124929079"/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До начала выполнения услуг в рамках исполнения договора после его заключения исполнитель предоставляет список персонала с указанием сведений о квалификации персонала, группе по электробезопасности с приложением копий удостоверений на производство работ и протоколы проверки знаний правил работы в электроустановках. </w:t>
            </w:r>
            <w:bookmarkEnd w:id="34"/>
          </w:p>
        </w:tc>
      </w:tr>
      <w:tr>
        <w:trPr/>
        <w:tc>
          <w:tcPr>
            <w:tcW w:w="7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4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56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</w:tr>
      <w:tr>
        <w:trPr/>
        <w:tc>
          <w:tcPr>
            <w:tcW w:w="7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37" w:hanging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2.1.</w:t>
            </w:r>
          </w:p>
        </w:tc>
        <w:tc>
          <w:tcPr>
            <w:tcW w:w="1356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</w:tr>
      <w:tr>
        <w:trPr/>
        <w:tc>
          <w:tcPr>
            <w:tcW w:w="7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65" w:type="dxa"/>
            <w:tcBorders/>
          </w:tcPr>
          <w:p>
            <w:pPr>
              <w:pStyle w:val="Normal"/>
              <w:widowControl w:val="false"/>
              <w:tabs>
                <w:tab w:val="clear" w:pos="397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Результат оказания услуг</w:t>
            </w:r>
          </w:p>
        </w:tc>
        <w:tc>
          <w:tcPr>
            <w:tcW w:w="11198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5"/>
              </w:numPr>
              <w:suppressAutoHyphens w:val="true"/>
              <w:spacing w:before="0" w:after="0"/>
              <w:ind w:left="292" w:hanging="292"/>
              <w:contextualSpacing/>
              <w:jc w:val="both"/>
              <w:rPr>
                <w:lang w:val="en-US"/>
              </w:rPr>
            </w:pPr>
            <w:r>
              <w:rPr>
                <w:rFonts w:cs="Times New Roman"/>
                <w:kern w:val="0"/>
                <w:lang w:val="en-US" w:eastAsia="ru-RU" w:bidi="ar-SA"/>
              </w:rPr>
              <w:t>Результаты услуг должны обеспечивать: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ind w:left="292" w:hanging="142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надежную и безаварийную работу оборудования;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ind w:left="292" w:hanging="142"/>
              <w:contextualSpacing/>
              <w:jc w:val="both"/>
              <w:rPr>
                <w:rFonts w:ascii="Times New Roman" w:hAnsi="Times New Roman" w:cs="Times New Roman"/>
                <w:kern w:val="0"/>
                <w:lang w:eastAsia="ru-RU" w:bidi="ar-SA"/>
              </w:rPr>
            </w:pPr>
            <w:r>
              <w:rPr>
                <w:rFonts w:cs="Times New Roman"/>
                <w:kern w:val="0"/>
                <w:lang w:val="en-US" w:eastAsia="ru-RU" w:bidi="ar-SA"/>
              </w:rPr>
              <w:t>бесперебойную передачу электрической энергии.</w:t>
            </w:r>
          </w:p>
          <w:p>
            <w:pPr>
              <w:pStyle w:val="ListParagraph"/>
              <w:widowControl w:val="false"/>
              <w:numPr>
                <w:ilvl w:val="0"/>
                <w:numId w:val="15"/>
              </w:numPr>
              <w:suppressAutoHyphens w:val="true"/>
              <w:spacing w:before="0" w:after="0"/>
              <w:ind w:left="292" w:hanging="292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Отчетная документация должна обеспечивать достоверность и полноту сведений о фактически оказанных услугах.</w:t>
            </w:r>
          </w:p>
        </w:tc>
      </w:tr>
      <w:tr>
        <w:trPr/>
        <w:tc>
          <w:tcPr>
            <w:tcW w:w="7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56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услуг</w:t>
            </w:r>
          </w:p>
        </w:tc>
      </w:tr>
      <w:tr>
        <w:trPr/>
        <w:tc>
          <w:tcPr>
            <w:tcW w:w="7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2.2.1.</w:t>
            </w:r>
          </w:p>
        </w:tc>
        <w:tc>
          <w:tcPr>
            <w:tcW w:w="23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порядку приемки результатов оказания услуг</w:t>
            </w:r>
          </w:p>
        </w:tc>
        <w:tc>
          <w:tcPr>
            <w:tcW w:w="1119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соответствии с требованиями «Правил организации технического обслуживания и ремонта объектов электроэнергетики», утвержденных Приказом Министерства энергетики Российской Федерации от 25.10.2017 №1013 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СТО РусГидро 02.01.62-2021 «Электрические станции и сети. Ремонт и техническое обслуживание оборудования, зданий и сооружений. Организация производственных процессов. Нормы и требования».</w:t>
            </w:r>
          </w:p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Услуги считаются выполненными после приемки объекта из ремонта ответственными лицами филиала ПАО «РусГидро»-«Воткинская ГЭС».</w:t>
            </w:r>
          </w:p>
        </w:tc>
      </w:tr>
      <w:tr>
        <w:trPr/>
        <w:tc>
          <w:tcPr>
            <w:tcW w:w="7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56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</w:tr>
      <w:tr>
        <w:trPr/>
        <w:tc>
          <w:tcPr>
            <w:tcW w:w="7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6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Документы, передаваемые заказчику по результатам оказанных услуг</w:t>
            </w:r>
          </w:p>
        </w:tc>
        <w:tc>
          <w:tcPr>
            <w:tcW w:w="111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7"/>
              </w:numPr>
              <w:suppressAutoHyphens w:val="true"/>
              <w:spacing w:before="0" w:after="0"/>
              <w:ind w:left="8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Предоставить заказчику отчетную документацию: акт выполненных услуг (оказанных услуг), протоколы измерений.</w:t>
            </w:r>
          </w:p>
          <w:p>
            <w:pPr>
              <w:pStyle w:val="ListParagraph"/>
              <w:widowControl w:val="false"/>
              <w:numPr>
                <w:ilvl w:val="0"/>
                <w:numId w:val="17"/>
              </w:numPr>
              <w:suppressAutoHyphens w:val="true"/>
              <w:spacing w:before="0" w:after="0"/>
              <w:ind w:left="8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Исполнитель передает заказчику приемосдаточную документацию не позднее 5 рабочих дней после оказания услуг.</w:t>
            </w:r>
          </w:p>
          <w:p>
            <w:pPr>
              <w:pStyle w:val="ListParagraph"/>
              <w:widowControl w:val="false"/>
              <w:numPr>
                <w:ilvl w:val="0"/>
                <w:numId w:val="17"/>
              </w:numPr>
              <w:suppressAutoHyphens w:val="true"/>
              <w:spacing w:before="0" w:after="0"/>
              <w:ind w:left="8" w:hanging="0"/>
              <w:contextualSpacing/>
              <w:jc w:val="left"/>
              <w:rPr>
                <w:rFonts w:ascii="Times New Roman" w:hAnsi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Отчетные документы по оказанным услугам предоставить на русском языке на бумажном носителе в 2 экземплярах и в электронном виде в 1 экземпляре в формтах </w:t>
            </w:r>
            <w:r>
              <w:rPr>
                <w:rFonts w:cs="Dutch 801 SWA"/>
                <w:kern w:val="0"/>
                <w:lang w:val="ru-RU" w:eastAsia="ru-RU" w:bidi="ar-SA"/>
              </w:rPr>
              <w:t xml:space="preserve">*.dwg, *.vsd, *.dос, *.хls.  </w:t>
            </w:r>
          </w:p>
        </w:tc>
      </w:tr>
      <w:tr>
        <w:trPr/>
        <w:tc>
          <w:tcPr>
            <w:tcW w:w="7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en-US" w:eastAsia="ru-RU" w:bidi="ar-SA"/>
              </w:rPr>
              <w:t>3.</w:t>
            </w:r>
          </w:p>
        </w:tc>
        <w:tc>
          <w:tcPr>
            <w:tcW w:w="1356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360" w:hanging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Прочие требования к оказанию услуг</w:t>
            </w:r>
          </w:p>
        </w:tc>
      </w:tr>
      <w:tr>
        <w:trPr/>
        <w:tc>
          <w:tcPr>
            <w:tcW w:w="7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3.1.1.</w:t>
            </w:r>
          </w:p>
        </w:tc>
        <w:tc>
          <w:tcPr>
            <w:tcW w:w="236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en-US" w:eastAsia="ru-RU" w:bidi="ar-SA"/>
              </w:rPr>
              <w:t>Выполнение комплекса услуг</w:t>
            </w:r>
          </w:p>
        </w:tc>
        <w:tc>
          <w:tcPr>
            <w:tcW w:w="1119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8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Услуги выполняются в таком объёме, которые позволяют начать эксплуатацию объекта без закупки заказчиком дополнительных объёмов каких-либо материалов, оборудования и работ, за исключением случаев выполнения непредвиденных работ, выявленных в процессе выполнения услуг.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1670" w:gutter="0" w:header="680" w:top="851" w:footer="0" w:bottom="851"/>
          <w:pgNumType w:start="5" w:fmt="decimal"/>
          <w:formProt w:val="false"/>
          <w:textDirection w:val="lrTb"/>
          <w:docGrid w:type="default" w:linePitch="381" w:charSpace="0"/>
        </w:sectPr>
      </w:pPr>
    </w:p>
    <w:p>
      <w:pPr>
        <w:pStyle w:val="Normal"/>
        <w:keepNext w:val="true"/>
        <w:keepLines/>
        <w:numPr>
          <w:ilvl w:val="0"/>
          <w:numId w:val="3"/>
        </w:numPr>
        <w:spacing w:before="120" w:after="60"/>
        <w:ind w:left="357" w:hanging="357"/>
        <w:jc w:val="center"/>
        <w:outlineLvl w:val="0"/>
        <w:rPr>
          <w:rFonts w:eastAsia="Calibri"/>
          <w:b/>
          <w:lang w:eastAsia="x-none"/>
        </w:rPr>
      </w:pPr>
      <w:r>
        <w:rPr>
          <w:rFonts w:eastAsia="Calibri"/>
          <w:b/>
          <w:lang w:eastAsia="x-none"/>
        </w:rPr>
        <w:t>Требования к документации по ценообразованию на этапе заключения (исполнения) договора</w:t>
      </w:r>
    </w:p>
    <w:p>
      <w:pPr>
        <w:sectPr>
          <w:headerReference w:type="default" r:id="rId7"/>
          <w:headerReference w:type="first" r:id="rId8"/>
          <w:type w:val="nextPage"/>
          <w:pgSz w:w="11906" w:h="16838"/>
          <w:pgMar w:left="851" w:right="851" w:gutter="0" w:header="680" w:top="1135" w:footer="0" w:bottom="992"/>
          <w:pgNumType w:start="10" w:fmt="decimal"/>
          <w:formProt w:val="false"/>
          <w:textDirection w:val="lrTb"/>
          <w:docGrid w:type="default" w:linePitch="381" w:charSpace="0"/>
        </w:sectPr>
        <w:pStyle w:val="Heading4"/>
        <w:numPr>
          <w:ilvl w:val="1"/>
          <w:numId w:val="3"/>
        </w:numPr>
        <w:jc w:val="both"/>
        <w:rPr>
          <w:b w:val="false"/>
          <w:i/>
          <w:i/>
        </w:rPr>
      </w:pPr>
      <w:r>
        <w:rPr>
          <w:b w:val="false"/>
          <w:i/>
          <w:lang w:val="ru-RU"/>
        </w:rPr>
        <w:t>Р</w:t>
      </w:r>
      <w:r>
        <w:rPr>
          <w:b w:val="false"/>
          <w:i/>
        </w:rPr>
        <w:t>асчет стоимости составлять в соответствии с утвержденными ставками на оказание услуг сервисного центра. Предоставить Утвержденный расчет ставок ООО Эйч Энерджи на 2027 год.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</w:rPr>
      </w:pPr>
      <w:r>
        <w:rPr>
          <w:iCs/>
          <w:lang w:val="ru-RU"/>
        </w:rPr>
        <w:t>Приложения</w:t>
      </w:r>
    </w:p>
    <w:p>
      <w:pPr>
        <w:sectPr>
          <w:headerReference w:type="default" r:id="rId9"/>
          <w:headerReference w:type="first" r:id="rId10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81" w:charSpace="0"/>
        </w:sectPr>
        <w:pStyle w:val="Normal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Приложение №1: регламент процесса «Допуск персонала подрядных организаций на объекты ПАО «РусГидро» (утв. Приказом ПАО «РусГидро» №300 от 28.04.2023 г).</w:t>
      </w:r>
      <w:r>
        <w:br w:type="page"/>
      </w:r>
    </w:p>
    <w:p>
      <w:pPr>
        <w:pStyle w:val="Normal"/>
        <w:jc w:val="right"/>
        <w:rPr>
          <w:b/>
          <w:i/>
          <w:i/>
          <w:sz w:val="24"/>
          <w:szCs w:val="24"/>
        </w:rPr>
      </w:pPr>
      <w:bookmarkStart w:id="35" w:name="_Ref40301253"/>
      <w:bookmarkEnd w:id="35"/>
      <w:r>
        <w:rPr>
          <w:b/>
          <w:i/>
          <w:sz w:val="24"/>
          <w:szCs w:val="24"/>
        </w:rPr>
        <w:t>Приложение №</w:t>
      </w:r>
      <w:r>
        <w:rPr>
          <w:b/>
          <w:i/>
          <w:sz w:val="24"/>
          <w:szCs w:val="24"/>
          <w:lang w:val="en-US"/>
        </w:rPr>
        <w:t>1</w:t>
      </w:r>
      <w:r>
        <w:rPr>
          <w:b/>
          <w:i/>
          <w:sz w:val="24"/>
          <w:szCs w:val="24"/>
        </w:rPr>
        <w:t xml:space="preserve"> к ТТ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>
          <w:sz w:val="24"/>
          <w:szCs w:val="24"/>
        </w:rPr>
        <w:t>Регламент процесса «Допуск персонала подрядных организаций на объекты ПАО «РусГидро» (утв. Приказом ПАО «РусГидро» №300 от 28.04.2023 г) представлен отдельным файлом.</w:t>
      </w:r>
    </w:p>
    <w:sectPr>
      <w:headerReference w:type="default" r:id="rId11"/>
      <w:headerReference w:type="first" r:id="rId12"/>
      <w:type w:val="nextPage"/>
      <w:pgSz w:w="11906" w:h="16838"/>
      <w:pgMar w:left="1134" w:right="851" w:gutter="0" w:header="680" w:top="1134" w:footer="0" w:bottom="992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  <w:font w:name="GOST Type BU"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375176856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9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7" w:hanging="432"/>
      </w:pPr>
      <w:rPr>
        <w:sz w:val="24"/>
        <w:i/>
        <w:b w:val="false"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OST Type BU" w:hAnsi="GOST Type BU" w:cs="GOST Type BU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OST Type BU" w:hAnsi="GOST Type BU" w:cs="GOST Type BU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1"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6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>
  <w:zoom w:percent="100"/>
  <w:defaultTabStop w:val="397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397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ind w:left="432" w:hanging="0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397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397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397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397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0e7127"/>
    <w:pPr>
      <w:tabs>
        <w:tab w:val="clear" w:pos="397"/>
        <w:tab w:val="left" w:pos="567" w:leader="none"/>
      </w:tabs>
      <w:spacing w:before="120" w:after="0"/>
      <w:ind w:right="-2" w:hanging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a94621"/>
    <w:pPr>
      <w:tabs>
        <w:tab w:val="clear" w:pos="397"/>
        <w:tab w:val="left" w:pos="1134" w:leader="none"/>
        <w:tab w:val="right" w:pos="9911" w:leader="dot"/>
      </w:tabs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397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1" w:customStyle="1">
    <w:name w:val="caption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397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5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yperlink" Target="http://www.rushydro.ru/sustainable_development/safety/101153.html" TargetMode="Externa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header" Target="header10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ABE89-5657-4DFF-8CA4-301AA2949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9935</TotalTime>
  <Application>AlterOffice/3.4.0.9$Linux_X86_64 LibreOffice_project/b8daf9e823b1a5463a2f48435ddc2e8696e7d4fc</Application>
  <AppVersion>15.0000</AppVersion>
  <Pages>12</Pages>
  <Words>1930</Words>
  <Characters>13784</Characters>
  <CharactersWithSpaces>15484</CharactersWithSpaces>
  <Paragraphs>252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2021-04-04T11:05:00Z</dcterms:created>
  <dc:creator>Быстров Олег Геннадьевич</dc:creator>
  <dc:description/>
  <dc:language>ru-RU</dc:language>
  <cp:lastModifiedBy>nikitinna@corp.gidroogk.com</cp:lastModifiedBy>
  <dcterms:modified xsi:type="dcterms:W3CDTF">2026-08-04T08:27:55Z</dcterms:modified>
  <cp:revision>79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