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pPr>
      <w:r>
        <w:rPr>
          <w:bCs/>
          <w:sz w:val="22"/>
          <w:szCs w:val="22"/>
        </w:rPr>
        <w:t xml:space="preserve"> </w:t>
      </w:r>
      <w:r>
        <w:rPr>
          <w:b/>
          <w:bCs/>
          <w:sz w:val="24"/>
          <w:szCs w:val="24"/>
        </w:rPr>
        <w:t>Договор поставки № _______________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pPr>
      <w:r>
        <w:rPr>
          <w:bCs/>
          <w:sz w:val="24"/>
          <w:szCs w:val="24"/>
        </w:rPr>
        <w:t>г. Зея                                                                                                        «___» ______ 2026 г.</w:t>
        <w:tab/>
        <w:t xml:space="preserve"> </w:t>
      </w:r>
    </w:p>
    <w:p>
      <w:pPr>
        <w:pStyle w:val="Normal"/>
        <w:shd w:val="clear" w:color="auto" w:fill="FFFFFF"/>
        <w:tabs>
          <w:tab w:val="clear" w:pos="709"/>
          <w:tab w:val="right" w:pos="9639" w:leader="none"/>
        </w:tabs>
        <w:ind w:firstLine="709"/>
        <w:jc w:val="right"/>
        <w:rPr>
          <w:bCs/>
          <w:sz w:val="24"/>
          <w:szCs w:val="24"/>
        </w:rPr>
      </w:pPr>
      <w:r>
        <w:rPr>
          <w:bCs/>
          <w:sz w:val="24"/>
          <w:szCs w:val="24"/>
        </w:rPr>
      </w:r>
    </w:p>
    <w:p>
      <w:pPr>
        <w:pStyle w:val="Normal"/>
        <w:ind w:firstLine="709"/>
        <w:jc w:val="both"/>
        <w:rPr/>
      </w:pPr>
      <w:r>
        <w:rPr>
          <w:b/>
          <w:sz w:val="24"/>
          <w:szCs w:val="24"/>
        </w:rPr>
        <w:t xml:space="preserve">Публичное акционерное общество «Федеральная гидрогенерирующая компания – РусГидро» </w:t>
      </w:r>
      <w:r>
        <w:rPr>
          <w:color w:val="000000"/>
          <w:sz w:val="24"/>
          <w:szCs w:val="24"/>
        </w:rPr>
        <w:t>(ПАО «РусГидро»), (далее – «Покупатель»), в лице директора филиала  ПАО «РусГидро» – «Зейская ГЭС» Сухомесова Михаила Андреевича, действующего на основании доверенности № fa6c5272-a93b-4de7-a668-0be35958fe24 от 23.01.2025, с одной стороны,</w:t>
      </w:r>
      <w:r>
        <w:rPr>
          <w:spacing w:val="4"/>
          <w:sz w:val="24"/>
          <w:szCs w:val="24"/>
        </w:rPr>
        <w:t xml:space="preserve"> и</w:t>
      </w:r>
      <w:r>
        <w:rPr>
          <w:spacing w:val="10"/>
          <w:sz w:val="24"/>
          <w:szCs w:val="24"/>
        </w:rPr>
        <w:t xml:space="preserve"> </w:t>
      </w:r>
      <w:r>
        <w:rPr>
          <w:b/>
          <w:spacing w:val="10"/>
          <w:sz w:val="24"/>
          <w:szCs w:val="24"/>
        </w:rPr>
        <w:t>__________________</w:t>
      </w:r>
      <w:r>
        <w:rPr>
          <w:bCs/>
          <w:sz w:val="24"/>
          <w:szCs w:val="24"/>
        </w:rPr>
        <w:t xml:space="preserve"> </w:t>
      </w:r>
      <w:r>
        <w:rPr>
          <w:sz w:val="24"/>
          <w:szCs w:val="24"/>
        </w:rPr>
        <w:t>(далее – «Поставщик»), действующий на основании ___________________, с другой стороны, совместно в дальнейшем именуемые «Стороны», а по отдельности – «Сторона», на основании протокола от «__»______2026г. №______ заключили настоящий договор поставки (далее – «Договор») о нижеследующем:</w:t>
      </w:r>
    </w:p>
    <w:p>
      <w:pPr>
        <w:pStyle w:val="Normal"/>
        <w:ind w:firstLine="709"/>
        <w:jc w:val="both"/>
        <w:rPr>
          <w:sz w:val="26"/>
          <w:szCs w:val="26"/>
        </w:rPr>
      </w:pPr>
      <w:r>
        <w:rPr>
          <w:sz w:val="26"/>
          <w:szCs w:val="26"/>
        </w:rPr>
      </w:r>
    </w:p>
    <w:p>
      <w:pPr>
        <w:pStyle w:val="Normal"/>
        <w:shd w:val="clear" w:color="auto" w:fill="FFFFFF"/>
        <w:ind w:firstLine="709"/>
        <w:jc w:val="center"/>
        <w:rPr/>
      </w:pPr>
      <w:r>
        <w:rPr>
          <w:b/>
          <w:bCs/>
          <w:sz w:val="24"/>
          <w:szCs w:val="24"/>
        </w:rPr>
        <w:t>Термины и определения</w:t>
      </w:r>
    </w:p>
    <w:p>
      <w:pPr>
        <w:pStyle w:val="Normal"/>
        <w:shd w:val="clear" w:color="auto" w:fill="FFFFFF"/>
        <w:ind w:firstLine="709"/>
        <w:jc w:val="both"/>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9"/>
        <w:jc w:val="both"/>
        <w:textAlignment w:val="baseline"/>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«Универсальный передаточный документ (УПД) — </w:t>
      </w:r>
      <w:r>
        <w:rPr>
          <w:sz w:val="24"/>
          <w:szCs w:val="24"/>
          <w:lang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ListParagraph"/>
        <w:shd w:val="clear" w:color="auto" w:fill="FFFFFF"/>
        <w:tabs>
          <w:tab w:val="clear" w:pos="709"/>
          <w:tab w:val="left" w:pos="0" w:leader="none"/>
        </w:tabs>
        <w:ind w:left="0" w:firstLine="709"/>
        <w:jc w:val="both"/>
        <w:textAlignment w:val="baseline"/>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9"/>
        <w:jc w:val="both"/>
        <w:textAlignment w:val="baseline"/>
        <w:rPr>
          <w:rFonts w:ascii="Times New Roman" w:hAnsi="Times New Roman"/>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2"/>
        </w:numPr>
        <w:shd w:val="clear" w:color="auto" w:fill="FFFFFF"/>
        <w:tabs>
          <w:tab w:val="clear" w:pos="709"/>
          <w:tab w:val="left" w:pos="284" w:leader="none"/>
        </w:tabs>
        <w:ind w:left="0" w:hanging="0"/>
        <w:jc w:val="center"/>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
          <w:bCs/>
          <w:sz w:val="24"/>
          <w:szCs w:val="24"/>
          <w:lang w:eastAsia="en-US"/>
        </w:rPr>
        <w:t>бумагу для офисной техники</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Место поставки Товара: 676244, Амурская область, г. Зея, </w:t>
        <w:br/>
        <w:t xml:space="preserve">ул. Магистральная, соор. 1, </w:t>
      </w:r>
      <w:r>
        <w:rPr>
          <w:sz w:val="24"/>
        </w:rPr>
        <w:t xml:space="preserve">склад № 2 филиала ПАО «РусГидро» - «Зейская ГЭС». </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pPr>
      <w:r>
        <w:rPr>
          <w:bCs/>
          <w:sz w:val="24"/>
          <w:szCs w:val="24"/>
        </w:rPr>
        <w:t xml:space="preserve">Общий срок поставки Товара: </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737" w:right="0" w:hanging="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1.4.1. Начало – с даты подписания Договора;</w:t>
      </w:r>
    </w:p>
    <w:p>
      <w:pPr>
        <w:pStyle w:val="Normal"/>
        <w:widowControl w:val="false"/>
        <w:numPr>
          <w:ilvl w:val="0"/>
          <w:numId w:val="0"/>
        </w:numPr>
        <w:shd w:val="clear" w:color="auto" w:fill="FFFFFF"/>
        <w:tabs>
          <w:tab w:val="clear" w:pos="709"/>
          <w:tab w:val="left" w:pos="793" w:leader="none"/>
          <w:tab w:val="left" w:pos="1134" w:leader="none"/>
        </w:tabs>
        <w:suppressAutoHyphens w:val="true"/>
        <w:bidi w:val="0"/>
        <w:spacing w:before="0" w:after="0"/>
        <w:ind w:left="0" w:right="0" w:firstLine="68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 xml:space="preserve">1.4.2. Окончание – в течение </w:t>
      </w:r>
      <w:r>
        <w:rPr>
          <w:rFonts w:eastAsia="Times New Roman" w:cs="Times New Roman"/>
          <w:bCs/>
          <w:color w:val="auto"/>
          <w:kern w:val="0"/>
          <w:sz w:val="24"/>
          <w:szCs w:val="24"/>
          <w:lang w:val="ru-RU" w:eastAsia="ru-RU" w:bidi="ar-SA"/>
        </w:rPr>
        <w:t>3</w:t>
      </w:r>
      <w:r>
        <w:rPr>
          <w:rFonts w:eastAsia="Times New Roman" w:cs="Times New Roman"/>
          <w:bCs/>
          <w:color w:val="auto"/>
          <w:kern w:val="0"/>
          <w:sz w:val="24"/>
          <w:szCs w:val="24"/>
          <w:lang w:val="ru-RU" w:eastAsia="ru-RU" w:bidi="ar-SA"/>
        </w:rPr>
        <w:t>0 (</w:t>
      </w:r>
      <w:r>
        <w:rPr>
          <w:rFonts w:eastAsia="Times New Roman" w:cs="Times New Roman"/>
          <w:bCs/>
          <w:color w:val="auto"/>
          <w:kern w:val="0"/>
          <w:sz w:val="24"/>
          <w:szCs w:val="24"/>
          <w:lang w:val="ru-RU" w:eastAsia="ru-RU" w:bidi="ar-SA"/>
        </w:rPr>
        <w:t>тридцати</w:t>
      </w:r>
      <w:r>
        <w:rPr>
          <w:rFonts w:eastAsia="Times New Roman" w:cs="Times New Roman"/>
          <w:bCs/>
          <w:color w:val="auto"/>
          <w:kern w:val="0"/>
          <w:sz w:val="24"/>
          <w:szCs w:val="24"/>
          <w:lang w:val="ru-RU" w:eastAsia="ru-RU" w:bidi="ar-SA"/>
        </w:rPr>
        <w:t xml:space="preserve">) </w:t>
      </w:r>
      <w:r>
        <w:rPr>
          <w:rFonts w:eastAsia="Times New Roman" w:cs="Times New Roman"/>
          <w:bCs/>
          <w:color w:val="auto"/>
          <w:kern w:val="0"/>
          <w:sz w:val="24"/>
          <w:szCs w:val="24"/>
          <w:lang w:val="ru-RU" w:eastAsia="ru-RU" w:bidi="ar-SA"/>
        </w:rPr>
        <w:t xml:space="preserve">календарных </w:t>
      </w:r>
      <w:r>
        <w:rPr>
          <w:rFonts w:eastAsia="Times New Roman" w:cs="Times New Roman"/>
          <w:bCs/>
          <w:color w:val="auto"/>
          <w:kern w:val="0"/>
          <w:sz w:val="24"/>
          <w:szCs w:val="24"/>
          <w:lang w:val="ru-RU" w:eastAsia="ru-RU" w:bidi="ar-SA"/>
        </w:rPr>
        <w:t>дней с даты заключения договора.</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pPr>
      <w:r>
        <w:rPr>
          <w:b/>
          <w:bCs/>
          <w:sz w:val="24"/>
          <w:szCs w:val="24"/>
        </w:rPr>
        <w:t>Цена Договора и порядок расчетов</w:t>
      </w:r>
    </w:p>
    <w:p>
      <w:pPr>
        <w:pStyle w:val="Normal"/>
        <w:numPr>
          <w:ilvl w:val="1"/>
          <w:numId w:val="2"/>
        </w:numPr>
        <w:tabs>
          <w:tab w:val="clear" w:pos="709"/>
          <w:tab w:val="left" w:pos="0" w:leader="none"/>
          <w:tab w:val="left" w:pos="1134" w:leader="none"/>
        </w:tabs>
        <w:ind w:left="0" w:firstLine="709"/>
        <w:jc w:val="both"/>
        <w:rPr/>
      </w:pPr>
      <w:r>
        <w:rPr>
          <w:sz w:val="24"/>
          <w:szCs w:val="24"/>
        </w:rPr>
        <w:t xml:space="preserve">Цена Договора </w:t>
      </w:r>
      <w:r>
        <w:rPr>
          <w:bCs/>
          <w:sz w:val="24"/>
          <w:szCs w:val="24"/>
        </w:rPr>
        <w:t xml:space="preserve">является твердой и составляет </w:t>
      </w:r>
      <w:r>
        <w:rPr>
          <w:b/>
          <w:bCs/>
          <w:sz w:val="24"/>
          <w:szCs w:val="24"/>
        </w:rPr>
        <w:t>________</w:t>
      </w:r>
      <w:r>
        <w:rPr>
          <w:bCs/>
          <w:sz w:val="24"/>
          <w:szCs w:val="24"/>
        </w:rPr>
        <w:t xml:space="preserve"> </w:t>
      </w:r>
      <w:r>
        <w:rPr>
          <w:b/>
          <w:bCs/>
          <w:sz w:val="24"/>
          <w:szCs w:val="24"/>
        </w:rPr>
        <w:t>(__________________________)</w:t>
      </w:r>
      <w:r>
        <w:rPr>
          <w:bCs/>
          <w:sz w:val="24"/>
          <w:szCs w:val="24"/>
        </w:rPr>
        <w:t xml:space="preserve"> рублей 00 копеек без учета НДС, </w:t>
      </w:r>
      <w:r>
        <w:rPr>
          <w:bCs/>
          <w:sz w:val="24"/>
          <w:szCs w:val="24"/>
          <w:shd w:fill="auto" w:val="clear"/>
        </w:rPr>
        <w:t xml:space="preserve">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2.4.1. Платеж за Товар в размере 100 % (сто процентов) от стоимости Товара выплачивается Поставщику в течение 7 (семи) рабочих дней с даты подписания УПД, при условии получения Покупателем счета, выставленного Поставщиком, и с учетом пункта 2.4.2 Договора.</w:t>
      </w:r>
    </w:p>
    <w:p>
      <w:pPr>
        <w:pStyle w:val="Normal"/>
        <w:widowControl w:val="false"/>
        <w:numPr>
          <w:ilvl w:val="0"/>
          <w:numId w:val="0"/>
        </w:numPr>
        <w:shd w:val="clear" w:color="auto" w:fill="FFFFFF"/>
        <w:tabs>
          <w:tab w:val="clear" w:pos="709"/>
          <w:tab w:val="left" w:pos="675" w:leader="none"/>
          <w:tab w:val="left" w:pos="964" w:leader="none"/>
        </w:tabs>
        <w:suppressAutoHyphens w:val="true"/>
        <w:bidi w:val="0"/>
        <w:spacing w:before="0" w:after="0"/>
        <w:ind w:left="0" w:right="0" w:hanging="0"/>
        <w:jc w:val="both"/>
        <w:rPr/>
      </w:pPr>
      <w:r>
        <w:rPr>
          <w:sz w:val="24"/>
          <w:szCs w:val="24"/>
        </w:rPr>
        <w:t xml:space="preserve">     </w:t>
      </w:r>
      <w:r>
        <w:rPr>
          <w:sz w:val="24"/>
          <w:szCs w:val="24"/>
        </w:rPr>
        <w:t>2.4.2.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numPr>
          <w:ilvl w:val="0"/>
          <w:numId w:val="0"/>
        </w:numPr>
        <w:tabs>
          <w:tab w:val="clear" w:pos="709"/>
          <w:tab w:val="left" w:pos="1134" w:leader="none"/>
        </w:tabs>
        <w:ind w:left="0" w:hanging="0"/>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Поставка товара осуществляется в Место поставки товара, указанное в п. 1.3. Договора.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189" w:leader="none"/>
        </w:tabs>
        <w:ind w:left="0" w:firstLine="709"/>
        <w:jc w:val="both"/>
        <w:rPr/>
      </w:pPr>
      <w:r>
        <w:rPr>
          <w:sz w:val="24"/>
          <w:szCs w:val="24"/>
        </w:rPr>
        <w:t>сертификат качества в 1 (одном) экз.;</w:t>
      </w:r>
    </w:p>
    <w:p>
      <w:pPr>
        <w:pStyle w:val="Normal"/>
        <w:numPr>
          <w:ilvl w:val="0"/>
          <w:numId w:val="3"/>
        </w:numPr>
        <w:tabs>
          <w:tab w:val="clear" w:pos="709"/>
          <w:tab w:val="left" w:pos="1189" w:leader="none"/>
        </w:tabs>
        <w:ind w:left="0" w:firstLine="709"/>
        <w:jc w:val="both"/>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189" w:leader="none"/>
        </w:tabs>
        <w:ind w:left="0" w:firstLine="709"/>
        <w:jc w:val="both"/>
        <w:rPr/>
      </w:pPr>
      <w:r>
        <w:rPr>
          <w:sz w:val="24"/>
          <w:szCs w:val="24"/>
        </w:rPr>
        <w:t>УПД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акт приема - передачи продукции в 2 (двух) экз.;</w:t>
      </w:r>
    </w:p>
    <w:p>
      <w:pPr>
        <w:pStyle w:val="Normal"/>
        <w:numPr>
          <w:ilvl w:val="0"/>
          <w:numId w:val="3"/>
        </w:numPr>
        <w:shd w:val="clear" w:color="auto" w:fill="FFFFFF"/>
        <w:tabs>
          <w:tab w:val="clear" w:pos="709"/>
          <w:tab w:val="left" w:pos="1189" w:leader="none"/>
        </w:tabs>
        <w:ind w:left="0" w:firstLine="709"/>
        <w:jc w:val="both"/>
        <w:rPr/>
      </w:pPr>
      <w:r>
        <w:rPr>
          <w:sz w:val="24"/>
          <w:szCs w:val="24"/>
        </w:rPr>
        <w:t>счета на оплату окончательных платежей в 1 (один)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0" w:firstLine="680"/>
        <w:jc w:val="both"/>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pPr>
      <w:r>
        <w:rPr>
          <w:bCs/>
          <w:sz w:val="24"/>
          <w:szCs w:val="24"/>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pPr>
      <w:bookmarkStart w:id="1" w:name="_Ref361396594"/>
      <w:r>
        <w:rPr>
          <w:sz w:val="24"/>
          <w:szCs w:val="24"/>
        </w:rPr>
        <w:t>Датой поставки Товара является дата подписания Сторонами 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pPr>
      <w:r>
        <w:rPr>
          <w:sz w:val="24"/>
          <w:szCs w:val="24"/>
        </w:rPr>
        <w:t>Если при передаче Товара Покупателю будет обнаружено несоответствие Товара требованиям Договора, Покупатель вправе отказаться от получения Товара, сделав соответствующую отметку в УПД.</w:t>
      </w:r>
    </w:p>
    <w:p>
      <w:pPr>
        <w:pStyle w:val="ListParagraph"/>
        <w:numPr>
          <w:ilvl w:val="1"/>
          <w:numId w:val="2"/>
        </w:numPr>
        <w:tabs>
          <w:tab w:val="clear" w:pos="709"/>
          <w:tab w:val="left" w:pos="1418" w:leader="none"/>
        </w:tabs>
        <w:ind w:left="0" w:firstLine="709"/>
        <w:jc w:val="both"/>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3.13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нарушения Покупателем сроков оплаты поставленного товара,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№2 к Договору.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709" w:leader="none"/>
          <w:tab w:val="left" w:pos="1136" w:leader="none"/>
        </w:tabs>
        <w:ind w:left="0" w:firstLine="709"/>
        <w:jc w:val="both"/>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709" w:leader="none"/>
          <w:tab w:val="left" w:pos="1136" w:leader="none"/>
        </w:tabs>
        <w:ind w:left="0" w:firstLine="709"/>
        <w:jc w:val="both"/>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1189" w:leader="none"/>
        </w:tabs>
        <w:ind w:left="0" w:firstLine="709"/>
        <w:jc w:val="both"/>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1189" w:leader="none"/>
        </w:tabs>
        <w:ind w:left="0" w:firstLine="709"/>
        <w:jc w:val="both"/>
        <w:rPr/>
      </w:pPr>
      <w:r>
        <w:rPr>
          <w:bCs/>
          <w:sz w:val="24"/>
          <w:szCs w:val="24"/>
        </w:rPr>
        <w:t>учетные регистры бухгалтерского учета;</w:t>
      </w:r>
    </w:p>
    <w:p>
      <w:pPr>
        <w:pStyle w:val="Normal"/>
        <w:widowControl/>
        <w:numPr>
          <w:ilvl w:val="0"/>
          <w:numId w:val="5"/>
        </w:numPr>
        <w:tabs>
          <w:tab w:val="clear" w:pos="709"/>
          <w:tab w:val="left" w:pos="1189" w:leader="none"/>
        </w:tabs>
        <w:ind w:left="0" w:firstLine="709"/>
        <w:jc w:val="both"/>
        <w:rPr/>
      </w:pPr>
      <w:r>
        <w:rPr>
          <w:bCs/>
          <w:sz w:val="24"/>
          <w:szCs w:val="24"/>
        </w:rPr>
        <w:t>бизнес-планы;</w:t>
      </w:r>
    </w:p>
    <w:p>
      <w:pPr>
        <w:pStyle w:val="Normal"/>
        <w:widowControl/>
        <w:numPr>
          <w:ilvl w:val="0"/>
          <w:numId w:val="5"/>
        </w:numPr>
        <w:tabs>
          <w:tab w:val="clear" w:pos="709"/>
          <w:tab w:val="left" w:pos="1189" w:leader="none"/>
        </w:tabs>
        <w:ind w:left="0" w:firstLine="709"/>
        <w:jc w:val="both"/>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1136" w:leader="none"/>
        </w:tabs>
        <w:ind w:left="0" w:firstLine="709"/>
        <w:jc w:val="both"/>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1136" w:leader="none"/>
        </w:tabs>
        <w:ind w:left="0" w:firstLine="709"/>
        <w:jc w:val="both"/>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1136" w:leader="none"/>
        </w:tabs>
        <w:ind w:left="0" w:firstLine="709"/>
        <w:jc w:val="both"/>
        <w:rPr/>
      </w:pPr>
      <w:r>
        <w:rPr>
          <w:bCs/>
          <w:sz w:val="24"/>
          <w:szCs w:val="24"/>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9"/>
          <w:tab w:val="left" w:pos="1136" w:leader="none"/>
        </w:tabs>
        <w:ind w:left="0" w:firstLine="709"/>
        <w:jc w:val="both"/>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1136" w:leader="none"/>
        </w:tabs>
        <w:ind w:left="0" w:firstLine="709"/>
        <w:jc w:val="both"/>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pPr>
      <w:bookmarkStart w:id="3"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3"/>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5.6.7 Договора.</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pPr>
      <w:bookmarkStart w:id="4" w:name="_Ref361337832"/>
      <w:r>
        <w:rPr>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4"/>
    </w:p>
    <w:p>
      <w:pPr>
        <w:pStyle w:val="ListParagraph"/>
        <w:widowControl/>
        <w:numPr>
          <w:ilvl w:val="2"/>
          <w:numId w:val="2"/>
        </w:numPr>
        <w:shd w:val="clear" w:color="auto" w:fill="FFFFFF"/>
        <w:tabs>
          <w:tab w:val="clear" w:pos="709"/>
          <w:tab w:val="left" w:pos="1418" w:leader="none"/>
        </w:tabs>
        <w:ind w:left="0" w:firstLine="709"/>
        <w:jc w:val="both"/>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pPr>
      <w:bookmarkStart w:id="5" w:name="_Ref361337863"/>
      <w:r>
        <w:rPr>
          <w:bCs/>
          <w:sz w:val="24"/>
          <w:szCs w:val="24"/>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bookmarkEnd w:id="5"/>
    </w:p>
    <w:p>
      <w:pPr>
        <w:pStyle w:val="Normal"/>
        <w:numPr>
          <w:ilvl w:val="1"/>
          <w:numId w:val="2"/>
        </w:numPr>
        <w:shd w:val="clear" w:color="auto" w:fill="FFFFFF"/>
        <w:tabs>
          <w:tab w:val="clear" w:pos="709"/>
          <w:tab w:val="left" w:pos="1134" w:leader="none"/>
        </w:tabs>
        <w:ind w:left="0" w:firstLine="709"/>
        <w:jc w:val="both"/>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numPr>
          <w:ilvl w:val="0"/>
          <w:numId w:val="2"/>
        </w:numPr>
        <w:shd w:val="clear" w:color="auto" w:fill="FFFFFF"/>
        <w:tabs>
          <w:tab w:val="clear" w:pos="709"/>
          <w:tab w:val="left" w:pos="426" w:leader="none"/>
        </w:tabs>
        <w:ind w:left="0" w:hanging="0"/>
        <w:jc w:val="center"/>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Споры, указанные в пункте 6.1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2"/>
        </w:numPr>
        <w:shd w:val="clear" w:color="auto" w:fill="FFFFFF"/>
        <w:tabs>
          <w:tab w:val="clear" w:pos="709"/>
          <w:tab w:val="left" w:pos="1134" w:leader="none"/>
        </w:tabs>
        <w:ind w:left="0" w:firstLine="709"/>
        <w:jc w:val="both"/>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9"/>
          <w:tab w:val="left" w:pos="1134" w:leader="none"/>
        </w:tabs>
        <w:ind w:left="0" w:firstLine="709"/>
        <w:jc w:val="both"/>
        <w:rPr/>
      </w:pPr>
      <w:r>
        <w:rPr>
          <w:color w:val="000000"/>
          <w:sz w:val="24"/>
          <w:szCs w:val="24"/>
        </w:rPr>
        <w:t>Каналы связи Линия доверия Группы РусГидро:</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 xml:space="preserve">Электронная почта: </w:t>
      </w:r>
      <w:hyperlink r:id="rId2">
        <w:r>
          <w:rPr>
            <w:rStyle w:val="Hyperlink"/>
            <w:sz w:val="24"/>
            <w:szCs w:val="24"/>
          </w:rPr>
          <w:t>ld@rushydro.ru</w:t>
        </w:r>
      </w:hyperlink>
      <w:r>
        <w:rPr>
          <w:sz w:val="24"/>
          <w:szCs w:val="24"/>
        </w:rPr>
        <w:t>.</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shd w:val="clear" w:color="auto" w:fill="FFFFFF"/>
        <w:tabs>
          <w:tab w:val="clear" w:pos="709"/>
          <w:tab w:val="left" w:pos="1134" w:leader="none"/>
          <w:tab w:val="left" w:pos="1418" w:leader="none"/>
        </w:tabs>
        <w:ind w:left="0" w:firstLine="709"/>
        <w:jc w:val="both"/>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pPr>
      <w:r>
        <w:rPr>
          <w:b/>
          <w:bCs/>
          <w:sz w:val="24"/>
          <w:szCs w:val="24"/>
        </w:rPr>
        <w:t>Особые положения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w:t>
      </w:r>
      <w:hyperlink r:id="rId3">
        <w:r>
          <w:rPr>
            <w:bCs/>
            <w:sz w:val="24"/>
            <w:szCs w:val="24"/>
          </w:rPr>
          <w:t>№18162/09</w:t>
        </w:r>
      </w:hyperlink>
      <w:r>
        <w:rPr>
          <w:bCs/>
          <w:sz w:val="24"/>
          <w:szCs w:val="24"/>
        </w:rPr>
        <w:t xml:space="preserve">и от 25.05.2010 </w:t>
      </w:r>
      <w:hyperlink r:id="rId4">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9"/>
        </w:numPr>
        <w:shd w:val="clear" w:color="auto" w:fill="FFFFFF"/>
        <w:tabs>
          <w:tab w:val="clear" w:pos="709"/>
          <w:tab w:val="left" w:pos="1134" w:leader="none"/>
        </w:tabs>
        <w:ind w:left="0" w:firstLine="709"/>
        <w:jc w:val="both"/>
        <w:rPr/>
      </w:pPr>
      <w:r>
        <w:rPr>
          <w:bCs/>
          <w:sz w:val="24"/>
          <w:szCs w:val="24"/>
        </w:rPr>
        <w:t xml:space="preserve">соответствующие </w:t>
      </w:r>
      <w:hyperlink r:id="rId5">
        <w:r>
          <w:rPr>
            <w:bCs/>
            <w:sz w:val="24"/>
            <w:szCs w:val="24"/>
          </w:rPr>
          <w:t>Критери</w:t>
        </w:r>
      </w:hyperlink>
      <w:r>
        <w:rPr>
          <w:bCs/>
          <w:sz w:val="24"/>
          <w:szCs w:val="24"/>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В случае нарушения Поставщиком обязательств, установленных пунктами 9.1, 9.2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r>
        <w:rPr>
          <w:bCs/>
          <w:sz w:val="24"/>
          <w:szCs w:val="24"/>
        </w:rPr>
        <w:t>При этом Покупатель не будет считаться просрочившим и / или нарушившим свои обязательства по Договору.</w:t>
      </w:r>
    </w:p>
    <w:p>
      <w:pPr>
        <w:pStyle w:val="ListParagraph"/>
        <w:widowControl/>
        <w:numPr>
          <w:ilvl w:val="1"/>
          <w:numId w:val="10"/>
        </w:numPr>
        <w:shd w:val="clear" w:color="auto" w:fill="FFFFFF"/>
        <w:tabs>
          <w:tab w:val="clear" w:pos="709"/>
          <w:tab w:val="left" w:pos="1134" w:leader="none"/>
          <w:tab w:val="left" w:pos="1276" w:leader="none"/>
        </w:tabs>
        <w:ind w:left="0" w:firstLine="709"/>
        <w:jc w:val="both"/>
        <w:rPr/>
      </w:pPr>
      <w:bookmarkStart w:id="6" w:name="_Ref361337900"/>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bookmarkEnd w:id="6"/>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Заверения</w:t>
      </w:r>
      <w:r>
        <w:rPr>
          <w:b/>
          <w:sz w:val="24"/>
          <w:szCs w:val="24"/>
        </w:rPr>
        <w:t xml:space="preserve"> Сторон</w:t>
      </w:r>
    </w:p>
    <w:p>
      <w:pPr>
        <w:pStyle w:val="ListParagraph"/>
        <w:widowControl/>
        <w:numPr>
          <w:ilvl w:val="1"/>
          <w:numId w:val="10"/>
        </w:numPr>
        <w:shd w:val="clear" w:color="auto" w:fill="FFFFFF"/>
        <w:tabs>
          <w:tab w:val="clear" w:pos="709"/>
          <w:tab w:val="left" w:pos="1134" w:leader="none"/>
          <w:tab w:val="left" w:pos="1418" w:leader="none"/>
        </w:tabs>
        <w:ind w:left="0" w:firstLine="709"/>
        <w:jc w:val="both"/>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получила все корпоративные одобрения Договора органами управления </w:t>
        <w:br/>
        <w:t>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709" w:leader="none"/>
          <w:tab w:val="left" w:pos="1082" w:leader="none"/>
        </w:tabs>
        <w:ind w:left="0" w:firstLine="709"/>
        <w:jc w:val="both"/>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709" w:leader="none"/>
          <w:tab w:val="left" w:pos="1018" w:leader="none"/>
        </w:tabs>
        <w:ind w:left="0" w:firstLine="709"/>
        <w:jc w:val="both"/>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964" w:leader="none"/>
        </w:tabs>
        <w:ind w:left="0" w:firstLine="709"/>
        <w:jc w:val="both"/>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1018" w:leader="none"/>
        </w:tabs>
        <w:ind w:left="0" w:firstLine="709"/>
        <w:jc w:val="both"/>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567" w:leader="none"/>
          <w:tab w:val="left" w:pos="964" w:leader="none"/>
        </w:tabs>
        <w:ind w:left="0" w:firstLine="709"/>
        <w:jc w:val="both"/>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9"/>
          <w:tab w:val="left" w:pos="1418" w:leader="none"/>
        </w:tabs>
        <w:ind w:left="0" w:firstLine="709"/>
        <w:jc w:val="both"/>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П</w:t>
      </w:r>
      <w:r>
        <w:rPr>
          <w:b/>
          <w:sz w:val="24"/>
          <w:szCs w:val="24"/>
        </w:rPr>
        <w:t>рекращение (расторжение) Договора</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w:t>
      </w:r>
      <w:r>
        <w:rPr>
          <w:sz w:val="24"/>
          <w:szCs w:val="24"/>
          <w:shd w:fill="auto" w:val="clear"/>
        </w:rPr>
        <w:t>нное уведомление об этом другой Стороне в порядке, предусмотренном пунктом 12.8</w:t>
      </w:r>
      <w:r>
        <w:rPr>
          <w:sz w:val="24"/>
          <w:szCs w:val="24"/>
          <w:highlight w:val="lightGray"/>
        </w:rPr>
        <w:t xml:space="preserve"> </w:t>
      </w:r>
      <w:r>
        <w:rPr>
          <w:sz w:val="24"/>
          <w:szCs w:val="24"/>
        </w:rPr>
        <w:t>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10"/>
        </w:numPr>
        <w:shd w:val="clear" w:color="auto" w:fill="FFFFFF"/>
        <w:tabs>
          <w:tab w:val="clear" w:pos="709"/>
          <w:tab w:val="left" w:pos="1418" w:leader="none"/>
        </w:tabs>
        <w:ind w:left="0" w:firstLine="709"/>
        <w:jc w:val="both"/>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widowControl/>
        <w:shd w:val="clear" w:color="auto" w:fill="FFFFFF"/>
        <w:tabs>
          <w:tab w:val="left" w:pos="709" w:leader="none"/>
          <w:tab w:val="left" w:pos="1418" w:leader="none"/>
        </w:tabs>
        <w:jc w:val="both"/>
        <w:rPr>
          <w:sz w:val="24"/>
        </w:rPr>
      </w:pPr>
      <w:r>
        <w:rPr>
          <w:sz w:val="24"/>
        </w:rPr>
        <w:t xml:space="preserve">Стороны установили, что существенным нарушением Договора Поставщиком является: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shd w:val="clear" w:color="auto" w:fill="FFFFFF"/>
        <w:tabs>
          <w:tab w:val="clear" w:pos="709"/>
          <w:tab w:val="left" w:pos="390" w:leader="none"/>
          <w:tab w:val="left" w:pos="1418" w:leader="none"/>
        </w:tabs>
        <w:suppressAutoHyphens w:val="true"/>
        <w:bidi w:val="0"/>
        <w:spacing w:before="0" w:after="0"/>
        <w:ind w:left="0" w:right="0" w:firstLine="397"/>
        <w:contextualSpacing/>
        <w:jc w:val="both"/>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В случае отказа Покупателя от Договора в случаях, предусмотренных пунктами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0"/>
        </w:numPr>
        <w:shd w:val="clear" w:color="auto" w:fill="FFFFFF"/>
        <w:tabs>
          <w:tab w:val="left" w:pos="709" w:leader="none"/>
          <w:tab w:val="left" w:pos="1418" w:leader="none"/>
        </w:tabs>
        <w:ind w:left="0" w:firstLine="709"/>
        <w:jc w:val="both"/>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10"/>
        </w:numPr>
        <w:shd w:val="clear" w:color="auto" w:fill="FFFFFF"/>
        <w:tabs>
          <w:tab w:val="clear" w:pos="709"/>
          <w:tab w:val="left" w:pos="426" w:leader="none"/>
        </w:tabs>
        <w:ind w:left="0" w:hanging="0"/>
        <w:jc w:val="center"/>
        <w:rPr/>
      </w:pPr>
      <w:r>
        <w:rPr>
          <w:b/>
          <w:bCs/>
          <w:sz w:val="24"/>
          <w:szCs w:val="24"/>
        </w:rPr>
        <w:t>Заключительные положения</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widowControl/>
        <w:numPr>
          <w:ilvl w:val="1"/>
          <w:numId w:val="10"/>
        </w:numPr>
        <w:shd w:val="clear" w:color="auto" w:fill="FFFFFF"/>
        <w:tabs>
          <w:tab w:val="clear" w:pos="709"/>
          <w:tab w:val="left" w:pos="142" w:leader="none"/>
          <w:tab w:val="left" w:pos="1418" w:leader="none"/>
        </w:tabs>
        <w:ind w:left="0" w:firstLine="709"/>
        <w:jc w:val="both"/>
        <w:rPr/>
      </w:pPr>
      <w:r>
        <w:rPr>
          <w:sz w:val="24"/>
          <w:szCs w:val="24"/>
        </w:rPr>
        <w:t>Договор заключается в электронной форме с</w:t>
      </w:r>
      <w:r>
        <w:rPr>
          <w:i/>
          <w:sz w:val="24"/>
          <w:szCs w:val="24"/>
        </w:rPr>
        <w:t xml:space="preserve"> </w:t>
      </w:r>
      <w:r>
        <w:rPr>
          <w:sz w:val="24"/>
          <w:szCs w:val="24"/>
        </w:rPr>
        <w:t>использованием программно-аппаратных средств</w:t>
      </w:r>
      <w:r>
        <w:rPr>
          <w:i/>
          <w:sz w:val="24"/>
          <w:szCs w:val="24"/>
        </w:rPr>
        <w:t xml:space="preserve"> информационной системы электронного документооборота общего пользования</w:t>
      </w:r>
      <w:r>
        <w:rPr>
          <w:sz w:val="24"/>
          <w:szCs w:val="24"/>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12.7 Договора. </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0"/>
        </w:numPr>
        <w:tabs>
          <w:tab w:val="clear" w:pos="709"/>
          <w:tab w:val="left" w:pos="0" w:leader="none"/>
          <w:tab w:val="left" w:pos="1418" w:leader="none"/>
        </w:tabs>
        <w:ind w:left="0" w:firstLine="709"/>
        <w:jc w:val="both"/>
        <w:rPr/>
      </w:pPr>
      <w:r>
        <w:rPr>
          <w:sz w:val="24"/>
          <w:szCs w:val="24"/>
        </w:rPr>
        <w:t xml:space="preserve">Обмен информацией между Сторонами по любым вопросам, связанным </w:t>
        <w:br/>
        <w:t>с исполнением Договора, включая уведомления и иные сообщения, осуществляется только в письменной форме в порядке, предусмотренном пунктом 12.8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9"/>
          <w:tab w:val="left" w:pos="0" w:leader="none"/>
          <w:tab w:val="left" w:pos="1418" w:leader="none"/>
        </w:tabs>
        <w:ind w:left="0" w:firstLine="709"/>
        <w:jc w:val="both"/>
        <w:rPr/>
      </w:pPr>
      <w:bookmarkStart w:id="7"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12.8 Договора.</w:t>
      </w:r>
      <w:bookmarkEnd w:id="7"/>
      <w:r>
        <w:rPr>
          <w:sz w:val="24"/>
          <w:szCs w:val="24"/>
        </w:rPr>
        <w:t xml:space="preserve"> </w:t>
      </w:r>
    </w:p>
    <w:p>
      <w:pPr>
        <w:pStyle w:val="ListParagraph"/>
        <w:widowControl/>
        <w:numPr>
          <w:ilvl w:val="1"/>
          <w:numId w:val="10"/>
        </w:numPr>
        <w:shd w:val="clear" w:color="auto" w:fill="FFFFFF"/>
        <w:tabs>
          <w:tab w:val="clear" w:pos="709"/>
          <w:tab w:val="left" w:pos="0" w:leader="none"/>
          <w:tab w:val="left" w:pos="1134" w:leader="none"/>
          <w:tab w:val="left" w:pos="1418" w:leader="none"/>
        </w:tabs>
        <w:ind w:left="0" w:firstLine="709"/>
        <w:jc w:val="both"/>
        <w:rPr/>
      </w:pPr>
      <w:r>
        <w:rPr>
          <w:sz w:val="24"/>
          <w:szCs w:val="24"/>
        </w:rPr>
        <w:t>Письма, уведомления и/или сообщения направляются Стороне</w:t>
      </w:r>
      <w:r>
        <w:rPr>
          <w:bCs/>
          <w:sz w:val="24"/>
          <w:szCs w:val="24"/>
        </w:rPr>
        <w:t>-</w:t>
      </w:r>
      <w:r>
        <w:rPr>
          <w:sz w:val="24"/>
          <w:szCs w:val="24"/>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9"/>
          <w:tab w:val="left" w:pos="1414" w:leader="none"/>
        </w:tabs>
        <w:ind w:left="0" w:firstLine="709"/>
        <w:jc w:val="both"/>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10"/>
        </w:numPr>
        <w:tabs>
          <w:tab w:val="clear" w:pos="709"/>
          <w:tab w:val="left" w:pos="1414" w:leader="none"/>
        </w:tabs>
        <w:ind w:left="0" w:firstLine="709"/>
        <w:jc w:val="both"/>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ListParagraph"/>
        <w:widowControl/>
        <w:numPr>
          <w:ilvl w:val="1"/>
          <w:numId w:val="10"/>
        </w:numPr>
        <w:tabs>
          <w:tab w:val="clear" w:pos="709"/>
          <w:tab w:val="left" w:pos="0" w:leader="none"/>
          <w:tab w:val="left" w:pos="1418" w:leader="none"/>
        </w:tabs>
        <w:ind w:left="0" w:firstLine="709"/>
        <w:jc w:val="both"/>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10"/>
        </w:numPr>
        <w:shd w:val="clear" w:color="auto" w:fill="FFFFFF"/>
        <w:tabs>
          <w:tab w:val="clear" w:pos="709"/>
          <w:tab w:val="left" w:pos="0" w:leader="none"/>
          <w:tab w:val="left" w:pos="1418" w:leader="none"/>
        </w:tabs>
        <w:ind w:left="0" w:firstLine="709"/>
        <w:jc w:val="both"/>
        <w:rPr/>
      </w:pPr>
      <w:bookmarkStart w:id="8" w:name="_GoBack"/>
      <w:bookmarkEnd w:id="8"/>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9"/>
          <w:tab w:val="left" w:pos="0" w:leader="none"/>
          <w:tab w:val="left" w:pos="1418" w:leader="none"/>
        </w:tabs>
        <w:ind w:left="0" w:hanging="0"/>
        <w:jc w:val="both"/>
        <w:rPr/>
      </w:pPr>
      <w:r>
        <w:rPr/>
      </w:r>
    </w:p>
    <w:p>
      <w:pPr>
        <w:pStyle w:val="Normal"/>
        <w:widowControl/>
        <w:numPr>
          <w:ilvl w:val="0"/>
          <w:numId w:val="10"/>
        </w:numPr>
        <w:shd w:val="clear" w:color="auto" w:fill="FFFFFF"/>
        <w:spacing w:before="0" w:after="0"/>
        <w:ind w:left="0" w:hanging="0"/>
        <w:contextualSpacing/>
        <w:jc w:val="center"/>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pPr>
      <w:bookmarkStart w:id="9" w:name="sub_1"/>
      <w:bookmarkEnd w:id="9"/>
      <w:r>
        <w:rPr>
          <w:rFonts w:eastAsia="Calibri"/>
          <w:sz w:val="24"/>
          <w:szCs w:val="24"/>
          <w:lang w:eastAsia="en-US"/>
        </w:rPr>
        <w:t xml:space="preserve">Приложение № 1 – </w:t>
      </w:r>
      <w:r>
        <w:rPr>
          <w:rFonts w:eastAsia="Calibri"/>
          <w:bCs/>
          <w:sz w:val="24"/>
          <w:szCs w:val="24"/>
          <w:lang w:eastAsia="en-US"/>
        </w:rPr>
        <w:t>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pPr>
      <w:bookmarkStart w:id="10" w:name="sub_1_Копия_1"/>
      <w:bookmarkEnd w:id="10"/>
      <w:r>
        <w:rPr>
          <w:bCs/>
          <w:sz w:val="24"/>
          <w:szCs w:val="24"/>
        </w:rPr>
        <w:t xml:space="preserve">Приложение № 2 </w:t>
      </w:r>
      <w:r>
        <w:rPr>
          <w:rFonts w:eastAsia="Calibri"/>
          <w:sz w:val="24"/>
          <w:szCs w:val="24"/>
          <w:lang w:eastAsia="en-US"/>
        </w:rPr>
        <w:t>–</w:t>
      </w:r>
      <w:r>
        <w:rPr>
          <w:bCs/>
          <w:sz w:val="24"/>
          <w:szCs w:val="24"/>
        </w:rPr>
        <w:t xml:space="preserve"> </w:t>
      </w:r>
      <w:r>
        <w:rPr>
          <w:rFonts w:eastAsia="Calibri"/>
          <w:bCs/>
          <w:sz w:val="24"/>
          <w:szCs w:val="24"/>
          <w:lang w:eastAsia="en-US"/>
        </w:rPr>
        <w:t>Спецификация.</w:t>
      </w:r>
    </w:p>
    <w:p>
      <w:pPr>
        <w:pStyle w:val="Normal"/>
        <w:ind w:firstLine="709"/>
        <w:jc w:val="both"/>
        <w:rPr>
          <w:bCs/>
          <w:sz w:val="24"/>
          <w:szCs w:val="24"/>
        </w:rPr>
      </w:pPr>
      <w:r>
        <w:rPr>
          <w:bCs/>
          <w:sz w:val="24"/>
          <w:szCs w:val="24"/>
        </w:rPr>
      </w:r>
    </w:p>
    <w:p>
      <w:pPr>
        <w:pStyle w:val="ListParagraph"/>
        <w:widowControl/>
        <w:numPr>
          <w:ilvl w:val="0"/>
          <w:numId w:val="10"/>
        </w:numPr>
        <w:shd w:val="clear" w:color="auto" w:fill="FFFFFF"/>
        <w:ind w:left="0" w:hanging="0"/>
        <w:jc w:val="center"/>
        <w:rPr/>
      </w:pPr>
      <w:r>
        <w:rPr>
          <w:b/>
          <w:bCs/>
          <w:sz w:val="24"/>
          <w:szCs w:val="24"/>
        </w:rPr>
        <w:t>Адреса и платежные реквизиты Сторон</w:t>
      </w:r>
    </w:p>
    <w:tbl>
      <w:tblPr>
        <w:tblW w:w="5000" w:type="pct"/>
        <w:jc w:val="left"/>
        <w:tblInd w:w="0" w:type="dxa"/>
        <w:tblLayout w:type="fixed"/>
        <w:tblCellMar>
          <w:top w:w="0" w:type="dxa"/>
          <w:left w:w="0" w:type="dxa"/>
          <w:bottom w:w="0" w:type="dxa"/>
          <w:right w:w="0" w:type="dxa"/>
        </w:tblCellMar>
        <w:tblLook w:val="04a0" w:noHBand="0" w:noVBand="1" w:firstColumn="1" w:lastRow="0" w:lastColumn="0" w:firstRow="1"/>
      </w:tblPr>
      <w:tblGrid>
        <w:gridCol w:w="4494"/>
        <w:gridCol w:w="4494"/>
      </w:tblGrid>
      <w:tr>
        <w:trPr/>
        <w:tc>
          <w:tcPr>
            <w:tcW w:w="4494" w:type="dxa"/>
            <w:tcBorders/>
          </w:tcPr>
          <w:p>
            <w:pPr>
              <w:pStyle w:val="Normal"/>
              <w:widowControl w:val="false"/>
              <w:rPr/>
            </w:pPr>
            <w:r>
              <w:rPr>
                <w:b/>
                <w:sz w:val="24"/>
                <w:szCs w:val="24"/>
              </w:rPr>
              <w:t>Покупатель:</w:t>
            </w:r>
          </w:p>
        </w:tc>
        <w:tc>
          <w:tcPr>
            <w:tcW w:w="4494" w:type="dxa"/>
            <w:tcBorders/>
          </w:tcPr>
          <w:p>
            <w:pPr>
              <w:pStyle w:val="Normal"/>
              <w:widowControl w:val="false"/>
              <w:rPr/>
            </w:pPr>
            <w:r>
              <w:rPr>
                <w:b/>
                <w:sz w:val="24"/>
                <w:szCs w:val="24"/>
              </w:rPr>
              <w:t>Поставщик:</w:t>
            </w:r>
          </w:p>
        </w:tc>
      </w:tr>
      <w:tr>
        <w:trPr/>
        <w:tc>
          <w:tcPr>
            <w:tcW w:w="4494" w:type="dxa"/>
            <w:tcBorders/>
          </w:tcPr>
          <w:p>
            <w:pPr>
              <w:pStyle w:val="Normal"/>
              <w:widowControl w:val="false"/>
              <w:rPr/>
            </w:pPr>
            <w:r>
              <w:rPr>
                <w:b/>
                <w:sz w:val="24"/>
                <w:szCs w:val="24"/>
              </w:rPr>
              <w:t>Публичное акционерное общество</w:t>
            </w:r>
          </w:p>
          <w:p>
            <w:pPr>
              <w:pStyle w:val="Normal"/>
              <w:widowControl w:val="false"/>
              <w:rPr/>
            </w:pPr>
            <w:r>
              <w:rPr>
                <w:b/>
                <w:sz w:val="24"/>
                <w:szCs w:val="24"/>
              </w:rPr>
              <w:t>«Федеральная гидрогенерирующая компания - РусГидро» (ПАО «РусГидро»)</w:t>
            </w:r>
          </w:p>
          <w:p>
            <w:pPr>
              <w:pStyle w:val="Normal"/>
              <w:widowControl w:val="false"/>
              <w:tabs>
                <w:tab w:val="clear" w:pos="709"/>
                <w:tab w:val="left" w:pos="4530" w:leader="none"/>
              </w:tabs>
              <w:ind w:right="849" w:hanging="0"/>
              <w:rPr/>
            </w:pPr>
            <w:r>
              <w:rPr>
                <w:sz w:val="24"/>
                <w:szCs w:val="24"/>
              </w:rPr>
              <w:t>Место нахождения:</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tabs>
                <w:tab w:val="clear" w:pos="709"/>
                <w:tab w:val="left" w:pos="4530" w:leader="none"/>
              </w:tabs>
              <w:ind w:right="849" w:hanging="0"/>
              <w:rPr/>
            </w:pPr>
            <w:r>
              <w:rPr>
                <w:sz w:val="24"/>
                <w:szCs w:val="24"/>
              </w:rPr>
              <w:t>Почтовый адрес:</w:t>
            </w:r>
          </w:p>
          <w:p>
            <w:pPr>
              <w:pStyle w:val="Normal"/>
              <w:widowControl w:val="false"/>
              <w:tabs>
                <w:tab w:val="clear" w:pos="709"/>
                <w:tab w:val="left" w:pos="4530" w:leader="none"/>
              </w:tabs>
              <w:ind w:right="849" w:hanging="0"/>
              <w:rPr/>
            </w:pPr>
            <w:r>
              <w:rPr>
                <w:sz w:val="24"/>
                <w:szCs w:val="24"/>
              </w:rPr>
              <w:t>660049, Красноярский край, г.о. город Красноярск,</w:t>
            </w:r>
          </w:p>
          <w:p>
            <w:pPr>
              <w:pStyle w:val="Normal"/>
              <w:widowControl w:val="false"/>
              <w:tabs>
                <w:tab w:val="clear" w:pos="709"/>
                <w:tab w:val="left" w:pos="4530" w:leader="none"/>
              </w:tabs>
              <w:ind w:right="849" w:hanging="0"/>
              <w:rPr/>
            </w:pPr>
            <w:r>
              <w:rPr>
                <w:sz w:val="24"/>
                <w:szCs w:val="24"/>
              </w:rPr>
              <w:t>ул. Перенсона, 3 Д. 2А помещ. 1</w:t>
            </w:r>
          </w:p>
          <w:p>
            <w:pPr>
              <w:pStyle w:val="Normal"/>
              <w:widowControl w:val="false"/>
              <w:ind w:right="849" w:hanging="0"/>
              <w:rPr/>
            </w:pPr>
            <w:r>
              <w:rPr>
                <w:b/>
                <w:sz w:val="24"/>
                <w:szCs w:val="24"/>
              </w:rPr>
              <w:t>Филиал ПАО «РусГидро» -  «Зейская ГЭС»,</w:t>
            </w:r>
          </w:p>
          <w:p>
            <w:pPr>
              <w:pStyle w:val="Normal"/>
              <w:widowControl w:val="false"/>
              <w:tabs>
                <w:tab w:val="clear" w:pos="709"/>
                <w:tab w:val="left" w:pos="4530" w:leader="none"/>
              </w:tabs>
              <w:ind w:right="849" w:hanging="0"/>
              <w:rPr/>
            </w:pPr>
            <w:r>
              <w:rPr>
                <w:sz w:val="24"/>
                <w:szCs w:val="24"/>
              </w:rPr>
              <w:t>Место нахождения филиала: 676244, Амурская область, г. Зея, ул. Магистральная, соор. 1</w:t>
            </w:r>
          </w:p>
          <w:p>
            <w:pPr>
              <w:pStyle w:val="Normal"/>
              <w:widowControl w:val="false"/>
              <w:tabs>
                <w:tab w:val="clear" w:pos="709"/>
                <w:tab w:val="left" w:pos="4530" w:leader="none"/>
              </w:tabs>
              <w:ind w:right="849" w:hanging="0"/>
              <w:rPr/>
            </w:pPr>
            <w:r>
              <w:rPr>
                <w:sz w:val="24"/>
                <w:szCs w:val="24"/>
              </w:rPr>
              <w:t>ИНН 2460066195, КПП филиала 280502001</w:t>
            </w:r>
          </w:p>
          <w:p>
            <w:pPr>
              <w:pStyle w:val="Normal"/>
              <w:widowControl w:val="false"/>
              <w:tabs>
                <w:tab w:val="clear" w:pos="709"/>
                <w:tab w:val="left" w:pos="4530" w:leader="none"/>
              </w:tabs>
              <w:ind w:right="849" w:hanging="0"/>
              <w:rPr/>
            </w:pPr>
            <w:r>
              <w:rPr>
                <w:sz w:val="24"/>
                <w:szCs w:val="24"/>
              </w:rPr>
              <w:t>р/с 40702810503170007429</w:t>
            </w:r>
          </w:p>
          <w:p>
            <w:pPr>
              <w:pStyle w:val="Normal"/>
              <w:widowControl w:val="false"/>
              <w:tabs>
                <w:tab w:val="clear" w:pos="709"/>
                <w:tab w:val="left" w:pos="4530" w:leader="none"/>
              </w:tabs>
              <w:ind w:right="849" w:hanging="0"/>
              <w:rPr/>
            </w:pPr>
            <w:r>
              <w:rPr>
                <w:sz w:val="24"/>
                <w:szCs w:val="24"/>
              </w:rPr>
              <w:t>Банк: Дальневосточный банк ПАО</w:t>
            </w:r>
          </w:p>
          <w:p>
            <w:pPr>
              <w:pStyle w:val="Normal"/>
              <w:widowControl w:val="false"/>
              <w:tabs>
                <w:tab w:val="clear" w:pos="709"/>
                <w:tab w:val="left" w:pos="4530" w:leader="none"/>
              </w:tabs>
              <w:ind w:right="849" w:hanging="0"/>
              <w:rPr/>
            </w:pPr>
            <w:r>
              <w:rPr>
                <w:sz w:val="24"/>
                <w:szCs w:val="24"/>
              </w:rPr>
              <w:t>«Сбербанк России» г. Хабаровск</w:t>
            </w:r>
          </w:p>
          <w:p>
            <w:pPr>
              <w:pStyle w:val="Normal"/>
              <w:widowControl w:val="false"/>
              <w:tabs>
                <w:tab w:val="clear" w:pos="709"/>
                <w:tab w:val="left" w:pos="4530" w:leader="none"/>
                <w:tab w:val="left" w:pos="5529" w:leader="none"/>
              </w:tabs>
              <w:ind w:right="849" w:hanging="0"/>
              <w:rPr/>
            </w:pPr>
            <w:r>
              <w:rPr>
                <w:sz w:val="24"/>
                <w:szCs w:val="24"/>
              </w:rPr>
              <w:t>к/с № 30101810600000000608 в ГРКЦ ГУ Банка России по Хабаровскому краю,</w:t>
            </w:r>
          </w:p>
          <w:p>
            <w:pPr>
              <w:pStyle w:val="Normal"/>
              <w:widowControl w:val="false"/>
              <w:tabs>
                <w:tab w:val="clear" w:pos="709"/>
                <w:tab w:val="left" w:pos="4530" w:leader="none"/>
                <w:tab w:val="left" w:pos="5529" w:leader="none"/>
              </w:tabs>
              <w:ind w:right="849" w:hanging="0"/>
              <w:rPr/>
            </w:pPr>
            <w:r>
              <w:rPr>
                <w:sz w:val="24"/>
                <w:szCs w:val="24"/>
              </w:rPr>
              <w:t>БИК 040813608</w:t>
            </w:r>
          </w:p>
          <w:p>
            <w:pPr>
              <w:pStyle w:val="Normal"/>
              <w:widowControl w:val="false"/>
              <w:tabs>
                <w:tab w:val="clear" w:pos="709"/>
                <w:tab w:val="left" w:pos="4530" w:leader="none"/>
                <w:tab w:val="left" w:pos="5529" w:leader="none"/>
              </w:tabs>
              <w:ind w:right="849" w:hanging="0"/>
              <w:rPr/>
            </w:pPr>
            <w:r>
              <w:rPr>
                <w:sz w:val="24"/>
                <w:szCs w:val="24"/>
              </w:rPr>
              <w:t>ОКПО 97995395</w:t>
            </w:r>
          </w:p>
        </w:tc>
        <w:tc>
          <w:tcPr>
            <w:tcW w:w="4494" w:type="dxa"/>
            <w:tcBorders/>
          </w:tcPr>
          <w:p>
            <w:pPr>
              <w:pStyle w:val="Normal"/>
              <w:widowControl w:val="false"/>
              <w:rPr>
                <w:b/>
                <w:bCs/>
                <w:sz w:val="24"/>
                <w:szCs w:val="24"/>
              </w:rPr>
            </w:pPr>
            <w:r>
              <w:rPr>
                <w:b/>
                <w:bCs/>
                <w:sz w:val="24"/>
                <w:szCs w:val="24"/>
              </w:rPr>
            </w:r>
          </w:p>
        </w:tc>
      </w:tr>
    </w:tbl>
    <w:p>
      <w:pPr>
        <w:pStyle w:val="ListParagraph"/>
        <w:widowControl/>
        <w:shd w:val="clear" w:color="auto" w:fill="FFFFFF"/>
        <w:ind w:left="0" w:hanging="0"/>
        <w:jc w:val="center"/>
        <w:rPr>
          <w:b/>
          <w:bCs/>
          <w:sz w:val="24"/>
          <w:szCs w:val="24"/>
        </w:rPr>
      </w:pPr>
      <w:r>
        <w:rPr>
          <w:b/>
          <w:bCs/>
          <w:sz w:val="24"/>
          <w:szCs w:val="24"/>
        </w:rPr>
      </w:r>
    </w:p>
    <w:tbl>
      <w:tblPr>
        <w:tblW w:w="9011"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4424"/>
        <w:gridCol w:w="4586"/>
      </w:tblGrid>
      <w:tr>
        <w:trPr>
          <w:trHeight w:val="1189" w:hRule="atLeast"/>
        </w:trPr>
        <w:tc>
          <w:tcPr>
            <w:tcW w:w="4424" w:type="dxa"/>
            <w:tcBorders/>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tc>
        <w:tc>
          <w:tcPr>
            <w:tcW w:w="4586" w:type="dxa"/>
            <w:tcBorders/>
          </w:tcPr>
          <w:p>
            <w:pPr>
              <w:pStyle w:val="Normal"/>
              <w:widowControl w:val="false"/>
              <w:rPr>
                <w:sz w:val="24"/>
                <w:szCs w:val="24"/>
              </w:rPr>
            </w:pPr>
            <w:r>
              <w:rPr>
                <w:sz w:val="24"/>
                <w:szCs w:val="24"/>
              </w:rPr>
            </w:r>
          </w:p>
        </w:tc>
      </w:tr>
    </w:tbl>
    <w:p>
      <w:pPr>
        <w:sectPr>
          <w:headerReference w:type="default" r:id="rId6"/>
          <w:type w:val="nextPage"/>
          <w:pgSz w:w="11906" w:h="16838"/>
          <w:pgMar w:left="2057" w:right="860" w:gutter="0" w:header="709" w:top="1134" w:footer="0" w:bottom="1134"/>
          <w:pgNumType w:fmt="decimal"/>
          <w:formProt w:val="false"/>
          <w:textDirection w:val="lrTb"/>
          <w:docGrid w:type="default" w:linePitch="360" w:charSpace="16384"/>
        </w:sectPr>
      </w:pPr>
    </w:p>
    <w:p>
      <w:pPr>
        <w:pStyle w:val="Normal"/>
        <w:ind w:firstLine="4820"/>
        <w:jc w:val="right"/>
        <w:rPr/>
      </w:pPr>
      <w:r>
        <w:rPr>
          <w:sz w:val="22"/>
          <w:szCs w:val="22"/>
        </w:rPr>
        <w:t>Приложение № 1</w:t>
      </w:r>
    </w:p>
    <w:p>
      <w:pPr>
        <w:pStyle w:val="Normal"/>
        <w:ind w:firstLine="4820"/>
        <w:jc w:val="right"/>
        <w:rPr/>
      </w:pPr>
      <w:r>
        <w:rPr>
          <w:sz w:val="22"/>
          <w:szCs w:val="22"/>
        </w:rPr>
        <w:t>к Договору поставки</w:t>
      </w:r>
    </w:p>
    <w:p>
      <w:pPr>
        <w:pStyle w:val="Normal"/>
        <w:ind w:firstLine="4820"/>
        <w:jc w:val="right"/>
        <w:rPr/>
      </w:pPr>
      <w:r>
        <w:rPr>
          <w:sz w:val="22"/>
          <w:szCs w:val="22"/>
        </w:rPr>
        <w:t>от «____»  _______ 2026 г. № _____________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pPr>
      <w:r>
        <w:rPr>
          <w:b/>
          <w:bCs/>
          <w:sz w:val="24"/>
          <w:szCs w:val="24"/>
        </w:rPr>
        <w:t>Размер ответственности Поставщика за нарушения</w:t>
      </w:r>
    </w:p>
    <w:p>
      <w:pPr>
        <w:pStyle w:val="Normal"/>
        <w:jc w:val="center"/>
        <w:rPr/>
      </w:pPr>
      <w:r>
        <w:rPr>
          <w:b/>
          <w:bCs/>
          <w:sz w:val="24"/>
          <w:szCs w:val="24"/>
        </w:rPr>
        <w:t>пропускного и внутриобъектового режима, требований охраны труда,</w:t>
      </w:r>
    </w:p>
    <w:p>
      <w:pPr>
        <w:pStyle w:val="Normal"/>
        <w:jc w:val="center"/>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25 000 (двадцать пять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50 000 (пятьдесят тысяч) рублей за каждый случай нарушения.</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sz w:val="24"/>
                <w:szCs w:val="24"/>
              </w:rPr>
              <w:t>- 50 000 (пятьдесят тысяч) рублей за каждый случай нарушения;</w:t>
            </w:r>
          </w:p>
          <w:p>
            <w:pPr>
              <w:pStyle w:val="Normal"/>
              <w:widowControl w:val="false"/>
              <w:jc w:val="both"/>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jc w:val="both"/>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pPr>
            <w:r>
              <w:rPr>
                <w:sz w:val="24"/>
                <w:szCs w:val="24"/>
              </w:rPr>
              <w:t>Директор филиала</w:t>
            </w:r>
          </w:p>
          <w:p>
            <w:pPr>
              <w:pStyle w:val="Normal"/>
              <w:widowControl w:val="false"/>
              <w:rPr/>
            </w:pPr>
            <w:r>
              <w:rPr>
                <w:sz w:val="24"/>
                <w:szCs w:val="24"/>
              </w:rPr>
              <w:t>ПАО «РусГидро» - «Зейская ГЭС»</w:t>
            </w:r>
          </w:p>
          <w:p>
            <w:pPr>
              <w:pStyle w:val="Normal"/>
              <w:widowControl w:val="false"/>
              <w:rPr/>
            </w:pPr>
            <w:r>
              <w:rPr/>
            </w:r>
          </w:p>
          <w:p>
            <w:pPr>
              <w:pStyle w:val="Normal"/>
              <w:widowControl w:val="false"/>
              <w:rPr/>
            </w:pPr>
            <w:r>
              <w:rPr>
                <w:sz w:val="24"/>
                <w:szCs w:val="24"/>
              </w:rPr>
              <w:t>________________М.А. Сухомесов</w:t>
            </w:r>
          </w:p>
          <w:p>
            <w:pPr>
              <w:pStyle w:val="Normal"/>
              <w:widowControl w:val="false"/>
              <w:rPr/>
            </w:pPr>
            <w:r>
              <w:rPr/>
            </w:r>
          </w:p>
          <w:p>
            <w:pPr>
              <w:pStyle w:val="Normal"/>
              <w:widowControl w:val="false"/>
              <w:rPr/>
            </w:pPr>
            <w:r>
              <w:rPr/>
            </w:r>
          </w:p>
        </w:tc>
        <w:tc>
          <w:tcPr>
            <w:tcW w:w="4831" w:type="dxa"/>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ind w:firstLine="709"/>
              <w:rPr>
                <w:sz w:val="24"/>
                <w:szCs w:val="24"/>
              </w:rPr>
            </w:pPr>
            <w:r>
              <w:rPr>
                <w:sz w:val="24"/>
                <w:szCs w:val="24"/>
              </w:rPr>
            </w:r>
          </w:p>
        </w:tc>
      </w:tr>
    </w:tbl>
    <w:p>
      <w:pPr>
        <w:pStyle w:val="Normal"/>
        <w:ind w:firstLine="709"/>
        <w:rPr/>
      </w:pPr>
      <w:r>
        <w:rPr/>
      </w:r>
    </w:p>
    <w:sectPr>
      <w:headerReference w:type="default" r:id="rId7"/>
      <w:headerReference w:type="first" r:id="rId8"/>
      <w:footerReference w:type="default" r:id="rId9"/>
      <w:type w:val="nextPage"/>
      <w:pgSz w:w="11906" w:h="16838"/>
      <w:pgMar w:left="1418" w:right="851" w:gutter="0" w:header="709" w:top="1134" w:footer="709" w:bottom="1134"/>
      <w:pgNumType w:fmt="decimal"/>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w:charset w:val="01"/>
    <w:family w:val="roman"/>
    <w:pitch w:val="variable"/>
  </w:font>
  <w:font w:name="OpenSymbol">
    <w:altName w:val="Arial Unicode MS"/>
    <w:charset w:val="01"/>
    <w:family w:val="roman"/>
    <w:pitch w:val="variable"/>
  </w:font>
  <w:font w:name="Tahoma">
    <w:charset w:val="01"/>
    <w:family w:val="roman"/>
    <w:pitch w:val="variable"/>
  </w:font>
  <w:font w:name="Symbol">
    <w:charset w:val="01"/>
    <w:family w:val="roman"/>
    <w:pitch w:val="variable"/>
  </w:font>
  <w:font w:name="Wingdings">
    <w:charset w:val="01"/>
    <w:family w:val="roman"/>
    <w:pitch w:val="variable"/>
  </w:font>
  <w:font w:name="Courier New">
    <w:charset w:val="01"/>
    <w:family w:val="roman"/>
    <w:pitch w:val="variable"/>
  </w:font>
  <w:font w:name="Liberation Sans">
    <w:altName w:val="Arial"/>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lvlText w:val="%1."/>
      <w:lvlJc w:val="left"/>
      <w:pPr>
        <w:tabs>
          <w:tab w:val="num" w:pos="360"/>
        </w:tabs>
        <w:ind w:left="360" w:hanging="360"/>
      </w:pPr>
      <w:rPr>
        <w:sz w:val="24"/>
        <w:b/>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sz w:val="24"/>
        <w:szCs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Normal"/>
    <w:next w:val="Normal"/>
    <w:qFormat/>
    <w:pPr>
      <w:keepNext w:val="true"/>
      <w:numPr>
        <w:ilvl w:val="3"/>
        <w:numId w:val="2"/>
      </w:numPr>
      <w:spacing w:before="240" w:after="60"/>
      <w:outlineLvl w:val="3"/>
    </w:pPr>
    <w:rPr>
      <w:rFonts w:ascii="Calibri" w:hAnsi="Calibri" w:eastAsia="Times New Roman" w:cs="Times New Roman"/>
      <w:b/>
      <w:bCs/>
      <w:szCs w:val="28"/>
    </w:rPr>
  </w:style>
  <w:style w:type="paragraph" w:styleId="Heading5">
    <w:name w:val="Heading 5"/>
    <w:basedOn w:val="Normal"/>
    <w:next w:val="Normal"/>
    <w:qFormat/>
    <w:pPr>
      <w:numPr>
        <w:ilvl w:val="4"/>
        <w:numId w:val="2"/>
      </w:numPr>
      <w:spacing w:lineRule="auto" w:line="240" w:before="240" w:after="60"/>
      <w:ind w:left="0" w:right="0" w:hanging="0"/>
      <w:jc w:val="left"/>
      <w:outlineLvl w:val="4"/>
    </w:pPr>
    <w:rPr>
      <w:b/>
      <w:bCs/>
      <w:i/>
      <w:iCs/>
      <w:sz w:val="26"/>
      <w:szCs w:val="26"/>
    </w:rPr>
  </w:style>
  <w:style w:type="character" w:styleId="DefaultParagraphFont" w:default="1">
    <w:name w:val="Default Paragraph Font"/>
    <w:uiPriority w:val="1"/>
    <w:unhideWhenUsed/>
    <w:qFormat/>
    <w:rPr/>
  </w:style>
  <w:style w:type="character" w:styleId="Style5" w:customStyle="1">
    <w:name w:val="Заголовок Знак"/>
    <w:qFormat/>
    <w:locked/>
    <w:rsid w:val="00565582"/>
    <w:rPr>
      <w:b/>
      <w:bCs/>
      <w:sz w:val="24"/>
      <w:szCs w:val="24"/>
      <w:lang w:val="ru-RU" w:eastAsia="ru-RU" w:bidi="ar-SA"/>
    </w:rPr>
  </w:style>
  <w:style w:type="character" w:styleId="Style6"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7" w:customStyle="1">
    <w:name w:val="Текст примечания Знак"/>
    <w:basedOn w:val="DefaultParagraphFont"/>
    <w:link w:val="Annotationtext"/>
    <w:qFormat/>
    <w:rsid w:val="00d36934"/>
    <w:rPr/>
  </w:style>
  <w:style w:type="character" w:styleId="Style8"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9" w:customStyle="1">
    <w:name w:val="Основной текст с отступом Знак"/>
    <w:basedOn w:val="DefaultParagraphFont"/>
    <w:qFormat/>
    <w:rsid w:val="00e00bca"/>
    <w:rPr/>
  </w:style>
  <w:style w:type="character" w:styleId="Style10" w:customStyle="1">
    <w:name w:val="комментарий"/>
    <w:uiPriority w:val="99"/>
    <w:qFormat/>
    <w:rsid w:val="00d562c0"/>
    <w:rPr>
      <w:rFonts w:cs="Times New Roman"/>
      <w:b/>
      <w:bCs/>
      <w:i/>
      <w:iCs/>
      <w:shd w:fill="FFFF99" w:val="clear"/>
    </w:rPr>
  </w:style>
  <w:style w:type="character" w:styleId="Style11" w:customStyle="1">
    <w:name w:val="Текст сноски Знак"/>
    <w:basedOn w:val="DefaultParagraphFont"/>
    <w:uiPriority w:val="99"/>
    <w:qFormat/>
    <w:rsid w:val="00f47c6a"/>
    <w:rPr/>
  </w:style>
  <w:style w:type="character" w:styleId="Style12"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3"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4" w:customStyle="1">
    <w:name w:val="Нижний колонтитул Знак"/>
    <w:uiPriority w:val="99"/>
    <w:qFormat/>
    <w:rsid w:val="00d925fb"/>
    <w:rPr/>
  </w:style>
  <w:style w:type="character" w:styleId="Style15" w:customStyle="1">
    <w:name w:val="Название Знак"/>
    <w:qFormat/>
    <w:rsid w:val="0095682b"/>
    <w:rPr>
      <w:b/>
      <w:bCs/>
      <w:sz w:val="24"/>
      <w:szCs w:val="24"/>
    </w:rPr>
  </w:style>
  <w:style w:type="character" w:styleId="Style16" w:customStyle="1">
    <w:name w:val="Абзац списка Знак"/>
    <w:link w:val="ListParagraph"/>
    <w:uiPriority w:val="34"/>
    <w:qFormat/>
    <w:locked/>
    <w:rsid w:val="00725d08"/>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name w:val="Символ нумерации"/>
    <w:qFormat/>
    <w:rPr/>
  </w:style>
  <w:style w:type="character" w:styleId="Style19">
    <w:name w:val="Маркеры"/>
    <w:qFormat/>
    <w:rPr>
      <w:rFonts w:ascii="OpenSymbol" w:hAnsi="OpenSymbol" w:eastAsia="OpenSymbol" w:cs="OpenSymbol"/>
    </w:rPr>
  </w:style>
  <w:style w:type="character" w:styleId="5">
    <w:name w:val="Заголовок 5 Знак"/>
    <w:qFormat/>
    <w:rPr>
      <w:b/>
      <w:bCs/>
      <w:i/>
      <w:iCs/>
      <w:sz w:val="26"/>
      <w:szCs w:val="26"/>
    </w:rPr>
  </w:style>
  <w:style w:type="character" w:styleId="4">
    <w:name w:val="Заголовок 4 Знак"/>
    <w:qFormat/>
    <w:rPr>
      <w:rFonts w:ascii="Calibri" w:hAnsi="Calibri" w:eastAsia="Times New Roman" w:cs="Times New Roman"/>
      <w:b/>
      <w:bCs/>
      <w:sz w:val="28"/>
      <w:szCs w:val="28"/>
    </w:rPr>
  </w:style>
  <w:style w:type="character" w:styleId="Style20">
    <w:name w:val="Текст выноски Знак"/>
    <w:qFormat/>
    <w:rPr>
      <w:rFonts w:ascii="Tahoma" w:hAnsi="Tahoma" w:cs="Tahoma"/>
      <w:sz w:val="16"/>
      <w:szCs w:val="16"/>
    </w:rPr>
  </w:style>
  <w:style w:type="character" w:styleId="Style21">
    <w:name w:val="Основной шрифт абзаца"/>
    <w:qFormat/>
    <w:rPr/>
  </w:style>
  <w:style w:type="character" w:styleId="WW8Num33z3">
    <w:name w:val="WW8Num33z3"/>
    <w:qFormat/>
    <w:rPr>
      <w:rFonts w:ascii="Symbol" w:hAnsi="Symbol" w:cs="Symbol"/>
    </w:rPr>
  </w:style>
  <w:style w:type="character" w:styleId="WW8Num33z2">
    <w:name w:val="WW8Num33z2"/>
    <w:qFormat/>
    <w:rPr>
      <w:rFonts w:ascii="Wingdings" w:hAnsi="Wingdings" w:cs="Wingdings"/>
    </w:rPr>
  </w:style>
  <w:style w:type="character" w:styleId="WW8Num33z1">
    <w:name w:val="WW8Num33z1"/>
    <w:qFormat/>
    <w:rPr>
      <w:rFonts w:ascii="Courier New" w:hAnsi="Courier New" w:cs="Courier New"/>
    </w:rPr>
  </w:style>
  <w:style w:type="character" w:styleId="WW8Num33z0">
    <w:name w:val="WW8Num33z0"/>
    <w:qFormat/>
    <w:rPr>
      <w:rFonts w:ascii="Times New Roman" w:hAnsi="Times New Roman" w:eastAsia="Times New Roman" w:cs="Times New Roman"/>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Symbol" w:hAnsi="Symbol" w:cs="Symbol"/>
    </w:rPr>
  </w:style>
  <w:style w:type="character" w:styleId="WW8Num31z0">
    <w:name w:val="WW8Num31z0"/>
    <w:qFormat/>
    <w:rPr/>
  </w:style>
  <w:style w:type="character" w:styleId="WW8Num30z0">
    <w:name w:val="WW8Num30z0"/>
    <w:qFormat/>
    <w:rPr>
      <w:color w:val="000000"/>
    </w:rPr>
  </w:style>
  <w:style w:type="character" w:styleId="WW8Num29z0">
    <w:name w:val="WW8Num29z0"/>
    <w:qFormat/>
    <w:rPr/>
  </w:style>
  <w:style w:type="character" w:styleId="WW8Num28z0">
    <w:name w:val="WW8Num28z0"/>
    <w:qFormat/>
    <w:rPr/>
  </w:style>
  <w:style w:type="character" w:styleId="WW8Num27z0">
    <w:name w:val="WW8Num27z0"/>
    <w:qFormat/>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Symbol" w:hAnsi="Symbol" w:cs="Symbol"/>
    </w:rPr>
  </w:style>
  <w:style w:type="character" w:styleId="WW8Num25z0">
    <w:name w:val="WW8Num25z0"/>
    <w:qFormat/>
    <w:rPr/>
  </w:style>
  <w:style w:type="character" w:styleId="WW8Num24z1">
    <w:name w:val="WW8Num24z1"/>
    <w:qFormat/>
    <w:rPr>
      <w:b w:val="false"/>
      <w:sz w:val="28"/>
      <w:szCs w:val="28"/>
    </w:rPr>
  </w:style>
  <w:style w:type="character" w:styleId="WW8Num24z0">
    <w:name w:val="WW8Num24z0"/>
    <w:qFormat/>
    <w:rPr/>
  </w:style>
  <w:style w:type="character" w:styleId="WW8Num23z0">
    <w:name w:val="WW8Num23z0"/>
    <w:qFormat/>
    <w:rPr/>
  </w:style>
  <w:style w:type="character" w:styleId="WW8Num22z3">
    <w:name w:val="WW8Num22z3"/>
    <w:qFormat/>
    <w:rPr>
      <w:rFonts w:ascii="Symbol" w:hAnsi="Symbol" w:cs="Symbol"/>
    </w:rPr>
  </w:style>
  <w:style w:type="character" w:styleId="WW8Num22z2">
    <w:name w:val="WW8Num22z2"/>
    <w:qFormat/>
    <w:rPr>
      <w:rFonts w:ascii="Wingdings" w:hAnsi="Wingdings" w:cs="Wingdings"/>
    </w:rPr>
  </w:style>
  <w:style w:type="character" w:styleId="WW8Num22z1">
    <w:name w:val="WW8Num22z1"/>
    <w:qFormat/>
    <w:rPr>
      <w:rFonts w:ascii="Courier New" w:hAnsi="Courier New" w:cs="Courier New"/>
    </w:rPr>
  </w:style>
  <w:style w:type="character" w:styleId="WW8Num22z0">
    <w:name w:val="WW8Num22z0"/>
    <w:qFormat/>
    <w:rPr>
      <w:rFonts w:ascii="Times New Roman" w:hAnsi="Times New Roman" w:cs="Times New Roman"/>
    </w:rPr>
  </w:style>
  <w:style w:type="character" w:styleId="WW8Num21z0">
    <w:name w:val="WW8Num21z0"/>
    <w:qFormat/>
    <w:rPr>
      <w:b w:val="false"/>
    </w:rPr>
  </w:style>
  <w:style w:type="character" w:styleId="WW8Num20z2">
    <w:name w:val="WW8Num20z2"/>
    <w:qFormat/>
    <w:rPr>
      <w:rFonts w:ascii="Wingdings" w:hAnsi="Wingdings" w:cs="Wingdings"/>
    </w:rPr>
  </w:style>
  <w:style w:type="character" w:styleId="WW8Num20z1">
    <w:name w:val="WW8Num20z1"/>
    <w:qFormat/>
    <w:rPr>
      <w:rFonts w:ascii="Courier New" w:hAnsi="Courier New" w:cs="Courier New"/>
    </w:rPr>
  </w:style>
  <w:style w:type="character" w:styleId="WW8Num20z0">
    <w:name w:val="WW8Num20z0"/>
    <w:qFormat/>
    <w:rPr>
      <w:rFonts w:ascii="Symbol" w:hAnsi="Symbol" w:cs="Symbol"/>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0">
    <w:name w:val="WW8Num17z0"/>
    <w:qFormat/>
    <w:rPr>
      <w:rFonts w:ascii="Symbol" w:hAnsi="Symbol" w:cs="Symbol"/>
      <w:color w:val="000000"/>
    </w:rPr>
  </w:style>
  <w:style w:type="character" w:styleId="WW8Num16z1">
    <w:name w:val="WW8Num16z1"/>
    <w:qFormat/>
    <w:rPr>
      <w:b w:val="false"/>
    </w:rPr>
  </w:style>
  <w:style w:type="character" w:styleId="WW8Num16z0">
    <w:name w:val="WW8Num16z0"/>
    <w:qFormat/>
    <w:rPr/>
  </w:style>
  <w:style w:type="character" w:styleId="WW8Num15z0">
    <w:name w:val="WW8Num15z0"/>
    <w:qFormat/>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0">
    <w:name w:val="WW8Num13z0"/>
    <w:qFormat/>
    <w:rPr/>
  </w:style>
  <w:style w:type="character" w:styleId="WW8Num12z0">
    <w:name w:val="WW8Num12z0"/>
    <w:qFormat/>
    <w:rPr/>
  </w:style>
  <w:style w:type="character" w:styleId="WW8Num10z0">
    <w:name w:val="WW8Num10z0"/>
    <w:qFormat/>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9z0">
    <w:name w:val="WW8Num9z0"/>
    <w:qFormat/>
    <w:rPr>
      <w:rFonts w:ascii="Symbol" w:hAnsi="Symbol" w:cs="Symbol"/>
    </w:rPr>
  </w:style>
  <w:style w:type="character" w:styleId="WW8Num5z3">
    <w:name w:val="WW8Num5z3"/>
    <w:qFormat/>
    <w:rPr>
      <w:rFonts w:ascii="Symbol" w:hAnsi="Symbol" w:cs="Symbol"/>
    </w:rPr>
  </w:style>
  <w:style w:type="character" w:styleId="WW8Num5z2">
    <w:name w:val="WW8Num5z2"/>
    <w:qFormat/>
    <w:rPr>
      <w:rFonts w:ascii="Wingdings" w:hAnsi="Wingdings" w:cs="Wingdings"/>
    </w:rPr>
  </w:style>
  <w:style w:type="character" w:styleId="WW8Num5z1">
    <w:name w:val="WW8Num5z1"/>
    <w:qFormat/>
    <w:rPr>
      <w:rFonts w:ascii="Courier New" w:hAnsi="Courier New" w:cs="Courier New"/>
    </w:rPr>
  </w:style>
  <w:style w:type="character" w:styleId="WW8Num4z1">
    <w:name w:val="WW8Num4z1"/>
    <w:qFormat/>
    <w:rPr>
      <w:rFonts w:ascii="Times New Roman" w:hAnsi="Times New Roman" w:cs="Times New Roman"/>
      <w:sz w:val="28"/>
      <w:szCs w:val="28"/>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8z0">
    <w:name w:val="WW8Num8z0"/>
    <w:qFormat/>
    <w:rPr/>
  </w:style>
  <w:style w:type="character" w:styleId="WW8Num7z0">
    <w:name w:val="WW8Num7z0"/>
    <w:qFormat/>
    <w:rPr/>
  </w:style>
  <w:style w:type="character" w:styleId="WW8Num6z0">
    <w:name w:val="WW8Num6z0"/>
    <w:qFormat/>
    <w:rPr>
      <w:rFonts w:ascii="Symbol" w:hAnsi="Symbol" w:cs="Symbol"/>
    </w:rPr>
  </w:style>
  <w:style w:type="character" w:styleId="WW8Num5z0">
    <w:name w:val="WW8Num5z0"/>
    <w:qFormat/>
    <w:rPr>
      <w:rFonts w:ascii="Times New Roman" w:hAnsi="Times New Roman" w:cs="Times New Roman"/>
    </w:rPr>
  </w:style>
  <w:style w:type="character" w:styleId="WW8Num4z0">
    <w:name w:val="WW8Num4z0"/>
    <w:qFormat/>
    <w:rPr>
      <w:rFonts w:ascii="Symbol" w:hAnsi="Symbol" w:cs="Symbol"/>
    </w:rPr>
  </w:style>
  <w:style w:type="character" w:styleId="WW8Num3z0">
    <w:name w:val="WW8Num3z0"/>
    <w:qFormat/>
    <w:rPr>
      <w:rFonts w:ascii="Symbol" w:hAnsi="Symbol" w:cs="Symbol"/>
    </w:rPr>
  </w:style>
  <w:style w:type="character" w:styleId="WW8Num2z0">
    <w:name w:val="WW8Num2z0"/>
    <w:qFormat/>
    <w:rPr>
      <w:rFonts w:ascii="Symbol" w:hAnsi="Symbol" w:cs="Symbol"/>
    </w:rPr>
  </w:style>
  <w:style w:type="paragraph" w:styleId="Style22">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Title">
    <w:name w:val="Title"/>
    <w:basedOn w:val="Normal"/>
    <w:next w:val="BodyText"/>
    <w:link w:val="Style5"/>
    <w:qFormat/>
    <w:rsid w:val="00a264b0"/>
    <w:pPr>
      <w:jc w:val="center"/>
    </w:pPr>
    <w:rPr>
      <w:b/>
      <w:bCs/>
      <w:sz w:val="24"/>
      <w:szCs w:val="24"/>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4"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4"/>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7"/>
    <w:qFormat/>
    <w:rsid w:val="00d36934"/>
    <w:pPr/>
    <w:rPr/>
  </w:style>
  <w:style w:type="paragraph" w:styleId="Annotationsubject">
    <w:name w:val="annotation subject"/>
    <w:basedOn w:val="Annotationtext"/>
    <w:next w:val="Annotationtext"/>
    <w:link w:val="Style8"/>
    <w:qFormat/>
    <w:rsid w:val="00d36934"/>
    <w:pPr/>
    <w:rPr>
      <w:b/>
      <w:bCs/>
      <w:lang w:val="x-none" w:eastAsia="x-none"/>
    </w:rPr>
  </w:style>
  <w:style w:type="paragraph" w:styleId="ListParagraph">
    <w:name w:val="List Paragraph"/>
    <w:basedOn w:val="Normal"/>
    <w:link w:val="Style16"/>
    <w:uiPriority w:val="34"/>
    <w:qFormat/>
    <w:rsid w:val="00ec6e7d"/>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9"/>
    <w:rsid w:val="00e00bca"/>
    <w:pPr>
      <w:spacing w:before="0" w:after="120"/>
      <w:ind w:left="283" w:hanging="0"/>
    </w:pPr>
    <w:rPr/>
  </w:style>
  <w:style w:type="paragraph" w:styleId="Style28"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1"/>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3"/>
    <w:uiPriority w:val="99"/>
    <w:rsid w:val="000449a5"/>
    <w:pPr>
      <w:tabs>
        <w:tab w:val="clear" w:pos="709"/>
        <w:tab w:val="center" w:pos="4677" w:leader="none"/>
        <w:tab w:val="right" w:pos="9355" w:leader="none"/>
      </w:tabs>
    </w:pPr>
    <w:rPr/>
  </w:style>
  <w:style w:type="paragraph" w:styleId="Style29"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paragraph" w:styleId="Style32">
    <w:name w:val=" 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33">
    <w:name w:val="Текст выноски"/>
    <w:basedOn w:val="Normal"/>
    <w:qFormat/>
    <w:pPr>
      <w:spacing w:lineRule="auto" w:line="240"/>
    </w:pPr>
    <w:rPr>
      <w:rFonts w:ascii="Tahoma" w:hAnsi="Tahoma" w:cs="Tahoma"/>
      <w:sz w:val="16"/>
      <w:szCs w:val="16"/>
    </w:rPr>
  </w:style>
  <w:style w:type="paragraph" w:styleId="Style34">
    <w:name w:val="Абзац списка"/>
    <w:basedOn w:val="Normal"/>
    <w:qFormat/>
    <w:pPr>
      <w:widowControl w:val="false"/>
      <w:spacing w:lineRule="auto" w:line="240" w:before="0" w:after="0"/>
      <w:ind w:left="720" w:right="0" w:hanging="0"/>
      <w:contextualSpacing/>
      <w:jc w:val="left"/>
    </w:pPr>
    <w:rPr>
      <w:sz w:val="20"/>
    </w:rPr>
  </w:style>
  <w:style w:type="paragraph" w:styleId="21">
    <w:name w:val="Основной текст 21"/>
    <w:basedOn w:val="Normal"/>
    <w:qFormat/>
    <w:pPr>
      <w:suppressAutoHyphens w:val="true"/>
      <w:spacing w:lineRule="auto" w:line="240"/>
      <w:ind w:left="0" w:right="0" w:hanging="0"/>
      <w:jc w:val="right"/>
    </w:pPr>
    <w:rPr>
      <w:i/>
      <w:sz w:val="26"/>
    </w:rPr>
  </w:style>
  <w:style w:type="paragraph" w:styleId="211">
    <w:name w:val=" Знак2 Знак Знак Знак Знак Знак Знак Знак Знак Знак Знак Знак Знак Знак Знак Знак Знак Знак Знак Знак Знак1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2">
    <w:name w:val=" Знак2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Style35">
    <w:name w:val="Таблица шапка"/>
    <w:basedOn w:val="Normal"/>
    <w:qFormat/>
    <w:pPr>
      <w:keepNext w:val="true"/>
      <w:spacing w:lineRule="auto" w:line="240" w:before="40" w:after="40"/>
      <w:ind w:left="57" w:right="57" w:hanging="0"/>
      <w:jc w:val="left"/>
    </w:pPr>
    <w:rPr>
      <w:sz w:val="22"/>
    </w:rPr>
  </w:style>
  <w:style w:type="paragraph" w:styleId="Style36">
    <w:name w:val="Нумерованный список"/>
    <w:basedOn w:val="Normal"/>
    <w:qFormat/>
    <w:pPr>
      <w:spacing w:before="60" w:after="0"/>
      <w:ind w:left="0" w:right="0" w:hanging="0"/>
    </w:pPr>
    <w:rPr>
      <w:szCs w:val="24"/>
    </w:rPr>
  </w:style>
  <w:style w:type="paragraph" w:styleId="Caption1111">
    <w:name w:val="Caption1111"/>
    <w:basedOn w:val="Normal"/>
    <w:qFormat/>
    <w:pPr>
      <w:suppressLineNumbers/>
      <w:spacing w:before="120" w:after="120"/>
    </w:pPr>
    <w:rPr>
      <w:rFonts w:cs="Arial Unicode MS"/>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Caption12">
    <w:name w:val="Caption12"/>
    <w:basedOn w:val="Normal"/>
    <w:qFormat/>
    <w:pPr>
      <w:suppressLineNumbers/>
      <w:spacing w:before="120" w:after="120"/>
    </w:pPr>
    <w:rPr>
      <w:rFonts w:cs="Arial Unicode MS"/>
      <w:i/>
      <w:iCs/>
      <w:sz w:val="24"/>
      <w:szCs w:val="24"/>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d">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50D86B4F-C15C-4EEE-AF25-77F35D2DD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878</TotalTime>
  <Application>AlterOffice/3.4.0.9$Linux_X86_64 LibreOffice_project/b8daf9e823b1a5463a2f48435ddc2e8696e7d4fc</Application>
  <AppVersion>15.0000</AppVersion>
  <Pages>15</Pages>
  <Words>5628</Words>
  <Characters>39849</Characters>
  <CharactersWithSpaces>45320</CharactersWithSpaces>
  <Paragraphs>241</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klepikovasv@corp.gidroogk.com</cp:lastModifiedBy>
  <cp:lastPrinted>2018-05-22T09:46:00Z</cp:lastPrinted>
  <dcterms:modified xsi:type="dcterms:W3CDTF">2026-08-21T13:56:43Z</dcterms:modified>
  <cp:revision>76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