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ind w:firstLine="709"/>
        <w:jc w:val="center"/>
        <w:rPr/>
      </w:pPr>
      <w:r>
        <w:rPr>
          <w:bCs/>
          <w:sz w:val="22"/>
          <w:szCs w:val="22"/>
        </w:rPr>
        <w:t xml:space="preserve"> </w:t>
      </w:r>
      <w:r>
        <w:rPr>
          <w:b/>
          <w:bCs/>
          <w:sz w:val="24"/>
          <w:szCs w:val="24"/>
        </w:rPr>
        <w:t>Договор поставки № _______________</w:t>
      </w:r>
    </w:p>
    <w:p>
      <w:pPr>
        <w:pStyle w:val="Normal"/>
        <w:shd w:val="clear" w:color="auto" w:fill="FFFFFF"/>
        <w:ind w:firstLine="709"/>
        <w:rPr>
          <w:b/>
          <w:bCs/>
          <w:sz w:val="24"/>
          <w:szCs w:val="24"/>
        </w:rPr>
      </w:pPr>
      <w:r>
        <w:rPr>
          <w:b/>
          <w:bCs/>
          <w:sz w:val="24"/>
          <w:szCs w:val="24"/>
        </w:rPr>
      </w:r>
    </w:p>
    <w:p>
      <w:pPr>
        <w:pStyle w:val="Normal"/>
        <w:shd w:val="clear" w:color="auto" w:fill="FFFFFF"/>
        <w:tabs>
          <w:tab w:val="clear" w:pos="709"/>
          <w:tab w:val="right" w:pos="9639" w:leader="none"/>
        </w:tabs>
        <w:jc w:val="right"/>
        <w:rPr/>
      </w:pPr>
      <w:r>
        <w:rPr>
          <w:bCs/>
          <w:sz w:val="24"/>
          <w:szCs w:val="24"/>
        </w:rPr>
        <w:t>г. Зея                                                                                                        «___» ______ 2026 г.</w:t>
        <w:tab/>
        <w:t xml:space="preserve"> </w:t>
      </w:r>
    </w:p>
    <w:p>
      <w:pPr>
        <w:pStyle w:val="Normal"/>
        <w:shd w:val="clear" w:color="auto" w:fill="FFFFFF"/>
        <w:tabs>
          <w:tab w:val="clear" w:pos="709"/>
          <w:tab w:val="right" w:pos="9639" w:leader="none"/>
        </w:tabs>
        <w:ind w:firstLine="709"/>
        <w:jc w:val="right"/>
        <w:rPr>
          <w:bCs/>
          <w:sz w:val="24"/>
          <w:szCs w:val="24"/>
        </w:rPr>
      </w:pPr>
      <w:r>
        <w:rPr>
          <w:bCs/>
          <w:sz w:val="24"/>
          <w:szCs w:val="24"/>
        </w:rPr>
      </w:r>
    </w:p>
    <w:p>
      <w:pPr>
        <w:pStyle w:val="Normal"/>
        <w:ind w:firstLine="709"/>
        <w:jc w:val="both"/>
        <w:rPr/>
      </w:pPr>
      <w:r>
        <w:rPr>
          <w:b/>
          <w:sz w:val="24"/>
          <w:szCs w:val="24"/>
        </w:rPr>
        <w:t xml:space="preserve">Публичное акционерное общество «Федеральная гидрогенерирующая компания – РусГидро» </w:t>
      </w:r>
      <w:r>
        <w:rPr>
          <w:color w:val="000000"/>
          <w:sz w:val="24"/>
          <w:szCs w:val="24"/>
        </w:rPr>
        <w:t>(ПАО «РусГидро»), (далее – «Покупатель»), в лице директора филиала  ПАО «РусГидро» – «Зейская ГЭС» Сухомесова Михаила Андреевича, действующего на основании доверенности № fa6c5272-a93b-4de7-a668-0be35958fe24 от 23.01.2025, с одной стороны,</w:t>
      </w:r>
      <w:r>
        <w:rPr>
          <w:spacing w:val="4"/>
          <w:sz w:val="24"/>
          <w:szCs w:val="24"/>
        </w:rPr>
        <w:t xml:space="preserve"> и</w:t>
      </w:r>
      <w:r>
        <w:rPr>
          <w:spacing w:val="10"/>
          <w:sz w:val="24"/>
          <w:szCs w:val="24"/>
        </w:rPr>
        <w:t xml:space="preserve"> </w:t>
      </w:r>
      <w:r>
        <w:rPr>
          <w:b/>
          <w:spacing w:val="10"/>
          <w:sz w:val="24"/>
          <w:szCs w:val="24"/>
        </w:rPr>
        <w:t>__________________</w:t>
      </w:r>
      <w:r>
        <w:rPr>
          <w:bCs/>
          <w:sz w:val="24"/>
          <w:szCs w:val="24"/>
        </w:rPr>
        <w:t xml:space="preserve"> </w:t>
      </w:r>
      <w:r>
        <w:rPr>
          <w:sz w:val="24"/>
          <w:szCs w:val="24"/>
        </w:rPr>
        <w:t>(далее – «Поставщик»), действующий на основании ___________________, с другой стороны, совместно в дальнейшем именуемые «Стороны», а по отдельности – «Сторона», на основании протокола от «__»______2026г. №______ заключили настоящий договор поставки (далее – «Договор») о нижеследующем:</w:t>
      </w:r>
    </w:p>
    <w:p>
      <w:pPr>
        <w:pStyle w:val="Normal"/>
        <w:ind w:firstLine="709"/>
        <w:jc w:val="both"/>
        <w:rPr>
          <w:sz w:val="26"/>
          <w:szCs w:val="26"/>
        </w:rPr>
      </w:pPr>
      <w:r>
        <w:rPr>
          <w:sz w:val="26"/>
          <w:szCs w:val="26"/>
        </w:rPr>
      </w:r>
    </w:p>
    <w:p>
      <w:pPr>
        <w:pStyle w:val="Normal"/>
        <w:shd w:val="clear" w:color="auto" w:fill="FFFFFF"/>
        <w:ind w:firstLine="709"/>
        <w:jc w:val="center"/>
        <w:rPr/>
      </w:pPr>
      <w:r>
        <w:rPr>
          <w:b/>
          <w:bCs/>
          <w:sz w:val="24"/>
          <w:szCs w:val="24"/>
        </w:rPr>
        <w:t>Термины и определения</w:t>
      </w:r>
    </w:p>
    <w:p>
      <w:pPr>
        <w:pStyle w:val="Normal"/>
        <w:shd w:val="clear" w:color="auto" w:fill="FFFFFF"/>
        <w:ind w:firstLine="709"/>
        <w:jc w:val="both"/>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ind w:left="0" w:firstLine="709"/>
        <w:jc w:val="both"/>
        <w:textAlignment w:val="baseline"/>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567" w:leader="none"/>
          <w:tab w:val="left" w:pos="1134" w:leader="none"/>
        </w:tabs>
        <w:ind w:left="0" w:firstLine="709"/>
        <w:jc w:val="both"/>
        <w:textAlignment w:val="baseline"/>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и / или изготовитель Товара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ind w:left="0" w:firstLine="709"/>
        <w:jc w:val="both"/>
        <w:textAlignment w:val="baseline"/>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ind w:left="0" w:firstLine="709"/>
        <w:jc w:val="both"/>
        <w:textAlignment w:val="baseline"/>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ind w:left="0" w:firstLine="709"/>
        <w:jc w:val="both"/>
        <w:textAlignment w:val="baseline"/>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9"/>
          <w:tab w:val="left" w:pos="0" w:leader="none"/>
        </w:tabs>
        <w:ind w:left="0" w:firstLine="709"/>
        <w:jc w:val="both"/>
        <w:textAlignment w:val="baseline"/>
        <w:rPr/>
      </w:pPr>
      <w:r>
        <w:rPr>
          <w:b/>
          <w:sz w:val="24"/>
          <w:szCs w:val="24"/>
          <w:lang w:eastAsia="en-US"/>
        </w:rPr>
        <w:t xml:space="preserve">«Универсальный передаточный документ (УПД) — </w:t>
      </w:r>
      <w:r>
        <w:rPr>
          <w:sz w:val="24"/>
          <w:szCs w:val="24"/>
          <w:lang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p>
    <w:p>
      <w:pPr>
        <w:pStyle w:val="ListParagraph"/>
        <w:shd w:val="clear" w:color="auto" w:fill="FFFFFF"/>
        <w:tabs>
          <w:tab w:val="clear" w:pos="709"/>
          <w:tab w:val="left" w:pos="0" w:leader="none"/>
        </w:tabs>
        <w:ind w:left="0" w:firstLine="709"/>
        <w:jc w:val="both"/>
        <w:textAlignment w:val="baseline"/>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tabs>
          <w:tab w:val="clear" w:pos="709"/>
          <w:tab w:val="left" w:pos="0" w:leader="none"/>
        </w:tabs>
        <w:spacing w:before="0" w:after="0"/>
        <w:ind w:firstLine="709"/>
        <w:jc w:val="both"/>
        <w:textAlignment w:val="baseline"/>
        <w:rPr>
          <w:rFonts w:ascii="Times New Roman" w:hAnsi="Times New Roman"/>
        </w:rPr>
      </w:pPr>
      <w:r>
        <w:rPr>
          <w:rFonts w:ascii="Times New Roman" w:hAnsi="Times New Roman"/>
          <w:color w:val="auto"/>
          <w:sz w:val="24"/>
          <w:szCs w:val="24"/>
          <w:lang w:eastAsia="en-US"/>
        </w:rPr>
        <w:t xml:space="preserve">«Партия Товара» </w:t>
      </w:r>
      <w:r>
        <w:rPr>
          <w:rFonts w:ascii="Times New Roman" w:hAnsi="Times New Roman"/>
          <w:b w:val="false"/>
          <w:color w:val="auto"/>
          <w:sz w:val="24"/>
          <w:szCs w:val="24"/>
          <w:lang w:eastAsia="en-US"/>
        </w:rPr>
        <w:t xml:space="preserve">– часть Товара, единовременно поставляемая Покупателю Поставщиком, </w:t>
      </w:r>
      <w:r>
        <w:rPr>
          <w:rFonts w:ascii="Times New Roman" w:hAnsi="Times New Roman"/>
          <w:b w:val="false"/>
          <w:color w:val="auto"/>
          <w:sz w:val="24"/>
          <w:szCs w:val="24"/>
          <w:lang w:val="ru-RU" w:eastAsia="en-US"/>
        </w:rPr>
        <w:t>характеристики</w:t>
      </w:r>
      <w:r>
        <w:rPr>
          <w:rFonts w:ascii="Times New Roman" w:hAnsi="Times New Roman"/>
          <w:b w:val="false"/>
          <w:color w:val="auto"/>
          <w:sz w:val="24"/>
          <w:szCs w:val="24"/>
          <w:lang w:eastAsia="en-US"/>
        </w:rPr>
        <w:t xml:space="preserve"> которой определя</w:t>
      </w:r>
      <w:r>
        <w:rPr>
          <w:rFonts w:ascii="Times New Roman" w:hAnsi="Times New Roman"/>
          <w:b w:val="false"/>
          <w:color w:val="auto"/>
          <w:sz w:val="24"/>
          <w:szCs w:val="24"/>
          <w:lang w:val="ru-RU" w:eastAsia="en-US"/>
        </w:rPr>
        <w:t>ю</w:t>
      </w:r>
      <w:r>
        <w:rPr>
          <w:rFonts w:ascii="Times New Roman" w:hAnsi="Times New Roman"/>
          <w:b w:val="false"/>
          <w:color w:val="auto"/>
          <w:sz w:val="24"/>
          <w:szCs w:val="24"/>
          <w:lang w:eastAsia="en-US"/>
        </w:rPr>
        <w:t xml:space="preserve">тся </w:t>
      </w:r>
      <w:r>
        <w:rPr>
          <w:rFonts w:ascii="Times New Roman" w:hAnsi="Times New Roman"/>
          <w:b w:val="false"/>
          <w:color w:val="auto"/>
          <w:sz w:val="24"/>
          <w:szCs w:val="24"/>
          <w:lang w:val="ru-RU" w:eastAsia="en-US"/>
        </w:rPr>
        <w:t xml:space="preserve">Заявкой Покупателя в соответствии со </w:t>
      </w:r>
      <w:r>
        <w:rPr>
          <w:rFonts w:ascii="Times New Roman" w:hAnsi="Times New Roman"/>
          <w:b w:val="false"/>
          <w:color w:val="auto"/>
          <w:sz w:val="24"/>
          <w:szCs w:val="24"/>
          <w:lang w:eastAsia="en-US"/>
        </w:rPr>
        <w:t>Спецификацией, являющейся приложением к Договору.</w:t>
      </w:r>
    </w:p>
    <w:p>
      <w:pPr>
        <w:pStyle w:val="Heading3"/>
        <w:tabs>
          <w:tab w:val="clear" w:pos="709"/>
          <w:tab w:val="left" w:pos="0" w:leader="none"/>
        </w:tabs>
        <w:spacing w:before="0" w:after="0"/>
        <w:ind w:firstLine="709"/>
        <w:jc w:val="both"/>
        <w:textAlignment w:val="baseline"/>
        <w:rPr>
          <w:rFonts w:ascii="Times New Roman" w:hAnsi="Times New Roman"/>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spacing w:before="0" w:after="0"/>
        <w:ind w:firstLine="709"/>
        <w:jc w:val="both"/>
        <w:textAlignment w:val="baseline"/>
        <w:rPr>
          <w:rFonts w:ascii="Times New Roman" w:hAnsi="Times New Roman"/>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numPr>
          <w:ilvl w:val="0"/>
          <w:numId w:val="2"/>
        </w:numPr>
        <w:shd w:val="clear" w:color="auto" w:fill="FFFFFF"/>
        <w:tabs>
          <w:tab w:val="clear" w:pos="709"/>
          <w:tab w:val="left" w:pos="284" w:leader="none"/>
        </w:tabs>
        <w:ind w:left="0" w:hanging="0"/>
        <w:jc w:val="center"/>
        <w:rPr/>
      </w:pPr>
      <w:r>
        <w:rPr>
          <w:b/>
          <w:bCs/>
          <w:sz w:val="24"/>
          <w:szCs w:val="24"/>
        </w:rPr>
        <w:t>Предмет Договора</w:t>
      </w:r>
    </w:p>
    <w:p>
      <w:pPr>
        <w:pStyle w:val="Normal"/>
        <w:numPr>
          <w:ilvl w:val="1"/>
          <w:numId w:val="2"/>
        </w:numPr>
        <w:shd w:val="clear" w:color="auto" w:fill="FFFFFF"/>
        <w:tabs>
          <w:tab w:val="clear" w:pos="709"/>
          <w:tab w:val="left" w:pos="1134" w:leader="none"/>
        </w:tabs>
        <w:ind w:left="0" w:firstLine="709"/>
        <w:jc w:val="both"/>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Pr>
          <w:rFonts w:eastAsia="Calibri"/>
          <w:b/>
          <w:bCs/>
          <w:sz w:val="24"/>
          <w:szCs w:val="24"/>
          <w:lang w:eastAsia="en-US"/>
        </w:rPr>
        <w:t>канцелярские товары</w:t>
      </w:r>
      <w:r>
        <w:rPr>
          <w:rFonts w:eastAsia="Calibri"/>
          <w:bCs/>
          <w:sz w:val="24"/>
          <w:szCs w:val="24"/>
          <w:lang w:eastAsia="en-US"/>
        </w:rPr>
        <w:t xml:space="preserve"> </w:t>
      </w:r>
      <w:r>
        <w:rPr>
          <w:bCs/>
          <w:sz w:val="24"/>
          <w:szCs w:val="24"/>
        </w:rPr>
        <w:t>(далее – «Товар») в соответствии со Спецификацией (Приложение № 1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0" w:leader="none"/>
          <w:tab w:val="left" w:pos="1134" w:leader="none"/>
        </w:tabs>
        <w:ind w:left="0" w:firstLine="709"/>
        <w:jc w:val="both"/>
        <w:rPr/>
      </w:pPr>
      <w:r>
        <w:rPr>
          <w:bCs/>
          <w:sz w:val="24"/>
          <w:szCs w:val="24"/>
        </w:rPr>
        <w:t>Поставка Товара по Договору осуществляется для нужд Филиала ПАО «РусГидро» - «Зейская ГЭС».</w:t>
      </w:r>
    </w:p>
    <w:p>
      <w:pPr>
        <w:pStyle w:val="Normal"/>
        <w:numPr>
          <w:ilvl w:val="1"/>
          <w:numId w:val="2"/>
        </w:numPr>
        <w:shd w:val="clear" w:color="auto" w:fill="FFFFFF"/>
        <w:tabs>
          <w:tab w:val="clear" w:pos="709"/>
          <w:tab w:val="left" w:pos="0" w:leader="none"/>
          <w:tab w:val="left" w:pos="1134" w:leader="none"/>
        </w:tabs>
        <w:ind w:left="0" w:firstLine="709"/>
        <w:jc w:val="both"/>
        <w:rPr/>
      </w:pPr>
      <w:r>
        <w:rPr>
          <w:bCs/>
          <w:sz w:val="24"/>
          <w:szCs w:val="24"/>
        </w:rPr>
        <w:t xml:space="preserve">Место поставки Товара: 676244, Амурская область, г. Зея, </w:t>
        <w:br/>
        <w:t xml:space="preserve">ул. Магистральная, соор. 1, </w:t>
      </w:r>
      <w:r>
        <w:rPr>
          <w:sz w:val="24"/>
        </w:rPr>
        <w:t xml:space="preserve">склад № 2 филиала ПАО «РусГидро» - «Зейская ГЭС». </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pPr>
      <w:r>
        <w:rPr>
          <w:bCs/>
          <w:sz w:val="24"/>
          <w:szCs w:val="24"/>
        </w:rPr>
        <w:t xml:space="preserve">Общий срок поставки Товара: </w:t>
      </w:r>
    </w:p>
    <w:p>
      <w:pPr>
        <w:pStyle w:val="Normal"/>
        <w:widowControl w:val="false"/>
        <w:numPr>
          <w:ilvl w:val="0"/>
          <w:numId w:val="0"/>
        </w:numPr>
        <w:shd w:val="clear" w:color="auto" w:fill="FFFFFF"/>
        <w:tabs>
          <w:tab w:val="clear" w:pos="709"/>
          <w:tab w:val="left" w:pos="793" w:leader="none"/>
          <w:tab w:val="left" w:pos="1134" w:leader="none"/>
        </w:tabs>
        <w:suppressAutoHyphens w:val="true"/>
        <w:bidi w:val="0"/>
        <w:spacing w:before="0" w:after="0"/>
        <w:ind w:left="737" w:right="0" w:hanging="0"/>
        <w:jc w:val="both"/>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1.4.1. Начало – с даты подписания Договора;</w:t>
      </w:r>
    </w:p>
    <w:p>
      <w:pPr>
        <w:pStyle w:val="Normal"/>
        <w:widowControl w:val="false"/>
        <w:numPr>
          <w:ilvl w:val="0"/>
          <w:numId w:val="0"/>
        </w:numPr>
        <w:shd w:val="clear" w:color="auto" w:fill="FFFFFF"/>
        <w:tabs>
          <w:tab w:val="clear" w:pos="709"/>
          <w:tab w:val="left" w:pos="793" w:leader="none"/>
          <w:tab w:val="left" w:pos="1134" w:leader="none"/>
        </w:tabs>
        <w:suppressAutoHyphens w:val="true"/>
        <w:bidi w:val="0"/>
        <w:spacing w:before="0" w:after="0"/>
        <w:ind w:left="737" w:right="0" w:hanging="0"/>
        <w:jc w:val="both"/>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 xml:space="preserve">1.4.2. Окончание – в течение </w:t>
      </w:r>
      <w:r>
        <w:rPr>
          <w:rFonts w:eastAsia="Times New Roman" w:cs="Times New Roman"/>
          <w:bCs/>
          <w:color w:val="auto"/>
          <w:kern w:val="0"/>
          <w:sz w:val="24"/>
          <w:szCs w:val="24"/>
          <w:lang w:val="ru-RU" w:eastAsia="ru-RU" w:bidi="ar-SA"/>
        </w:rPr>
        <w:t>3</w:t>
      </w:r>
      <w:r>
        <w:rPr>
          <w:rFonts w:eastAsia="Times New Roman" w:cs="Times New Roman"/>
          <w:bCs/>
          <w:color w:val="auto"/>
          <w:kern w:val="0"/>
          <w:sz w:val="24"/>
          <w:szCs w:val="24"/>
          <w:lang w:val="ru-RU" w:eastAsia="ru-RU" w:bidi="ar-SA"/>
        </w:rPr>
        <w:t>0 (</w:t>
      </w:r>
      <w:r>
        <w:rPr>
          <w:rFonts w:eastAsia="Times New Roman" w:cs="Times New Roman"/>
          <w:bCs/>
          <w:color w:val="auto"/>
          <w:kern w:val="0"/>
          <w:sz w:val="24"/>
          <w:szCs w:val="24"/>
          <w:lang w:val="ru-RU" w:eastAsia="ru-RU" w:bidi="ar-SA"/>
        </w:rPr>
        <w:t>тридцати</w:t>
      </w:r>
      <w:r>
        <w:rPr>
          <w:rFonts w:eastAsia="Times New Roman" w:cs="Times New Roman"/>
          <w:bCs/>
          <w:color w:val="auto"/>
          <w:kern w:val="0"/>
          <w:sz w:val="24"/>
          <w:szCs w:val="24"/>
          <w:lang w:val="ru-RU" w:eastAsia="ru-RU" w:bidi="ar-SA"/>
        </w:rPr>
        <w:t>) дней с даты заключения договора.</w:t>
      </w:r>
    </w:p>
    <w:p>
      <w:pPr>
        <w:pStyle w:val="Normal"/>
        <w:shd w:val="clear" w:color="auto" w:fill="FFFFFF"/>
        <w:tabs>
          <w:tab w:val="clear" w:pos="709"/>
          <w:tab w:val="left" w:pos="540" w:leader="none"/>
        </w:tabs>
        <w:ind w:firstLine="709"/>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pPr>
      <w:r>
        <w:rPr>
          <w:b/>
          <w:bCs/>
          <w:sz w:val="24"/>
          <w:szCs w:val="24"/>
        </w:rPr>
        <w:t>Цена Договора и порядок расчетов</w:t>
      </w:r>
    </w:p>
    <w:p>
      <w:pPr>
        <w:pStyle w:val="Normal"/>
        <w:numPr>
          <w:ilvl w:val="1"/>
          <w:numId w:val="2"/>
        </w:numPr>
        <w:tabs>
          <w:tab w:val="clear" w:pos="709"/>
          <w:tab w:val="left" w:pos="0" w:leader="none"/>
          <w:tab w:val="left" w:pos="1134" w:leader="none"/>
        </w:tabs>
        <w:ind w:left="0" w:firstLine="709"/>
        <w:jc w:val="both"/>
        <w:rPr/>
      </w:pPr>
      <w:r>
        <w:rPr>
          <w:sz w:val="24"/>
          <w:szCs w:val="24"/>
        </w:rPr>
        <w:t xml:space="preserve">Цена Договора </w:t>
      </w:r>
      <w:r>
        <w:rPr>
          <w:bCs/>
          <w:sz w:val="24"/>
          <w:szCs w:val="24"/>
        </w:rPr>
        <w:t xml:space="preserve">является твердой и составляет </w:t>
      </w:r>
      <w:r>
        <w:rPr>
          <w:b/>
          <w:bCs/>
          <w:sz w:val="24"/>
          <w:szCs w:val="24"/>
        </w:rPr>
        <w:t>________</w:t>
      </w:r>
      <w:r>
        <w:rPr>
          <w:bCs/>
          <w:sz w:val="24"/>
          <w:szCs w:val="24"/>
        </w:rPr>
        <w:t xml:space="preserve"> </w:t>
      </w:r>
      <w:r>
        <w:rPr>
          <w:b/>
          <w:bCs/>
          <w:sz w:val="24"/>
          <w:szCs w:val="24"/>
        </w:rPr>
        <w:t>(__________________________)</w:t>
      </w:r>
      <w:r>
        <w:rPr>
          <w:bCs/>
          <w:sz w:val="24"/>
          <w:szCs w:val="24"/>
        </w:rPr>
        <w:t xml:space="preserve"> рублей 00 копеек без учета НДС, </w:t>
      </w:r>
      <w:r>
        <w:rPr>
          <w:bCs/>
          <w:sz w:val="24"/>
          <w:szCs w:val="24"/>
          <w:shd w:fill="auto" w:val="clear"/>
        </w:rPr>
        <w:t xml:space="preserve">при этом НДС исчисляется дополнительно по ставке, установленной ст. 164 Налогового Кодекса РФ. </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производство и / или приобретение Товара;</w:t>
      </w:r>
    </w:p>
    <w:p>
      <w:pPr>
        <w:pStyle w:val="ListParagraph"/>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и размещение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Normal"/>
        <w:widowControl w:val="false"/>
        <w:numPr>
          <w:ilvl w:val="0"/>
          <w:numId w:val="0"/>
        </w:numPr>
        <w:shd w:val="clear" w:color="auto" w:fill="FFFFFF"/>
        <w:tabs>
          <w:tab w:val="clear" w:pos="709"/>
          <w:tab w:val="left" w:pos="675" w:leader="none"/>
          <w:tab w:val="left" w:pos="964" w:leader="none"/>
        </w:tabs>
        <w:suppressAutoHyphens w:val="true"/>
        <w:bidi w:val="0"/>
        <w:spacing w:before="0" w:after="0"/>
        <w:ind w:left="0" w:right="0" w:hanging="0"/>
        <w:jc w:val="both"/>
        <w:rPr/>
      </w:pPr>
      <w:r>
        <w:rPr>
          <w:sz w:val="24"/>
          <w:szCs w:val="24"/>
        </w:rPr>
        <w:t xml:space="preserve">        </w:t>
      </w:r>
      <w:r>
        <w:rPr>
          <w:sz w:val="24"/>
          <w:szCs w:val="24"/>
        </w:rPr>
        <w:t>2.4.1. Платеж за Товар в размере 100 % (сто процентов) от стоимости Товара выплачивается Поставщику в течение 7 (семи) рабочих дней с даты подписания УПД, при условии получения Покупателем счета, выставленного Поставщиком, и с учетом пункта 2.4.2 Договора.</w:t>
      </w:r>
    </w:p>
    <w:p>
      <w:pPr>
        <w:pStyle w:val="Normal"/>
        <w:widowControl w:val="false"/>
        <w:numPr>
          <w:ilvl w:val="0"/>
          <w:numId w:val="0"/>
        </w:numPr>
        <w:shd w:val="clear" w:color="auto" w:fill="FFFFFF"/>
        <w:tabs>
          <w:tab w:val="clear" w:pos="709"/>
          <w:tab w:val="left" w:pos="675" w:leader="none"/>
          <w:tab w:val="left" w:pos="964" w:leader="none"/>
        </w:tabs>
        <w:suppressAutoHyphens w:val="true"/>
        <w:bidi w:val="0"/>
        <w:spacing w:before="0" w:after="0"/>
        <w:ind w:left="0" w:right="0" w:hanging="0"/>
        <w:jc w:val="both"/>
        <w:rPr/>
      </w:pPr>
      <w:r>
        <w:rPr>
          <w:sz w:val="24"/>
          <w:szCs w:val="24"/>
        </w:rPr>
        <w:t xml:space="preserve">     </w:t>
      </w:r>
      <w:r>
        <w:rPr>
          <w:sz w:val="24"/>
          <w:szCs w:val="24"/>
        </w:rPr>
        <w:t>2.4.2. 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ListParagraph"/>
        <w:numPr>
          <w:ilvl w:val="1"/>
          <w:numId w:val="2"/>
        </w:numPr>
        <w:tabs>
          <w:tab w:val="clear" w:pos="709"/>
          <w:tab w:val="left" w:pos="1134" w:leader="none"/>
        </w:tabs>
        <w:ind w:left="0" w:firstLine="709"/>
        <w:jc w:val="both"/>
        <w:rPr>
          <w:sz w:val="24"/>
          <w:szCs w:val="24"/>
        </w:rPr>
      </w:pPr>
      <w:r>
        <w:rPr>
          <w:sz w:val="24"/>
          <w:szCs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szCs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ListParagraph"/>
        <w:numPr>
          <w:ilvl w:val="0"/>
          <w:numId w:val="0"/>
        </w:numPr>
        <w:tabs>
          <w:tab w:val="clear" w:pos="709"/>
          <w:tab w:val="left" w:pos="1134" w:leader="none"/>
        </w:tabs>
        <w:ind w:left="0" w:hanging="0"/>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ListParagraph"/>
        <w:shd w:val="clear" w:color="auto" w:fill="FFFFFF"/>
        <w:ind w:left="709" w:hanging="0"/>
        <w:jc w:val="both"/>
        <w:rPr>
          <w:sz w:val="24"/>
          <w:szCs w:val="24"/>
          <w:highlight w:val="lightGray"/>
        </w:rPr>
      </w:pPr>
      <w:r>
        <w:rPr>
          <w:sz w:val="24"/>
          <w:szCs w:val="24"/>
          <w:highlight w:val="lightGray"/>
        </w:rPr>
      </w:r>
    </w:p>
    <w:p>
      <w:pPr>
        <w:pStyle w:val="Normal"/>
        <w:numPr>
          <w:ilvl w:val="0"/>
          <w:numId w:val="2"/>
        </w:numPr>
        <w:shd w:val="clear" w:color="auto" w:fill="FFFFFF"/>
        <w:tabs>
          <w:tab w:val="clear" w:pos="709"/>
          <w:tab w:val="left" w:pos="284" w:leader="none"/>
        </w:tabs>
        <w:ind w:left="0" w:hanging="0"/>
        <w:jc w:val="center"/>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bCs/>
          <w:sz w:val="24"/>
          <w:szCs w:val="24"/>
        </w:rPr>
        <w:t xml:space="preserve">Поставка товара осуществляется в Место поставки товара, указанное в п. 1.3. Договора. </w:t>
      </w:r>
    </w:p>
    <w:p>
      <w:pPr>
        <w:pStyle w:val="ListParagraph"/>
        <w:widowControl/>
        <w:numPr>
          <w:ilvl w:val="1"/>
          <w:numId w:val="2"/>
        </w:numPr>
        <w:shd w:val="clear" w:color="auto" w:fill="FFFFFF"/>
        <w:tabs>
          <w:tab w:val="clear" w:pos="709"/>
          <w:tab w:val="left" w:pos="1134" w:leader="none"/>
        </w:tabs>
        <w:ind w:left="0" w:firstLine="709"/>
        <w:jc w:val="both"/>
        <w:rPr/>
      </w:pPr>
      <w:r>
        <w:rPr>
          <w:bCs/>
          <w:sz w:val="24"/>
          <w:szCs w:val="24"/>
        </w:rPr>
        <w:t>Качество, комплектность, количество и ассортимент поставляемого по Договору Товара должны соответствовать требованиям Договора,</w:t>
      </w:r>
      <w:r>
        <w:rPr>
          <w:b/>
          <w:bCs/>
          <w:sz w:val="24"/>
          <w:szCs w:val="24"/>
        </w:rPr>
        <w:t xml:space="preserve"> </w:t>
      </w:r>
      <w:r>
        <w:rPr>
          <w:bCs/>
          <w:sz w:val="24"/>
          <w:szCs w:val="24"/>
        </w:rPr>
        <w:t xml:space="preserve">в том числе, указанным в Спецификации (Приложение № 1 к Договору), а также Применимого права. </w:t>
      </w:r>
    </w:p>
    <w:p>
      <w:pPr>
        <w:pStyle w:val="ListParagraph"/>
        <w:widowControl/>
        <w:numPr>
          <w:ilvl w:val="1"/>
          <w:numId w:val="2"/>
        </w:numPr>
        <w:shd w:val="clear" w:color="auto" w:fill="FFFFFF"/>
        <w:tabs>
          <w:tab w:val="clear" w:pos="709"/>
          <w:tab w:val="left" w:pos="1134" w:leader="none"/>
        </w:tabs>
        <w:ind w:left="0" w:firstLine="709"/>
        <w:jc w:val="both"/>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9"/>
          <w:tab w:val="left" w:pos="1134" w:leader="none"/>
        </w:tabs>
        <w:ind w:left="0" w:firstLine="709"/>
        <w:jc w:val="both"/>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189" w:leader="none"/>
        </w:tabs>
        <w:ind w:left="0" w:firstLine="709"/>
        <w:jc w:val="both"/>
        <w:rPr/>
      </w:pPr>
      <w:r>
        <w:rPr>
          <w:sz w:val="24"/>
          <w:szCs w:val="24"/>
        </w:rPr>
        <w:t>сертификат качества в 1 (одном) экз.;</w:t>
      </w:r>
    </w:p>
    <w:p>
      <w:pPr>
        <w:pStyle w:val="Normal"/>
        <w:numPr>
          <w:ilvl w:val="0"/>
          <w:numId w:val="3"/>
        </w:numPr>
        <w:tabs>
          <w:tab w:val="clear" w:pos="709"/>
          <w:tab w:val="left" w:pos="1189" w:leader="none"/>
        </w:tabs>
        <w:ind w:left="0" w:firstLine="709"/>
        <w:jc w:val="both"/>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9"/>
          <w:tab w:val="left" w:pos="1189" w:leader="none"/>
        </w:tabs>
        <w:ind w:left="0" w:firstLine="709"/>
        <w:jc w:val="both"/>
        <w:rPr/>
      </w:pPr>
      <w:r>
        <w:rPr>
          <w:sz w:val="24"/>
          <w:szCs w:val="24"/>
        </w:rPr>
        <w:t>УПД в 2 (двух) экз.;</w:t>
      </w:r>
    </w:p>
    <w:p>
      <w:pPr>
        <w:pStyle w:val="Normal"/>
        <w:numPr>
          <w:ilvl w:val="0"/>
          <w:numId w:val="3"/>
        </w:numPr>
        <w:shd w:val="clear" w:color="auto" w:fill="FFFFFF"/>
        <w:tabs>
          <w:tab w:val="clear" w:pos="709"/>
          <w:tab w:val="left" w:pos="1189" w:leader="none"/>
        </w:tabs>
        <w:ind w:left="0" w:firstLine="709"/>
        <w:jc w:val="both"/>
        <w:rPr/>
      </w:pPr>
      <w:r>
        <w:rPr>
          <w:sz w:val="24"/>
          <w:szCs w:val="24"/>
        </w:rPr>
        <w:t>акт приема - передачи продукции в 2 (двух) экз.;</w:t>
      </w:r>
    </w:p>
    <w:p>
      <w:pPr>
        <w:pStyle w:val="Normal"/>
        <w:numPr>
          <w:ilvl w:val="0"/>
          <w:numId w:val="3"/>
        </w:numPr>
        <w:shd w:val="clear" w:color="auto" w:fill="FFFFFF"/>
        <w:tabs>
          <w:tab w:val="clear" w:pos="709"/>
          <w:tab w:val="left" w:pos="1189" w:leader="none"/>
        </w:tabs>
        <w:ind w:left="0" w:firstLine="709"/>
        <w:jc w:val="both"/>
        <w:rPr/>
      </w:pPr>
      <w:r>
        <w:rPr>
          <w:sz w:val="24"/>
          <w:szCs w:val="24"/>
        </w:rPr>
        <w:t>счета на оплату окончательных платежей в 1 (один) экз.</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widowControl/>
        <w:shd w:val="clear" w:color="auto" w:fill="FFFFFF"/>
        <w:tabs>
          <w:tab w:val="clear" w:pos="709"/>
          <w:tab w:val="left" w:pos="1134" w:leader="none"/>
          <w:tab w:val="left" w:pos="1418" w:leader="none"/>
        </w:tabs>
        <w:ind w:left="0" w:firstLine="680"/>
        <w:jc w:val="both"/>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bookmarkStart w:id="0"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0"/>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firstLine="709"/>
        <w:jc w:val="both"/>
        <w:rPr/>
      </w:pPr>
      <w:r>
        <w:rPr>
          <w:sz w:val="24"/>
          <w:szCs w:val="24"/>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и в Заявке. </w:t>
      </w:r>
    </w:p>
    <w:p>
      <w:pPr>
        <w:pStyle w:val="ListParagraph"/>
        <w:shd w:val="clear" w:color="auto" w:fill="FFFFFF"/>
        <w:tabs>
          <w:tab w:val="clear" w:pos="709"/>
          <w:tab w:val="left" w:pos="1418" w:leader="none"/>
        </w:tabs>
        <w:ind w:left="0" w:firstLine="709"/>
        <w:jc w:val="both"/>
        <w:rPr/>
      </w:pPr>
      <w:r>
        <w:rPr>
          <w:bCs/>
          <w:sz w:val="24"/>
          <w:szCs w:val="24"/>
        </w:rPr>
        <w:t xml:space="preserve">Стоимость тары и упаковки включена в стоимость Товара. Тара и упаковка возврату не подлежат.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sz w:val="24"/>
          <w:szCs w:val="24"/>
        </w:rPr>
        <w:t xml:space="preserve">Погрузка, доставка, разгрузка </w:t>
      </w:r>
      <w:r>
        <w:rPr>
          <w:bCs/>
          <w:sz w:val="24"/>
          <w:szCs w:val="24"/>
        </w:rPr>
        <w:t>осуществляется</w:t>
      </w:r>
      <w:r>
        <w:rPr>
          <w:sz w:val="24"/>
          <w:szCs w:val="24"/>
        </w:rPr>
        <w:t xml:space="preserve"> Поставщиком. Стоимость погрузки, доставки, разгрузки включена в Цену Договора.</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418" w:leader="none"/>
        </w:tabs>
        <w:ind w:left="0" w:firstLine="709"/>
        <w:jc w:val="both"/>
        <w:rPr/>
      </w:pPr>
      <w:bookmarkStart w:id="1" w:name="_Ref361396594"/>
      <w:r>
        <w:rPr>
          <w:sz w:val="24"/>
          <w:szCs w:val="24"/>
        </w:rPr>
        <w:t>Датой поставки Товара является дата подписания Сторонами УПД.</w:t>
      </w:r>
      <w:bookmarkEnd w:id="1"/>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pPr>
      <w:r>
        <w:rPr>
          <w:sz w:val="24"/>
          <w:szCs w:val="24"/>
        </w:rPr>
        <w:t xml:space="preserve">Приемка Товара осуществляется Покупателем в дату поставки Товара в присутствии представителя Поставщика. </w:t>
      </w:r>
    </w:p>
    <w:p>
      <w:pPr>
        <w:pStyle w:val="ListParagraph"/>
        <w:numPr>
          <w:ilvl w:val="1"/>
          <w:numId w:val="2"/>
        </w:numPr>
        <w:tabs>
          <w:tab w:val="clear" w:pos="709"/>
          <w:tab w:val="left" w:pos="1418" w:leader="none"/>
        </w:tabs>
        <w:ind w:left="0" w:firstLine="709"/>
        <w:jc w:val="both"/>
        <w:rPr/>
      </w:pPr>
      <w:r>
        <w:rPr>
          <w:sz w:val="24"/>
          <w:szCs w:val="24"/>
        </w:rPr>
        <w:t>Если при передаче Товара Покупателю будет обнаружено несоответствие Товара требованиям Договора, Покупатель вправе отказаться от получения Товара, сделав соответствующую отметку в УПД.</w:t>
      </w:r>
    </w:p>
    <w:p>
      <w:pPr>
        <w:pStyle w:val="ListParagraph"/>
        <w:numPr>
          <w:ilvl w:val="1"/>
          <w:numId w:val="2"/>
        </w:numPr>
        <w:tabs>
          <w:tab w:val="clear" w:pos="709"/>
          <w:tab w:val="left" w:pos="1418" w:leader="none"/>
        </w:tabs>
        <w:ind w:left="0" w:firstLine="709"/>
        <w:jc w:val="both"/>
        <w:rPr/>
      </w:pPr>
      <w:r>
        <w:rPr>
          <w:sz w:val="24"/>
          <w:szCs w:val="24"/>
        </w:rPr>
        <w:t xml:space="preserve">В случае обнаружения внутри тары и упаковки недопоставки, некомплектности, недостатков, несоответствий и/или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pPr>
      <w:bookmarkStart w:id="2" w:name="_Ref361408232"/>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bookmarkEnd w:id="2"/>
    </w:p>
    <w:p>
      <w:pPr>
        <w:pStyle w:val="ListParagraph"/>
        <w:numPr>
          <w:ilvl w:val="1"/>
          <w:numId w:val="2"/>
        </w:numPr>
        <w:shd w:val="clear" w:color="auto" w:fill="FFFFFF"/>
        <w:tabs>
          <w:tab w:val="clear" w:pos="709"/>
          <w:tab w:val="left" w:pos="1418" w:leader="none"/>
          <w:tab w:val="left" w:pos="1851" w:leader="none"/>
        </w:tabs>
        <w:ind w:left="0" w:firstLine="709"/>
        <w:jc w:val="both"/>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3.13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УПД.</w:t>
      </w:r>
    </w:p>
    <w:p>
      <w:pPr>
        <w:pStyle w:val="Normal"/>
        <w:widowControl/>
        <w:shd w:val="clear" w:color="auto" w:fill="FFFFFF"/>
        <w:tabs>
          <w:tab w:val="clear" w:pos="709"/>
          <w:tab w:val="left" w:pos="1134" w:leader="none"/>
          <w:tab w:val="left" w:pos="1418" w:leader="none"/>
        </w:tabs>
        <w:ind w:firstLine="709"/>
        <w:jc w:val="both"/>
        <w:rPr>
          <w:sz w:val="24"/>
          <w:szCs w:val="24"/>
        </w:rPr>
      </w:pPr>
      <w:r>
        <w:rPr>
          <w:sz w:val="24"/>
          <w:szCs w:val="24"/>
        </w:rPr>
      </w:r>
    </w:p>
    <w:p>
      <w:pPr>
        <w:pStyle w:val="Normal"/>
        <w:numPr>
          <w:ilvl w:val="0"/>
          <w:numId w:val="2"/>
        </w:numPr>
        <w:shd w:val="clear" w:color="auto" w:fill="FFFFFF"/>
        <w:ind w:left="0" w:hanging="0"/>
        <w:jc w:val="center"/>
        <w:rPr/>
      </w:pPr>
      <w:r>
        <w:rPr>
          <w:b/>
          <w:bCs/>
          <w:sz w:val="24"/>
          <w:szCs w:val="24"/>
        </w:rPr>
        <w:t>Ответственность Сторон</w:t>
      </w:r>
    </w:p>
    <w:p>
      <w:pPr>
        <w:pStyle w:val="ListParagraph"/>
        <w:numPr>
          <w:ilvl w:val="1"/>
          <w:numId w:val="2"/>
        </w:numPr>
        <w:tabs>
          <w:tab w:val="clear" w:pos="709"/>
          <w:tab w:val="left" w:pos="1276" w:leader="none"/>
        </w:tabs>
        <w:ind w:left="0" w:firstLine="709"/>
        <w:jc w:val="both"/>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tabs>
          <w:tab w:val="clear" w:pos="709"/>
          <w:tab w:val="left" w:pos="1276" w:leader="none"/>
        </w:tabs>
        <w:ind w:left="0" w:firstLine="709"/>
        <w:jc w:val="both"/>
        <w:rPr/>
      </w:pPr>
      <w:r>
        <w:rPr>
          <w:bCs/>
          <w:sz w:val="24"/>
          <w:szCs w:val="24"/>
        </w:rPr>
        <w:t xml:space="preserve">В случае нарушения Покупателем сроков оплаты поставленного товара,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p>
    <w:p>
      <w:pPr>
        <w:pStyle w:val="Normal"/>
        <w:widowControl/>
        <w:numPr>
          <w:ilvl w:val="1"/>
          <w:numId w:val="2"/>
        </w:numPr>
        <w:tabs>
          <w:tab w:val="clear" w:pos="709"/>
          <w:tab w:val="left" w:pos="1276" w:leader="none"/>
        </w:tabs>
        <w:ind w:left="0" w:firstLine="709"/>
        <w:jc w:val="both"/>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pPr>
        <w:pStyle w:val="ListParagraph"/>
        <w:widowControl/>
        <w:numPr>
          <w:ilvl w:val="1"/>
          <w:numId w:val="2"/>
        </w:numPr>
        <w:shd w:val="clear" w:color="auto" w:fill="FFFFFF"/>
        <w:tabs>
          <w:tab w:val="clear" w:pos="709"/>
          <w:tab w:val="left" w:pos="1276" w:leader="none"/>
        </w:tabs>
        <w:ind w:left="0" w:firstLine="709"/>
        <w:jc w:val="both"/>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№2 к Договору. </w:t>
      </w:r>
    </w:p>
    <w:p>
      <w:pPr>
        <w:pStyle w:val="ListParagraph"/>
        <w:widowControl/>
        <w:numPr>
          <w:ilvl w:val="1"/>
          <w:numId w:val="2"/>
        </w:numPr>
        <w:shd w:val="clear" w:color="auto" w:fill="FFFFFF"/>
        <w:tabs>
          <w:tab w:val="clear" w:pos="709"/>
          <w:tab w:val="left" w:pos="1276" w:leader="none"/>
        </w:tabs>
        <w:ind w:left="0" w:firstLine="709"/>
        <w:jc w:val="both"/>
        <w:rPr/>
      </w:pPr>
      <w:r>
        <w:rPr>
          <w:bCs/>
          <w:sz w:val="24"/>
          <w:szCs w:val="24"/>
        </w:rPr>
        <w:t>Поставщик несет ответственность перед Покупателем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shd w:val="clear" w:color="auto" w:fill="FFFFFF"/>
        <w:tabs>
          <w:tab w:val="clear" w:pos="709"/>
          <w:tab w:val="left" w:pos="1276" w:leader="none"/>
        </w:tabs>
        <w:ind w:left="0" w:firstLine="709"/>
        <w:jc w:val="both"/>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9"/>
          <w:tab w:val="left" w:pos="1276" w:leader="none"/>
        </w:tabs>
        <w:ind w:left="0" w:firstLine="709"/>
        <w:jc w:val="both"/>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9"/>
          <w:tab w:val="left" w:pos="1276" w:leader="none"/>
        </w:tabs>
        <w:ind w:left="0" w:firstLine="709"/>
        <w:jc w:val="both"/>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9"/>
          <w:tab w:val="left" w:pos="1276" w:leader="none"/>
        </w:tabs>
        <w:ind w:left="0" w:firstLine="709"/>
        <w:jc w:val="both"/>
        <w:rPr/>
      </w:pPr>
      <w:r>
        <w:rPr>
          <w:bCs/>
          <w:sz w:val="24"/>
          <w:szCs w:val="24"/>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s>
        <w:ind w:left="0" w:hanging="0"/>
        <w:jc w:val="center"/>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left" w:pos="709" w:leader="none"/>
          <w:tab w:val="left" w:pos="1136" w:leader="none"/>
        </w:tabs>
        <w:ind w:left="0" w:firstLine="709"/>
        <w:jc w:val="both"/>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left" w:pos="709" w:leader="none"/>
          <w:tab w:val="left" w:pos="1136" w:leader="none"/>
        </w:tabs>
        <w:ind w:left="0" w:firstLine="709"/>
        <w:jc w:val="both"/>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9"/>
          <w:tab w:val="left" w:pos="1189" w:leader="none"/>
        </w:tabs>
        <w:ind w:left="0" w:firstLine="709"/>
        <w:jc w:val="both"/>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9"/>
          <w:tab w:val="left" w:pos="1189" w:leader="none"/>
        </w:tabs>
        <w:ind w:left="0" w:firstLine="709"/>
        <w:jc w:val="both"/>
        <w:rPr/>
      </w:pPr>
      <w:r>
        <w:rPr>
          <w:bCs/>
          <w:sz w:val="24"/>
          <w:szCs w:val="24"/>
        </w:rPr>
        <w:t>учетные регистры бухгалтерского учета;</w:t>
      </w:r>
    </w:p>
    <w:p>
      <w:pPr>
        <w:pStyle w:val="Normal"/>
        <w:widowControl/>
        <w:numPr>
          <w:ilvl w:val="0"/>
          <w:numId w:val="5"/>
        </w:numPr>
        <w:tabs>
          <w:tab w:val="clear" w:pos="709"/>
          <w:tab w:val="left" w:pos="1189" w:leader="none"/>
        </w:tabs>
        <w:ind w:left="0" w:firstLine="709"/>
        <w:jc w:val="both"/>
        <w:rPr/>
      </w:pPr>
      <w:r>
        <w:rPr>
          <w:bCs/>
          <w:sz w:val="24"/>
          <w:szCs w:val="24"/>
        </w:rPr>
        <w:t>бизнес-планы;</w:t>
      </w:r>
    </w:p>
    <w:p>
      <w:pPr>
        <w:pStyle w:val="Normal"/>
        <w:widowControl/>
        <w:numPr>
          <w:ilvl w:val="0"/>
          <w:numId w:val="5"/>
        </w:numPr>
        <w:tabs>
          <w:tab w:val="clear" w:pos="709"/>
          <w:tab w:val="left" w:pos="1189" w:leader="none"/>
        </w:tabs>
        <w:ind w:left="0" w:firstLine="709"/>
        <w:jc w:val="both"/>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9"/>
          <w:tab w:val="left" w:pos="1136" w:leader="none"/>
        </w:tabs>
        <w:ind w:left="0" w:firstLine="709"/>
        <w:jc w:val="both"/>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9"/>
          <w:tab w:val="left" w:pos="1136" w:leader="none"/>
        </w:tabs>
        <w:ind w:left="0" w:firstLine="709"/>
        <w:jc w:val="both"/>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9"/>
          <w:tab w:val="left" w:pos="1136" w:leader="none"/>
        </w:tabs>
        <w:ind w:left="0" w:firstLine="709"/>
        <w:jc w:val="both"/>
        <w:rPr/>
      </w:pPr>
      <w:r>
        <w:rPr>
          <w:bCs/>
          <w:sz w:val="24"/>
          <w:szCs w:val="24"/>
        </w:rPr>
        <w:t>сведения о Поставщиках, поставщиках оборудования и материалов, а также о покупателях продукции Покупателя и их аффилированных лицах;</w:t>
      </w:r>
    </w:p>
    <w:p>
      <w:pPr>
        <w:pStyle w:val="Normal"/>
        <w:widowControl/>
        <w:numPr>
          <w:ilvl w:val="0"/>
          <w:numId w:val="5"/>
        </w:numPr>
        <w:tabs>
          <w:tab w:val="clear" w:pos="709"/>
          <w:tab w:val="left" w:pos="1136" w:leader="none"/>
        </w:tabs>
        <w:ind w:left="0" w:firstLine="709"/>
        <w:jc w:val="both"/>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9"/>
          <w:tab w:val="left" w:pos="1136" w:leader="none"/>
        </w:tabs>
        <w:ind w:left="0" w:firstLine="709"/>
        <w:jc w:val="both"/>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pPr>
      <w:bookmarkStart w:id="3"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3"/>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5.6.7 Договора.</w:t>
      </w:r>
    </w:p>
    <w:p>
      <w:pPr>
        <w:pStyle w:val="ListParagraph"/>
        <w:widowControl/>
        <w:numPr>
          <w:ilvl w:val="2"/>
          <w:numId w:val="2"/>
        </w:numPr>
        <w:shd w:val="clear" w:color="auto" w:fill="FFFFFF"/>
        <w:tabs>
          <w:tab w:val="clear" w:pos="709"/>
          <w:tab w:val="left" w:pos="1418" w:leader="none"/>
        </w:tabs>
        <w:ind w:left="0" w:firstLine="709"/>
        <w:jc w:val="both"/>
        <w:rPr/>
      </w:pPr>
      <w:r>
        <w:rPr>
          <w:bCs/>
          <w:sz w:val="24"/>
          <w:szCs w:val="24"/>
        </w:rPr>
        <w:t>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pPr>
      <w:bookmarkStart w:id="4" w:name="_Ref361337832"/>
      <w:r>
        <w:rPr>
          <w:bCs/>
          <w:sz w:val="24"/>
          <w:szCs w:val="24"/>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4"/>
    </w:p>
    <w:p>
      <w:pPr>
        <w:pStyle w:val="ListParagraph"/>
        <w:widowControl/>
        <w:numPr>
          <w:ilvl w:val="2"/>
          <w:numId w:val="2"/>
        </w:numPr>
        <w:shd w:val="clear" w:color="auto" w:fill="FFFFFF"/>
        <w:tabs>
          <w:tab w:val="clear" w:pos="709"/>
          <w:tab w:val="left" w:pos="1418" w:leader="none"/>
        </w:tabs>
        <w:ind w:left="0" w:firstLine="709"/>
        <w:jc w:val="both"/>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pPr>
      <w:bookmarkStart w:id="5" w:name="_Ref361337863"/>
      <w:r>
        <w:rPr>
          <w:bCs/>
          <w:sz w:val="24"/>
          <w:szCs w:val="24"/>
        </w:rPr>
        <w:t>Поставщик, нарушивший условия настоящего раздела Договора, возмещает Покупателю убытки, вызванные таким нарушением, в течение 10 (десяти) календарных дней с даты получения соответствующего письменного требования Покупателя.</w:t>
      </w:r>
      <w:bookmarkEnd w:id="5"/>
    </w:p>
    <w:p>
      <w:pPr>
        <w:pStyle w:val="Normal"/>
        <w:numPr>
          <w:ilvl w:val="1"/>
          <w:numId w:val="2"/>
        </w:numPr>
        <w:shd w:val="clear" w:color="auto" w:fill="FFFFFF"/>
        <w:tabs>
          <w:tab w:val="clear" w:pos="709"/>
          <w:tab w:val="left" w:pos="1134" w:leader="none"/>
        </w:tabs>
        <w:ind w:left="0" w:firstLine="709"/>
        <w:jc w:val="both"/>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numPr>
          <w:ilvl w:val="0"/>
          <w:numId w:val="2"/>
        </w:numPr>
        <w:shd w:val="clear" w:color="auto" w:fill="FFFFFF"/>
        <w:tabs>
          <w:tab w:val="clear" w:pos="709"/>
          <w:tab w:val="left" w:pos="426" w:leader="none"/>
        </w:tabs>
        <w:ind w:left="0" w:hanging="0"/>
        <w:jc w:val="center"/>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bCs/>
          <w:sz w:val="24"/>
          <w:szCs w:val="24"/>
        </w:rPr>
        <w:t xml:space="preserve">Споры, указанные в пункте 6.1 Договора, которые не были урегулированы Сторонами путем переговоров, подлежат разрешению в Арбитражном суде Амурской области в соответствии с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12.8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ind w:left="0" w:hanging="0"/>
        <w:jc w:val="center"/>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2"/>
        </w:numPr>
        <w:shd w:val="clear" w:color="auto" w:fill="FFFFFF"/>
        <w:tabs>
          <w:tab w:val="clear" w:pos="709"/>
          <w:tab w:val="left" w:pos="1134" w:leader="none"/>
        </w:tabs>
        <w:ind w:left="0" w:firstLine="709"/>
        <w:jc w:val="both"/>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2"/>
        </w:numPr>
        <w:shd w:val="clear" w:color="auto" w:fill="FFFFFF"/>
        <w:tabs>
          <w:tab w:val="clear" w:pos="709"/>
          <w:tab w:val="left" w:pos="1134" w:leader="none"/>
        </w:tabs>
        <w:ind w:left="0" w:firstLine="709"/>
        <w:jc w:val="both"/>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2"/>
        </w:numPr>
        <w:shd w:val="clear" w:color="auto" w:fill="FFFFFF"/>
        <w:tabs>
          <w:tab w:val="clear" w:pos="709"/>
          <w:tab w:val="left" w:pos="1134" w:leader="none"/>
        </w:tabs>
        <w:ind w:left="0" w:firstLine="709"/>
        <w:jc w:val="both"/>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2"/>
        </w:numPr>
        <w:shd w:val="clear" w:color="auto" w:fill="FFFFFF"/>
        <w:tabs>
          <w:tab w:val="clear" w:pos="709"/>
          <w:tab w:val="left" w:pos="1134" w:leader="none"/>
        </w:tabs>
        <w:ind w:left="0" w:firstLine="709"/>
        <w:jc w:val="both"/>
        <w:rPr/>
      </w:pPr>
      <w:r>
        <w:rPr>
          <w:bCs/>
          <w:color w:val="000000"/>
          <w:sz w:val="24"/>
          <w:szCs w:val="24"/>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ListParagraph"/>
        <w:numPr>
          <w:ilvl w:val="1"/>
          <w:numId w:val="2"/>
        </w:numPr>
        <w:shd w:val="clear" w:color="auto" w:fill="FFFFFF"/>
        <w:tabs>
          <w:tab w:val="clear" w:pos="709"/>
          <w:tab w:val="left" w:pos="1134" w:leader="none"/>
        </w:tabs>
        <w:ind w:left="0" w:firstLine="709"/>
        <w:jc w:val="both"/>
        <w:rPr/>
      </w:pPr>
      <w:r>
        <w:rPr>
          <w:bCs/>
          <w:color w:val="000000"/>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numPr>
          <w:ilvl w:val="1"/>
          <w:numId w:val="2"/>
        </w:numPr>
        <w:shd w:val="clear" w:color="auto" w:fill="FFFFFF"/>
        <w:tabs>
          <w:tab w:val="clear" w:pos="709"/>
          <w:tab w:val="left" w:pos="1134" w:leader="none"/>
        </w:tabs>
        <w:ind w:left="0" w:firstLine="709"/>
        <w:jc w:val="both"/>
        <w:rPr/>
      </w:pPr>
      <w:r>
        <w:rPr>
          <w:color w:val="000000"/>
          <w:sz w:val="24"/>
          <w:szCs w:val="24"/>
        </w:rPr>
        <w:t>Каналы связи Линия доверия Группы РусГидро:</w:t>
      </w:r>
    </w:p>
    <w:p>
      <w:pPr>
        <w:pStyle w:val="ListParagraph"/>
        <w:numPr>
          <w:ilvl w:val="2"/>
          <w:numId w:val="2"/>
        </w:numPr>
        <w:shd w:val="clear" w:color="auto" w:fill="FFFFFF"/>
        <w:tabs>
          <w:tab w:val="clear" w:pos="709"/>
          <w:tab w:val="left" w:pos="1134" w:leader="none"/>
          <w:tab w:val="left" w:pos="1418" w:leader="none"/>
        </w:tabs>
        <w:ind w:left="0" w:firstLine="709"/>
        <w:jc w:val="both"/>
        <w:rPr/>
      </w:pPr>
      <w:r>
        <w:rPr>
          <w:sz w:val="24"/>
          <w:szCs w:val="24"/>
        </w:rPr>
        <w:t xml:space="preserve">Электронная почта: </w:t>
      </w:r>
      <w:hyperlink r:id="rId2">
        <w:r>
          <w:rPr>
            <w:rStyle w:val="Hyperlink"/>
            <w:sz w:val="24"/>
            <w:szCs w:val="24"/>
          </w:rPr>
          <w:t>ld@rushydro.ru</w:t>
        </w:r>
      </w:hyperlink>
      <w:r>
        <w:rPr>
          <w:sz w:val="24"/>
          <w:szCs w:val="24"/>
        </w:rPr>
        <w:t>.</w:t>
      </w:r>
    </w:p>
    <w:p>
      <w:pPr>
        <w:pStyle w:val="ListParagraph"/>
        <w:numPr>
          <w:ilvl w:val="2"/>
          <w:numId w:val="2"/>
        </w:numPr>
        <w:shd w:val="clear" w:color="auto" w:fill="FFFFFF"/>
        <w:tabs>
          <w:tab w:val="clear" w:pos="709"/>
          <w:tab w:val="left" w:pos="1134" w:leader="none"/>
          <w:tab w:val="left" w:pos="1418" w:leader="none"/>
        </w:tabs>
        <w:ind w:left="0" w:firstLine="709"/>
        <w:jc w:val="both"/>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2"/>
        </w:numPr>
        <w:shd w:val="clear" w:color="auto" w:fill="FFFFFF"/>
        <w:tabs>
          <w:tab w:val="clear" w:pos="709"/>
          <w:tab w:val="left" w:pos="1134" w:leader="none"/>
          <w:tab w:val="left" w:pos="1418" w:leader="none"/>
        </w:tabs>
        <w:ind w:left="0" w:firstLine="709"/>
        <w:jc w:val="both"/>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0"/>
        <w:jc w:val="center"/>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134" w:leader="none"/>
          <w:tab w:val="left" w:pos="1418" w:leader="none"/>
        </w:tabs>
        <w:ind w:left="0" w:firstLine="709"/>
        <w:jc w:val="both"/>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ind w:firstLine="709"/>
        <w:jc w:val="both"/>
        <w:rPr>
          <w:sz w:val="24"/>
          <w:szCs w:val="24"/>
        </w:rPr>
      </w:pPr>
      <w:r>
        <w:rPr>
          <w:sz w:val="24"/>
          <w:szCs w:val="24"/>
        </w:rPr>
      </w:r>
    </w:p>
    <w:p>
      <w:pPr>
        <w:pStyle w:val="Normal"/>
        <w:widowControl/>
        <w:numPr>
          <w:ilvl w:val="0"/>
          <w:numId w:val="2"/>
        </w:numPr>
        <w:shd w:val="clear" w:color="auto" w:fill="FFFFFF"/>
        <w:spacing w:before="0" w:after="0"/>
        <w:ind w:left="0" w:hanging="0"/>
        <w:contextualSpacing/>
        <w:jc w:val="center"/>
        <w:rPr/>
      </w:pPr>
      <w:r>
        <w:rPr>
          <w:b/>
          <w:bCs/>
          <w:sz w:val="24"/>
          <w:szCs w:val="24"/>
        </w:rPr>
        <w:t>Особые положения</w:t>
      </w:r>
    </w:p>
    <w:p>
      <w:pPr>
        <w:pStyle w:val="ListParagraph"/>
        <w:widowControl/>
        <w:numPr>
          <w:ilvl w:val="1"/>
          <w:numId w:val="10"/>
        </w:numPr>
        <w:shd w:val="clear" w:color="auto" w:fill="FFFFFF"/>
        <w:tabs>
          <w:tab w:val="clear" w:pos="709"/>
          <w:tab w:val="left" w:pos="1134" w:leader="none"/>
          <w:tab w:val="left" w:pos="1276" w:leader="none"/>
        </w:tabs>
        <w:ind w:left="0" w:firstLine="709"/>
        <w:jc w:val="both"/>
        <w:rPr/>
      </w:pPr>
      <w:r>
        <w:rPr>
          <w:bCs/>
          <w:sz w:val="24"/>
          <w:szCs w:val="24"/>
        </w:rPr>
        <w:t>Поставщик обязуется не привлекать и не допускать привлечения к исполнению обязательств по Договору организации:</w:t>
      </w:r>
    </w:p>
    <w:p>
      <w:pPr>
        <w:pStyle w:val="ListParagraph"/>
        <w:widowControl/>
        <w:numPr>
          <w:ilvl w:val="1"/>
          <w:numId w:val="9"/>
        </w:numPr>
        <w:shd w:val="clear" w:color="auto" w:fill="FFFFFF"/>
        <w:tabs>
          <w:tab w:val="clear" w:pos="709"/>
          <w:tab w:val="left" w:pos="1134" w:leader="none"/>
        </w:tabs>
        <w:ind w:left="0" w:firstLine="709"/>
        <w:jc w:val="both"/>
        <w:rPr/>
      </w:pPr>
      <w:r>
        <w:rPr>
          <w:bCs/>
          <w:sz w:val="24"/>
          <w:szCs w:val="24"/>
        </w:rPr>
        <w:t>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w:t>
      </w:r>
      <w:hyperlink r:id="rId3">
        <w:r>
          <w:rPr>
            <w:bCs/>
            <w:sz w:val="24"/>
            <w:szCs w:val="24"/>
          </w:rPr>
          <w:t>№18162/09</w:t>
        </w:r>
      </w:hyperlink>
      <w:r>
        <w:rPr>
          <w:bCs/>
          <w:sz w:val="24"/>
          <w:szCs w:val="24"/>
        </w:rPr>
        <w:t xml:space="preserve">и от 25.05.2010 </w:t>
      </w:r>
      <w:hyperlink r:id="rId4">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br/>
        <w:t xml:space="preserve">и / или </w:t>
      </w:r>
    </w:p>
    <w:p>
      <w:pPr>
        <w:pStyle w:val="ListParagraph"/>
        <w:widowControl/>
        <w:numPr>
          <w:ilvl w:val="1"/>
          <w:numId w:val="9"/>
        </w:numPr>
        <w:shd w:val="clear" w:color="auto" w:fill="FFFFFF"/>
        <w:tabs>
          <w:tab w:val="clear" w:pos="709"/>
          <w:tab w:val="left" w:pos="1134" w:leader="none"/>
        </w:tabs>
        <w:ind w:left="0" w:firstLine="709"/>
        <w:jc w:val="both"/>
        <w:rPr/>
      </w:pPr>
      <w:r>
        <w:rPr>
          <w:bCs/>
          <w:sz w:val="24"/>
          <w:szCs w:val="24"/>
        </w:rPr>
        <w:t xml:space="preserve">соответствующие </w:t>
      </w:r>
      <w:hyperlink r:id="rId5">
        <w:r>
          <w:rPr>
            <w:bCs/>
            <w:sz w:val="24"/>
            <w:szCs w:val="24"/>
          </w:rPr>
          <w:t>Критери</w:t>
        </w:r>
      </w:hyperlink>
      <w:r>
        <w:rPr>
          <w:bCs/>
          <w:sz w:val="24"/>
          <w:szCs w:val="24"/>
        </w:rPr>
        <w:t xml:space="preserve">ям самостоятельной оценки рисков </w:t>
        <w:br/>
        <w:t>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widowControl/>
        <w:numPr>
          <w:ilvl w:val="1"/>
          <w:numId w:val="10"/>
        </w:numPr>
        <w:shd w:val="clear" w:color="auto" w:fill="FFFFFF"/>
        <w:tabs>
          <w:tab w:val="clear" w:pos="709"/>
          <w:tab w:val="left" w:pos="1134" w:leader="none"/>
          <w:tab w:val="left" w:pos="1276" w:leader="none"/>
        </w:tabs>
        <w:ind w:left="0" w:firstLine="709"/>
        <w:jc w:val="both"/>
        <w:rPr/>
      </w:pPr>
      <w:r>
        <w:rPr>
          <w:bCs/>
          <w:sz w:val="24"/>
          <w:szCs w:val="24"/>
        </w:rPr>
        <w:t>Поставщик обязуется незамедлительно уведомить Покупателя о появлении в ходе исполнения Договора у привлеченных Поставщиком Субпоставщиков признаков недобросовестности, указанных в пункте 9.1 Договора, а также обеспечить прекращение участия таких организаций в исполнении Договора</w:t>
      </w:r>
    </w:p>
    <w:p>
      <w:pPr>
        <w:pStyle w:val="ListParagraph"/>
        <w:widowControl/>
        <w:numPr>
          <w:ilvl w:val="1"/>
          <w:numId w:val="10"/>
        </w:numPr>
        <w:shd w:val="clear" w:color="auto" w:fill="FFFFFF"/>
        <w:tabs>
          <w:tab w:val="clear" w:pos="709"/>
          <w:tab w:val="left" w:pos="1134" w:leader="none"/>
          <w:tab w:val="left" w:pos="1276" w:leader="none"/>
        </w:tabs>
        <w:ind w:left="0" w:firstLine="709"/>
        <w:jc w:val="both"/>
        <w:rPr/>
      </w:pPr>
      <w:r>
        <w:rPr>
          <w:bCs/>
          <w:sz w:val="24"/>
          <w:szCs w:val="24"/>
        </w:rPr>
        <w:t>В случае нарушения Поставщиком обязательств, установленных пунктами 9.1, 9.2 Договора, Покупатель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10"/>
        </w:numPr>
        <w:shd w:val="clear" w:color="auto" w:fill="FFFFFF"/>
        <w:tabs>
          <w:tab w:val="clear" w:pos="709"/>
          <w:tab w:val="left" w:pos="1134" w:leader="none"/>
          <w:tab w:val="left" w:pos="1276" w:leader="none"/>
        </w:tabs>
        <w:ind w:left="0" w:firstLine="709"/>
        <w:jc w:val="both"/>
        <w:rPr/>
      </w:pPr>
      <w:r>
        <w:rPr>
          <w:bCs/>
          <w:sz w:val="24"/>
          <w:szCs w:val="24"/>
        </w:rPr>
        <w:t>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9.1, 9.2 Договора.</w:t>
      </w:r>
    </w:p>
    <w:p>
      <w:pPr>
        <w:pStyle w:val="ListParagraph"/>
        <w:widowControl/>
        <w:numPr>
          <w:ilvl w:val="1"/>
          <w:numId w:val="10"/>
        </w:numPr>
        <w:shd w:val="clear" w:color="auto" w:fill="FFFFFF"/>
        <w:tabs>
          <w:tab w:val="clear" w:pos="709"/>
          <w:tab w:val="left" w:pos="1134" w:leader="none"/>
          <w:tab w:val="left" w:pos="1276" w:leader="none"/>
        </w:tabs>
        <w:ind w:left="0" w:firstLine="709"/>
        <w:jc w:val="both"/>
        <w:rPr/>
      </w:pPr>
      <w:r>
        <w:rPr>
          <w:bCs/>
          <w:sz w:val="24"/>
          <w:szCs w:val="24"/>
        </w:rPr>
        <w:t>Штраф, предусмотренный пунктом 9.4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9.3 Договора.</w:t>
      </w:r>
    </w:p>
    <w:p>
      <w:pPr>
        <w:pStyle w:val="ListParagraph"/>
        <w:widowControl/>
        <w:numPr>
          <w:ilvl w:val="1"/>
          <w:numId w:val="10"/>
        </w:numPr>
        <w:shd w:val="clear" w:color="auto" w:fill="FFFFFF"/>
        <w:tabs>
          <w:tab w:val="clear" w:pos="709"/>
          <w:tab w:val="left" w:pos="1134" w:leader="none"/>
          <w:tab w:val="left" w:pos="1276" w:leader="none"/>
        </w:tabs>
        <w:ind w:left="0" w:firstLine="709"/>
        <w:jc w:val="both"/>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9.4. Договора.</w:t>
      </w:r>
    </w:p>
    <w:p>
      <w:pPr>
        <w:pStyle w:val="ListParagraph"/>
        <w:widowControl/>
        <w:numPr>
          <w:ilvl w:val="1"/>
          <w:numId w:val="10"/>
        </w:numPr>
        <w:shd w:val="clear" w:color="auto" w:fill="FFFFFF"/>
        <w:tabs>
          <w:tab w:val="clear" w:pos="709"/>
          <w:tab w:val="left" w:pos="1134" w:leader="none"/>
          <w:tab w:val="left" w:pos="1276" w:leader="none"/>
        </w:tabs>
        <w:ind w:left="0" w:firstLine="709"/>
        <w:jc w:val="both"/>
        <w:rPr/>
      </w:pPr>
      <w:r>
        <w:rPr>
          <w:bCs/>
          <w:sz w:val="24"/>
          <w:szCs w:val="24"/>
        </w:rPr>
        <w:t>При этом Покупатель не будет считаться просрочившим и / или нарушившим свои обязательства по Договору.</w:t>
      </w:r>
    </w:p>
    <w:p>
      <w:pPr>
        <w:pStyle w:val="ListParagraph"/>
        <w:widowControl/>
        <w:numPr>
          <w:ilvl w:val="1"/>
          <w:numId w:val="10"/>
        </w:numPr>
        <w:shd w:val="clear" w:color="auto" w:fill="FFFFFF"/>
        <w:tabs>
          <w:tab w:val="clear" w:pos="709"/>
          <w:tab w:val="left" w:pos="1134" w:leader="none"/>
          <w:tab w:val="left" w:pos="1276" w:leader="none"/>
        </w:tabs>
        <w:ind w:left="0" w:firstLine="709"/>
        <w:jc w:val="both"/>
        <w:rPr/>
      </w:pPr>
      <w:bookmarkStart w:id="6" w:name="_Ref361337900"/>
      <w:r>
        <w:rPr>
          <w:bCs/>
          <w:sz w:val="24"/>
          <w:szCs w:val="24"/>
        </w:rPr>
        <w:t>Независимо от других положений Договора, положения пунктов 9.4, 9.5 Договора продолжают действовать в течение 4 (четырех) лет после его прекращения (расторжения) или исполнения.</w:t>
      </w:r>
      <w:bookmarkEnd w:id="6"/>
    </w:p>
    <w:p>
      <w:pPr>
        <w:pStyle w:val="Normal"/>
        <w:widowControl/>
        <w:shd w:val="clear" w:color="auto" w:fill="FFFFFF"/>
        <w:tabs>
          <w:tab w:val="clear" w:pos="709"/>
          <w:tab w:val="left" w:pos="1134" w:leader="none"/>
        </w:tabs>
        <w:jc w:val="both"/>
        <w:rPr>
          <w:bCs/>
          <w:sz w:val="24"/>
          <w:szCs w:val="24"/>
        </w:rPr>
      </w:pPr>
      <w:r>
        <w:rPr>
          <w:bCs/>
          <w:sz w:val="24"/>
          <w:szCs w:val="24"/>
        </w:rPr>
      </w:r>
    </w:p>
    <w:p>
      <w:pPr>
        <w:pStyle w:val="ListParagraph"/>
        <w:widowControl/>
        <w:numPr>
          <w:ilvl w:val="0"/>
          <w:numId w:val="10"/>
        </w:numPr>
        <w:shd w:val="clear" w:color="auto" w:fill="FFFFFF"/>
        <w:tabs>
          <w:tab w:val="clear" w:pos="709"/>
          <w:tab w:val="left" w:pos="426" w:leader="none"/>
        </w:tabs>
        <w:ind w:left="0" w:hanging="0"/>
        <w:jc w:val="center"/>
        <w:rPr/>
      </w:pPr>
      <w:r>
        <w:rPr>
          <w:b/>
          <w:bCs/>
          <w:sz w:val="24"/>
          <w:szCs w:val="24"/>
        </w:rPr>
        <w:t>Заверения</w:t>
      </w:r>
      <w:r>
        <w:rPr>
          <w:b/>
          <w:sz w:val="24"/>
          <w:szCs w:val="24"/>
        </w:rPr>
        <w:t xml:space="preserve"> Сторон</w:t>
      </w:r>
    </w:p>
    <w:p>
      <w:pPr>
        <w:pStyle w:val="ListParagraph"/>
        <w:widowControl/>
        <w:numPr>
          <w:ilvl w:val="1"/>
          <w:numId w:val="10"/>
        </w:numPr>
        <w:shd w:val="clear" w:color="auto" w:fill="FFFFFF"/>
        <w:tabs>
          <w:tab w:val="clear" w:pos="709"/>
          <w:tab w:val="left" w:pos="1134" w:leader="none"/>
          <w:tab w:val="left" w:pos="1418" w:leader="none"/>
        </w:tabs>
        <w:ind w:left="0" w:firstLine="709"/>
        <w:jc w:val="both"/>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6"/>
        </w:numPr>
        <w:shd w:val="clear" w:color="auto" w:fill="FFFFFF"/>
        <w:tabs>
          <w:tab w:val="left" w:pos="709" w:leader="none"/>
          <w:tab w:val="left" w:pos="1082" w:leader="none"/>
        </w:tabs>
        <w:ind w:left="0" w:firstLine="709"/>
        <w:jc w:val="both"/>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6"/>
        </w:numPr>
        <w:shd w:val="clear" w:color="auto" w:fill="FFFFFF"/>
        <w:tabs>
          <w:tab w:val="left" w:pos="709" w:leader="none"/>
          <w:tab w:val="left" w:pos="1082" w:leader="none"/>
        </w:tabs>
        <w:ind w:left="0" w:firstLine="709"/>
        <w:jc w:val="both"/>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6"/>
        </w:numPr>
        <w:shd w:val="clear" w:color="auto" w:fill="FFFFFF"/>
        <w:tabs>
          <w:tab w:val="left" w:pos="709" w:leader="none"/>
          <w:tab w:val="left" w:pos="1082" w:leader="none"/>
        </w:tabs>
        <w:ind w:left="0" w:firstLine="709"/>
        <w:jc w:val="both"/>
        <w:rPr/>
      </w:pPr>
      <w:r>
        <w:rPr>
          <w:sz w:val="24"/>
          <w:szCs w:val="24"/>
        </w:rPr>
        <w:t xml:space="preserve">она получила все корпоративные одобрения Договора органами управления </w:t>
        <w:br/>
        <w:t>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6"/>
        </w:numPr>
        <w:shd w:val="clear" w:color="auto" w:fill="FFFFFF"/>
        <w:tabs>
          <w:tab w:val="left" w:pos="709" w:leader="none"/>
          <w:tab w:val="left" w:pos="1082" w:leader="none"/>
        </w:tabs>
        <w:ind w:left="0" w:firstLine="709"/>
        <w:jc w:val="both"/>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6"/>
        </w:numPr>
        <w:shd w:val="clear" w:color="auto" w:fill="FFFFFF"/>
        <w:tabs>
          <w:tab w:val="left" w:pos="709" w:leader="none"/>
          <w:tab w:val="left" w:pos="1082" w:leader="none"/>
        </w:tabs>
        <w:ind w:left="0" w:firstLine="709"/>
        <w:jc w:val="both"/>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10"/>
        </w:numPr>
        <w:shd w:val="clear" w:color="auto" w:fill="FFFFFF"/>
        <w:tabs>
          <w:tab w:val="clear" w:pos="709"/>
          <w:tab w:val="left" w:pos="1418" w:leader="none"/>
        </w:tabs>
        <w:ind w:left="0" w:firstLine="709"/>
        <w:jc w:val="both"/>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8"/>
        </w:numPr>
        <w:shd w:val="clear" w:color="auto" w:fill="FFFFFF"/>
        <w:tabs>
          <w:tab w:val="left" w:pos="709" w:leader="none"/>
          <w:tab w:val="left" w:pos="1018" w:leader="none"/>
        </w:tabs>
        <w:ind w:left="0" w:firstLine="709"/>
        <w:jc w:val="both"/>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8"/>
        </w:numPr>
        <w:shd w:val="clear" w:color="auto" w:fill="FFFFFF"/>
        <w:tabs>
          <w:tab w:val="left" w:pos="709" w:leader="none"/>
          <w:tab w:val="left" w:pos="1018" w:leader="none"/>
        </w:tabs>
        <w:ind w:left="0" w:firstLine="709"/>
        <w:jc w:val="both"/>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8"/>
        </w:numPr>
        <w:shd w:val="clear" w:color="auto" w:fill="FFFFFF"/>
        <w:tabs>
          <w:tab w:val="left" w:pos="709" w:leader="none"/>
          <w:tab w:val="left" w:pos="1018" w:leader="none"/>
        </w:tabs>
        <w:ind w:left="0" w:firstLine="709"/>
        <w:jc w:val="both"/>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8"/>
        </w:numPr>
        <w:shd w:val="clear" w:color="auto" w:fill="FFFFFF"/>
        <w:tabs>
          <w:tab w:val="clear" w:pos="709"/>
          <w:tab w:val="left" w:pos="1018" w:leader="none"/>
        </w:tabs>
        <w:ind w:left="0" w:firstLine="709"/>
        <w:jc w:val="both"/>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7"/>
        </w:numPr>
        <w:shd w:val="clear" w:color="auto" w:fill="FFFFFF"/>
        <w:tabs>
          <w:tab w:val="clear" w:pos="709"/>
          <w:tab w:val="left" w:pos="964" w:leader="none"/>
        </w:tabs>
        <w:ind w:left="0" w:firstLine="709"/>
        <w:jc w:val="both"/>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7"/>
        </w:numPr>
        <w:shd w:val="clear" w:color="auto" w:fill="FFFFFF"/>
        <w:tabs>
          <w:tab w:val="clear" w:pos="709"/>
          <w:tab w:val="left" w:pos="1018" w:leader="none"/>
        </w:tabs>
        <w:ind w:left="0" w:firstLine="709"/>
        <w:jc w:val="both"/>
        <w:rPr/>
      </w:pPr>
      <w:r>
        <w:rPr>
          <w:sz w:val="24"/>
          <w:szCs w:val="24"/>
        </w:rPr>
        <w:t>Поставщик тщательно изучил всю информацию, связанную с Договором, 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7"/>
        </w:numPr>
        <w:shd w:val="clear" w:color="auto" w:fill="FFFFFF"/>
        <w:tabs>
          <w:tab w:val="clear" w:pos="709"/>
          <w:tab w:val="left" w:pos="1018" w:leader="none"/>
        </w:tabs>
        <w:ind w:left="0" w:firstLine="709"/>
        <w:jc w:val="both"/>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7"/>
        </w:numPr>
        <w:shd w:val="clear" w:color="auto" w:fill="FFFFFF"/>
        <w:tabs>
          <w:tab w:val="clear" w:pos="709"/>
          <w:tab w:val="left" w:pos="567" w:leader="none"/>
          <w:tab w:val="left" w:pos="964" w:leader="none"/>
        </w:tabs>
        <w:ind w:left="0" w:firstLine="709"/>
        <w:jc w:val="both"/>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Договор на указанных в нем условиях.</w:t>
      </w:r>
    </w:p>
    <w:p>
      <w:pPr>
        <w:pStyle w:val="Normal"/>
        <w:widowControl/>
        <w:numPr>
          <w:ilvl w:val="1"/>
          <w:numId w:val="10"/>
        </w:numPr>
        <w:tabs>
          <w:tab w:val="clear" w:pos="709"/>
          <w:tab w:val="left" w:pos="1418" w:leader="none"/>
        </w:tabs>
        <w:ind w:left="0" w:firstLine="709"/>
        <w:jc w:val="both"/>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10"/>
        </w:numPr>
        <w:shd w:val="clear" w:color="auto" w:fill="FFFFFF"/>
        <w:tabs>
          <w:tab w:val="clear" w:pos="709"/>
          <w:tab w:val="left" w:pos="1418" w:leader="none"/>
        </w:tabs>
        <w:ind w:left="0" w:firstLine="709"/>
        <w:jc w:val="both"/>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обязан 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10"/>
        </w:numPr>
        <w:shd w:val="clear" w:color="auto" w:fill="FFFFFF"/>
        <w:tabs>
          <w:tab w:val="clear" w:pos="709"/>
          <w:tab w:val="left" w:pos="1418" w:leader="none"/>
        </w:tabs>
        <w:ind w:left="0" w:firstLine="709"/>
        <w:jc w:val="both"/>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0" w:firstLine="709"/>
        <w:jc w:val="both"/>
        <w:rPr>
          <w:sz w:val="24"/>
          <w:szCs w:val="24"/>
        </w:rPr>
      </w:pPr>
      <w:r>
        <w:rPr>
          <w:sz w:val="24"/>
          <w:szCs w:val="24"/>
        </w:rPr>
      </w:r>
    </w:p>
    <w:p>
      <w:pPr>
        <w:pStyle w:val="ListParagraph"/>
        <w:widowControl/>
        <w:numPr>
          <w:ilvl w:val="0"/>
          <w:numId w:val="10"/>
        </w:numPr>
        <w:shd w:val="clear" w:color="auto" w:fill="FFFFFF"/>
        <w:tabs>
          <w:tab w:val="clear" w:pos="709"/>
          <w:tab w:val="left" w:pos="426" w:leader="none"/>
        </w:tabs>
        <w:ind w:left="0" w:hanging="0"/>
        <w:jc w:val="center"/>
        <w:rPr/>
      </w:pPr>
      <w:r>
        <w:rPr>
          <w:b/>
          <w:bCs/>
          <w:sz w:val="24"/>
          <w:szCs w:val="24"/>
        </w:rPr>
        <w:t>П</w:t>
      </w:r>
      <w:r>
        <w:rPr>
          <w:b/>
          <w:sz w:val="24"/>
          <w:szCs w:val="24"/>
        </w:rPr>
        <w:t>рекращение (расторжение) Договора</w:t>
      </w:r>
    </w:p>
    <w:p>
      <w:pPr>
        <w:pStyle w:val="ListParagraph"/>
        <w:widowControl/>
        <w:numPr>
          <w:ilvl w:val="1"/>
          <w:numId w:val="10"/>
        </w:numPr>
        <w:shd w:val="clear" w:color="auto" w:fill="FFFFFF"/>
        <w:tabs>
          <w:tab w:val="clear" w:pos="709"/>
          <w:tab w:val="left" w:pos="1418" w:leader="none"/>
        </w:tabs>
        <w:ind w:left="0" w:firstLine="709"/>
        <w:jc w:val="both"/>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w:t>
      </w:r>
      <w:r>
        <w:rPr>
          <w:sz w:val="24"/>
          <w:szCs w:val="24"/>
          <w:shd w:fill="auto" w:val="clear"/>
        </w:rPr>
        <w:t>нное уведомление об этом другой Стороне в порядке, предусмотренном пунктом 12.8</w:t>
      </w:r>
      <w:r>
        <w:rPr>
          <w:sz w:val="24"/>
          <w:szCs w:val="24"/>
          <w:highlight w:val="lightGray"/>
        </w:rPr>
        <w:t xml:space="preserve"> </w:t>
      </w:r>
      <w:r>
        <w:rPr>
          <w:sz w:val="24"/>
          <w:szCs w:val="24"/>
        </w:rPr>
        <w:t>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pPr>
        <w:pStyle w:val="ListParagraph"/>
        <w:widowControl/>
        <w:numPr>
          <w:ilvl w:val="1"/>
          <w:numId w:val="10"/>
        </w:numPr>
        <w:shd w:val="clear" w:color="auto" w:fill="FFFFFF"/>
        <w:tabs>
          <w:tab w:val="clear" w:pos="709"/>
          <w:tab w:val="left" w:pos="1418" w:leader="none"/>
        </w:tabs>
        <w:ind w:left="0" w:firstLine="709"/>
        <w:jc w:val="both"/>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10"/>
        </w:numPr>
        <w:shd w:val="clear" w:color="auto" w:fill="FFFFFF"/>
        <w:tabs>
          <w:tab w:val="left" w:pos="709" w:leader="none"/>
          <w:tab w:val="left" w:pos="1418" w:leader="none"/>
        </w:tabs>
        <w:ind w:left="0" w:firstLine="709"/>
        <w:jc w:val="both"/>
        <w:rPr/>
      </w:pPr>
      <w:r>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pPr>
        <w:pStyle w:val="Normal"/>
        <w:widowControl/>
        <w:shd w:val="clear" w:color="auto" w:fill="FFFFFF"/>
        <w:tabs>
          <w:tab w:val="left" w:pos="709" w:leader="none"/>
          <w:tab w:val="left" w:pos="1418" w:leader="none"/>
        </w:tabs>
        <w:jc w:val="both"/>
        <w:rPr>
          <w:sz w:val="24"/>
        </w:rPr>
      </w:pPr>
      <w:r>
        <w:rPr>
          <w:sz w:val="24"/>
        </w:rPr>
        <w:t xml:space="preserve">Стороны установили, что существенным нарушением Договора Поставщиком является: </w:t>
      </w:r>
    </w:p>
    <w:p>
      <w:pPr>
        <w:pStyle w:val="ListParagraph"/>
        <w:widowControl/>
        <w:numPr>
          <w:ilvl w:val="0"/>
          <w:numId w:val="7"/>
        </w:numPr>
        <w:shd w:val="clear" w:color="auto" w:fill="FFFFFF"/>
        <w:tabs>
          <w:tab w:val="clear" w:pos="709"/>
          <w:tab w:val="left" w:pos="390" w:leader="none"/>
          <w:tab w:val="left" w:pos="1418" w:leader="none"/>
        </w:tabs>
        <w:suppressAutoHyphens w:val="true"/>
        <w:bidi w:val="0"/>
        <w:spacing w:before="0" w:after="0"/>
        <w:ind w:left="0" w:right="0" w:firstLine="397"/>
        <w:contextualSpacing/>
        <w:jc w:val="both"/>
        <w:rPr/>
      </w:pPr>
      <w:r>
        <w:rPr>
          <w:sz w:val="24"/>
          <w:szCs w:val="24"/>
        </w:rP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30 (тридцать) календарных дней по причинам, не зависящим от Покупателя; </w:t>
      </w:r>
    </w:p>
    <w:p>
      <w:pPr>
        <w:pStyle w:val="ListParagraph"/>
        <w:widowControl/>
        <w:numPr>
          <w:ilvl w:val="0"/>
          <w:numId w:val="7"/>
        </w:numPr>
        <w:shd w:val="clear" w:color="auto" w:fill="FFFFFF"/>
        <w:tabs>
          <w:tab w:val="clear" w:pos="709"/>
          <w:tab w:val="left" w:pos="390" w:leader="none"/>
          <w:tab w:val="left" w:pos="1418" w:leader="none"/>
        </w:tabs>
        <w:suppressAutoHyphens w:val="true"/>
        <w:bidi w:val="0"/>
        <w:spacing w:before="0" w:after="0"/>
        <w:ind w:left="0" w:right="0" w:firstLine="397"/>
        <w:contextualSpacing/>
        <w:jc w:val="both"/>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w:t>
      </w:r>
    </w:p>
    <w:p>
      <w:pPr>
        <w:pStyle w:val="ListParagraph"/>
        <w:widowControl/>
        <w:numPr>
          <w:ilvl w:val="0"/>
          <w:numId w:val="7"/>
        </w:numPr>
        <w:shd w:val="clear" w:color="auto" w:fill="FFFFFF"/>
        <w:tabs>
          <w:tab w:val="clear" w:pos="709"/>
          <w:tab w:val="left" w:pos="390" w:leader="none"/>
          <w:tab w:val="left" w:pos="1418" w:leader="none"/>
        </w:tabs>
        <w:suppressAutoHyphens w:val="true"/>
        <w:bidi w:val="0"/>
        <w:spacing w:before="0" w:after="0"/>
        <w:ind w:left="0" w:right="0" w:firstLine="397"/>
        <w:contextualSpacing/>
        <w:jc w:val="both"/>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7"/>
        </w:numPr>
        <w:shd w:val="clear" w:color="auto" w:fill="FFFFFF"/>
        <w:tabs>
          <w:tab w:val="clear" w:pos="709"/>
          <w:tab w:val="left" w:pos="390" w:leader="none"/>
          <w:tab w:val="left" w:pos="1418" w:leader="none"/>
        </w:tabs>
        <w:suppressAutoHyphens w:val="true"/>
        <w:bidi w:val="0"/>
        <w:spacing w:before="0" w:after="0"/>
        <w:ind w:left="0" w:right="0" w:firstLine="397"/>
        <w:contextualSpacing/>
        <w:jc w:val="both"/>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w:t>
      </w:r>
    </w:p>
    <w:p>
      <w:pPr>
        <w:pStyle w:val="ListParagraph"/>
        <w:widowControl/>
        <w:numPr>
          <w:ilvl w:val="1"/>
          <w:numId w:val="10"/>
        </w:numPr>
        <w:shd w:val="clear" w:color="auto" w:fill="FFFFFF"/>
        <w:tabs>
          <w:tab w:val="left" w:pos="709" w:leader="none"/>
          <w:tab w:val="left" w:pos="1418" w:leader="none"/>
        </w:tabs>
        <w:ind w:left="0" w:firstLine="709"/>
        <w:jc w:val="both"/>
        <w:rPr/>
      </w:pPr>
      <w:r>
        <w:rPr>
          <w:sz w:val="24"/>
          <w:szCs w:val="24"/>
        </w:rPr>
        <w:t>В случае отказа Покупателя от Договора в случаях, предусмотренных пунктами 11.3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w:t>
      </w:r>
    </w:p>
    <w:p>
      <w:pPr>
        <w:pStyle w:val="ListParagraph"/>
        <w:widowControl/>
        <w:numPr>
          <w:ilvl w:val="1"/>
          <w:numId w:val="10"/>
        </w:numPr>
        <w:shd w:val="clear" w:color="auto" w:fill="FFFFFF"/>
        <w:tabs>
          <w:tab w:val="left" w:pos="709" w:leader="none"/>
          <w:tab w:val="left" w:pos="1418" w:leader="none"/>
        </w:tabs>
        <w:ind w:left="0" w:firstLine="709"/>
        <w:jc w:val="both"/>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10"/>
        </w:numPr>
        <w:shd w:val="clear" w:color="auto" w:fill="FFFFFF"/>
        <w:tabs>
          <w:tab w:val="left" w:pos="709" w:leader="none"/>
          <w:tab w:val="left" w:pos="1418" w:leader="none"/>
        </w:tabs>
        <w:ind w:left="0" w:firstLine="709"/>
        <w:jc w:val="both"/>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ind w:left="709" w:hanging="0"/>
        <w:jc w:val="both"/>
        <w:rPr>
          <w:sz w:val="24"/>
          <w:szCs w:val="24"/>
        </w:rPr>
      </w:pPr>
      <w:r>
        <w:rPr>
          <w:sz w:val="24"/>
          <w:szCs w:val="24"/>
        </w:rPr>
      </w:r>
    </w:p>
    <w:p>
      <w:pPr>
        <w:pStyle w:val="ListParagraph"/>
        <w:widowControl/>
        <w:numPr>
          <w:ilvl w:val="0"/>
          <w:numId w:val="10"/>
        </w:numPr>
        <w:shd w:val="clear" w:color="auto" w:fill="FFFFFF"/>
        <w:tabs>
          <w:tab w:val="clear" w:pos="709"/>
          <w:tab w:val="left" w:pos="426" w:leader="none"/>
        </w:tabs>
        <w:ind w:left="0" w:hanging="0"/>
        <w:jc w:val="center"/>
        <w:rPr/>
      </w:pPr>
      <w:r>
        <w:rPr>
          <w:b/>
          <w:bCs/>
          <w:sz w:val="24"/>
          <w:szCs w:val="24"/>
        </w:rPr>
        <w:t>Заключительные положения</w:t>
      </w:r>
    </w:p>
    <w:p>
      <w:pPr>
        <w:pStyle w:val="ListParagraph"/>
        <w:widowControl/>
        <w:numPr>
          <w:ilvl w:val="1"/>
          <w:numId w:val="10"/>
        </w:numPr>
        <w:shd w:val="clear" w:color="auto" w:fill="FFFFFF"/>
        <w:tabs>
          <w:tab w:val="clear" w:pos="709"/>
          <w:tab w:val="left" w:pos="142" w:leader="none"/>
          <w:tab w:val="left" w:pos="1418" w:leader="none"/>
        </w:tabs>
        <w:ind w:left="0" w:firstLine="709"/>
        <w:jc w:val="both"/>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ListParagraph"/>
        <w:widowControl/>
        <w:numPr>
          <w:ilvl w:val="1"/>
          <w:numId w:val="10"/>
        </w:numPr>
        <w:shd w:val="clear" w:color="auto" w:fill="FFFFFF"/>
        <w:tabs>
          <w:tab w:val="clear" w:pos="709"/>
          <w:tab w:val="left" w:pos="142" w:leader="none"/>
          <w:tab w:val="left" w:pos="1418" w:leader="none"/>
        </w:tabs>
        <w:ind w:left="0" w:firstLine="709"/>
        <w:jc w:val="both"/>
        <w:rPr/>
      </w:pPr>
      <w:r>
        <w:rPr>
          <w:sz w:val="24"/>
          <w:szCs w:val="24"/>
        </w:rPr>
        <w:t>Договор заключается в электронной форме с</w:t>
      </w:r>
      <w:r>
        <w:rPr>
          <w:i/>
          <w:sz w:val="24"/>
          <w:szCs w:val="24"/>
        </w:rPr>
        <w:t xml:space="preserve"> </w:t>
      </w:r>
      <w:r>
        <w:rPr>
          <w:sz w:val="24"/>
          <w:szCs w:val="24"/>
        </w:rPr>
        <w:t>использованием программно-аппаратных средств</w:t>
      </w:r>
      <w:r>
        <w:rPr>
          <w:i/>
          <w:sz w:val="24"/>
          <w:szCs w:val="24"/>
        </w:rPr>
        <w:t xml:space="preserve"> информационной системы электронного документооборота общего пользования</w:t>
      </w:r>
      <w:r>
        <w:rPr>
          <w:sz w:val="24"/>
          <w:szCs w:val="24"/>
        </w:rPr>
        <w:t xml:space="preserve"> путем его подписания усиленными квалифицированными электронными подписями (далее – УКЭП) уполномоченных представителей Сторон.</w:t>
      </w:r>
    </w:p>
    <w:p>
      <w:pPr>
        <w:pStyle w:val="Normal"/>
        <w:ind w:firstLine="709"/>
        <w:jc w:val="both"/>
        <w:rPr/>
      </w:pPr>
      <w:r>
        <w:rPr>
          <w:sz w:val="24"/>
          <w:szCs w:val="24"/>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widowControl/>
        <w:numPr>
          <w:ilvl w:val="1"/>
          <w:numId w:val="10"/>
        </w:numPr>
        <w:tabs>
          <w:tab w:val="clear" w:pos="709"/>
          <w:tab w:val="left" w:pos="0" w:leader="none"/>
          <w:tab w:val="left" w:pos="1418" w:leader="none"/>
        </w:tabs>
        <w:ind w:left="0" w:firstLine="709"/>
        <w:jc w:val="both"/>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12.7 Договора. </w:t>
      </w:r>
    </w:p>
    <w:p>
      <w:pPr>
        <w:pStyle w:val="ListParagraph"/>
        <w:widowControl/>
        <w:numPr>
          <w:ilvl w:val="1"/>
          <w:numId w:val="10"/>
        </w:numPr>
        <w:tabs>
          <w:tab w:val="clear" w:pos="709"/>
          <w:tab w:val="left" w:pos="0" w:leader="none"/>
          <w:tab w:val="left" w:pos="1418" w:leader="none"/>
        </w:tabs>
        <w:ind w:left="0" w:firstLine="709"/>
        <w:jc w:val="both"/>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10"/>
        </w:numPr>
        <w:tabs>
          <w:tab w:val="clear" w:pos="709"/>
          <w:tab w:val="left" w:pos="0" w:leader="none"/>
          <w:tab w:val="left" w:pos="1418" w:leader="none"/>
        </w:tabs>
        <w:ind w:left="0" w:firstLine="709"/>
        <w:jc w:val="both"/>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10"/>
        </w:numPr>
        <w:tabs>
          <w:tab w:val="clear" w:pos="709"/>
          <w:tab w:val="left" w:pos="0" w:leader="none"/>
          <w:tab w:val="left" w:pos="1418" w:leader="none"/>
        </w:tabs>
        <w:ind w:left="0" w:firstLine="709"/>
        <w:jc w:val="both"/>
        <w:rPr/>
      </w:pPr>
      <w:r>
        <w:rPr>
          <w:sz w:val="24"/>
          <w:szCs w:val="24"/>
        </w:rPr>
        <w:t xml:space="preserve">Обмен информацией между Сторонами по любым вопросам, связанным </w:t>
        <w:br/>
        <w:t>с исполнением Договора, включая уведомления и иные сообщения, осуществляется только в письменной форме в порядке, предусмотренном пунктом 12.8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10"/>
        </w:numPr>
        <w:tabs>
          <w:tab w:val="clear" w:pos="709"/>
          <w:tab w:val="left" w:pos="0" w:leader="none"/>
          <w:tab w:val="left" w:pos="1418" w:leader="none"/>
        </w:tabs>
        <w:ind w:left="0" w:firstLine="709"/>
        <w:jc w:val="both"/>
        <w:rPr/>
      </w:pPr>
      <w:bookmarkStart w:id="7" w:name="_Ref361338004"/>
      <w:r>
        <w:rPr>
          <w:sz w:val="24"/>
          <w:szCs w:val="24"/>
        </w:rPr>
        <w:t>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12.8 Договора.</w:t>
      </w:r>
      <w:bookmarkEnd w:id="7"/>
      <w:r>
        <w:rPr>
          <w:sz w:val="24"/>
          <w:szCs w:val="24"/>
        </w:rPr>
        <w:t xml:space="preserve"> </w:t>
      </w:r>
    </w:p>
    <w:p>
      <w:pPr>
        <w:pStyle w:val="ListParagraph"/>
        <w:widowControl/>
        <w:numPr>
          <w:ilvl w:val="1"/>
          <w:numId w:val="10"/>
        </w:numPr>
        <w:shd w:val="clear" w:color="auto" w:fill="FFFFFF"/>
        <w:tabs>
          <w:tab w:val="clear" w:pos="709"/>
          <w:tab w:val="left" w:pos="0" w:leader="none"/>
          <w:tab w:val="left" w:pos="1134" w:leader="none"/>
          <w:tab w:val="left" w:pos="1418" w:leader="none"/>
        </w:tabs>
        <w:ind w:left="0" w:firstLine="709"/>
        <w:jc w:val="both"/>
        <w:rPr/>
      </w:pPr>
      <w:r>
        <w:rPr>
          <w:sz w:val="24"/>
          <w:szCs w:val="24"/>
        </w:rPr>
        <w:t>Письма, уведомления и/или сообщения направляются Стороне</w:t>
      </w:r>
      <w:r>
        <w:rPr>
          <w:bCs/>
          <w:sz w:val="24"/>
          <w:szCs w:val="24"/>
        </w:rPr>
        <w:t>-</w:t>
      </w:r>
      <w:r>
        <w:rPr>
          <w:sz w:val="24"/>
          <w:szCs w:val="24"/>
        </w:rPr>
        <w:t>получателю по адресу ее места нахождения, указанному в разделе 14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10"/>
        </w:numPr>
        <w:tabs>
          <w:tab w:val="clear" w:pos="709"/>
          <w:tab w:val="left" w:pos="1414" w:leader="none"/>
        </w:tabs>
        <w:ind w:left="0" w:firstLine="709"/>
        <w:jc w:val="both"/>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10"/>
        </w:numPr>
        <w:tabs>
          <w:tab w:val="clear" w:pos="709"/>
          <w:tab w:val="left" w:pos="1414" w:leader="none"/>
        </w:tabs>
        <w:ind w:left="0" w:firstLine="709"/>
        <w:jc w:val="both"/>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10"/>
        </w:numPr>
        <w:tabs>
          <w:tab w:val="clear" w:pos="709"/>
          <w:tab w:val="left" w:pos="1414" w:leader="none"/>
        </w:tabs>
        <w:ind w:left="0" w:firstLine="709"/>
        <w:jc w:val="both"/>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s>
        <w:ind w:left="0" w:firstLine="709"/>
        <w:jc w:val="both"/>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12.8.1 – 12.8.2 Договора. </w:t>
      </w:r>
    </w:p>
    <w:p>
      <w:pPr>
        <w:pStyle w:val="ListParagraph"/>
        <w:widowControl/>
        <w:numPr>
          <w:ilvl w:val="1"/>
          <w:numId w:val="10"/>
        </w:numPr>
        <w:tabs>
          <w:tab w:val="clear" w:pos="709"/>
          <w:tab w:val="left" w:pos="0" w:leader="none"/>
          <w:tab w:val="left" w:pos="1418" w:leader="none"/>
        </w:tabs>
        <w:ind w:left="0" w:firstLine="709"/>
        <w:jc w:val="both"/>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10"/>
        </w:numPr>
        <w:shd w:val="clear" w:color="auto" w:fill="FFFFFF"/>
        <w:tabs>
          <w:tab w:val="clear" w:pos="709"/>
          <w:tab w:val="left" w:pos="0" w:leader="none"/>
          <w:tab w:val="left" w:pos="1418" w:leader="none"/>
        </w:tabs>
        <w:ind w:left="0" w:firstLine="709"/>
        <w:jc w:val="both"/>
        <w:rPr/>
      </w:pPr>
      <w:r>
        <w:rPr>
          <w:sz w:val="24"/>
          <w:szCs w:val="24"/>
        </w:rPr>
        <w:t xml:space="preserve">Уступка (передача),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pPr>
        <w:pStyle w:val="ListParagraph"/>
        <w:widowControl/>
        <w:numPr>
          <w:ilvl w:val="1"/>
          <w:numId w:val="10"/>
        </w:numPr>
        <w:shd w:val="clear" w:color="auto" w:fill="FFFFFF"/>
        <w:tabs>
          <w:tab w:val="clear" w:pos="709"/>
          <w:tab w:val="left" w:pos="0" w:leader="none"/>
          <w:tab w:val="left" w:pos="1418" w:leader="none"/>
        </w:tabs>
        <w:ind w:left="0" w:firstLine="709"/>
        <w:jc w:val="both"/>
        <w:rPr/>
      </w:pPr>
      <w:bookmarkStart w:id="8" w:name="_GoBack"/>
      <w:bookmarkEnd w:id="8"/>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shd w:val="clear" w:color="auto" w:fill="FFFFFF"/>
        <w:tabs>
          <w:tab w:val="clear" w:pos="709"/>
          <w:tab w:val="left" w:pos="0" w:leader="none"/>
          <w:tab w:val="left" w:pos="1418" w:leader="none"/>
        </w:tabs>
        <w:ind w:left="0" w:hanging="0"/>
        <w:jc w:val="both"/>
        <w:rPr/>
      </w:pPr>
      <w:r>
        <w:rPr/>
      </w:r>
    </w:p>
    <w:p>
      <w:pPr>
        <w:pStyle w:val="Normal"/>
        <w:widowControl/>
        <w:numPr>
          <w:ilvl w:val="0"/>
          <w:numId w:val="10"/>
        </w:numPr>
        <w:shd w:val="clear" w:color="auto" w:fill="FFFFFF"/>
        <w:spacing w:before="0" w:after="0"/>
        <w:ind w:left="0" w:hanging="0"/>
        <w:contextualSpacing/>
        <w:jc w:val="center"/>
        <w:rPr/>
      </w:pPr>
      <w:r>
        <w:rPr>
          <w:b/>
          <w:bCs/>
          <w:sz w:val="24"/>
          <w:szCs w:val="24"/>
        </w:rPr>
        <w:t xml:space="preserve">Список приложений </w:t>
      </w:r>
    </w:p>
    <w:p>
      <w:pPr>
        <w:pStyle w:val="Normal"/>
        <w:widowControl/>
        <w:shd w:val="clear" w:color="auto" w:fill="FFFFFF"/>
        <w:tabs>
          <w:tab w:val="clear" w:pos="709"/>
          <w:tab w:val="left" w:pos="0" w:leader="none"/>
        </w:tabs>
        <w:ind w:firstLine="709"/>
        <w:jc w:val="both"/>
        <w:rPr/>
      </w:pPr>
      <w:bookmarkStart w:id="9" w:name="sub_1"/>
      <w:bookmarkEnd w:id="9"/>
      <w:r>
        <w:rPr>
          <w:rFonts w:eastAsia="Calibri"/>
          <w:sz w:val="24"/>
          <w:szCs w:val="24"/>
          <w:lang w:eastAsia="en-US"/>
        </w:rPr>
        <w:t xml:space="preserve">Приложение № 1 – </w:t>
      </w:r>
      <w:r>
        <w:rPr>
          <w:rFonts w:eastAsia="Calibri"/>
          <w:bCs/>
          <w:sz w:val="24"/>
          <w:szCs w:val="24"/>
          <w:lang w:eastAsia="en-US"/>
        </w:rPr>
        <w:t>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pPr>
      <w:bookmarkStart w:id="10" w:name="sub_1_Копия_1"/>
      <w:bookmarkEnd w:id="10"/>
      <w:r>
        <w:rPr>
          <w:bCs/>
          <w:sz w:val="24"/>
          <w:szCs w:val="24"/>
        </w:rPr>
        <w:t xml:space="preserve">Приложение № 2 </w:t>
      </w:r>
      <w:r>
        <w:rPr>
          <w:rFonts w:eastAsia="Calibri"/>
          <w:sz w:val="24"/>
          <w:szCs w:val="24"/>
          <w:lang w:eastAsia="en-US"/>
        </w:rPr>
        <w:t>–</w:t>
      </w:r>
      <w:r>
        <w:rPr>
          <w:bCs/>
          <w:sz w:val="24"/>
          <w:szCs w:val="24"/>
        </w:rPr>
        <w:t xml:space="preserve"> </w:t>
      </w:r>
      <w:r>
        <w:rPr>
          <w:rFonts w:eastAsia="Calibri"/>
          <w:bCs/>
          <w:sz w:val="24"/>
          <w:szCs w:val="24"/>
          <w:lang w:eastAsia="en-US"/>
        </w:rPr>
        <w:t>Спецификация.</w:t>
      </w:r>
    </w:p>
    <w:p>
      <w:pPr>
        <w:pStyle w:val="Normal"/>
        <w:ind w:firstLine="709"/>
        <w:jc w:val="both"/>
        <w:rPr>
          <w:bCs/>
          <w:sz w:val="24"/>
          <w:szCs w:val="24"/>
        </w:rPr>
      </w:pPr>
      <w:r>
        <w:rPr>
          <w:bCs/>
          <w:sz w:val="24"/>
          <w:szCs w:val="24"/>
        </w:rPr>
      </w:r>
    </w:p>
    <w:p>
      <w:pPr>
        <w:pStyle w:val="ListParagraph"/>
        <w:widowControl/>
        <w:numPr>
          <w:ilvl w:val="0"/>
          <w:numId w:val="10"/>
        </w:numPr>
        <w:shd w:val="clear" w:color="auto" w:fill="FFFFFF"/>
        <w:ind w:left="0" w:hanging="0"/>
        <w:jc w:val="center"/>
        <w:rPr/>
      </w:pPr>
      <w:r>
        <w:rPr>
          <w:b/>
          <w:bCs/>
          <w:sz w:val="24"/>
          <w:szCs w:val="24"/>
        </w:rPr>
        <w:t>Адреса и платежные реквизиты Сторон</w:t>
      </w:r>
    </w:p>
    <w:tbl>
      <w:tblPr>
        <w:tblW w:w="5000" w:type="pct"/>
        <w:jc w:val="left"/>
        <w:tblInd w:w="0" w:type="dxa"/>
        <w:tblLayout w:type="fixed"/>
        <w:tblCellMar>
          <w:top w:w="0" w:type="dxa"/>
          <w:left w:w="0" w:type="dxa"/>
          <w:bottom w:w="0" w:type="dxa"/>
          <w:right w:w="0" w:type="dxa"/>
        </w:tblCellMar>
        <w:tblLook w:val="04a0" w:noHBand="0" w:noVBand="1" w:firstColumn="1" w:lastRow="0" w:lastColumn="0" w:firstRow="1"/>
      </w:tblPr>
      <w:tblGrid>
        <w:gridCol w:w="4494"/>
        <w:gridCol w:w="4494"/>
      </w:tblGrid>
      <w:tr>
        <w:trPr/>
        <w:tc>
          <w:tcPr>
            <w:tcW w:w="4494" w:type="dxa"/>
            <w:tcBorders/>
          </w:tcPr>
          <w:p>
            <w:pPr>
              <w:pStyle w:val="Normal"/>
              <w:widowControl w:val="false"/>
              <w:rPr/>
            </w:pPr>
            <w:r>
              <w:rPr>
                <w:b/>
                <w:sz w:val="24"/>
                <w:szCs w:val="24"/>
              </w:rPr>
              <w:t>Покупатель:</w:t>
            </w:r>
          </w:p>
        </w:tc>
        <w:tc>
          <w:tcPr>
            <w:tcW w:w="4494" w:type="dxa"/>
            <w:tcBorders/>
          </w:tcPr>
          <w:p>
            <w:pPr>
              <w:pStyle w:val="Normal"/>
              <w:widowControl w:val="false"/>
              <w:rPr/>
            </w:pPr>
            <w:r>
              <w:rPr>
                <w:b/>
                <w:sz w:val="24"/>
                <w:szCs w:val="24"/>
              </w:rPr>
              <w:t>Поставщик:</w:t>
            </w:r>
          </w:p>
        </w:tc>
      </w:tr>
      <w:tr>
        <w:trPr/>
        <w:tc>
          <w:tcPr>
            <w:tcW w:w="4494" w:type="dxa"/>
            <w:tcBorders/>
          </w:tcPr>
          <w:p>
            <w:pPr>
              <w:pStyle w:val="Normal"/>
              <w:widowControl w:val="false"/>
              <w:rPr/>
            </w:pPr>
            <w:r>
              <w:rPr>
                <w:b/>
                <w:sz w:val="24"/>
                <w:szCs w:val="24"/>
              </w:rPr>
              <w:t>Публичное акционерное общество</w:t>
            </w:r>
          </w:p>
          <w:p>
            <w:pPr>
              <w:pStyle w:val="Normal"/>
              <w:widowControl w:val="false"/>
              <w:rPr/>
            </w:pPr>
            <w:r>
              <w:rPr>
                <w:b/>
                <w:sz w:val="24"/>
                <w:szCs w:val="24"/>
              </w:rPr>
              <w:t>«Федеральная гидрогенерирующая компания - РусГидро» (ПАО «РусГидро»)</w:t>
            </w:r>
          </w:p>
          <w:p>
            <w:pPr>
              <w:pStyle w:val="Normal"/>
              <w:widowControl w:val="false"/>
              <w:tabs>
                <w:tab w:val="clear" w:pos="709"/>
                <w:tab w:val="left" w:pos="4530" w:leader="none"/>
              </w:tabs>
              <w:ind w:right="849" w:hanging="0"/>
              <w:rPr/>
            </w:pPr>
            <w:r>
              <w:rPr>
                <w:sz w:val="24"/>
                <w:szCs w:val="24"/>
              </w:rPr>
              <w:t>Место нахождения:</w:t>
            </w:r>
          </w:p>
          <w:p>
            <w:pPr>
              <w:pStyle w:val="Normal"/>
              <w:widowControl w:val="false"/>
              <w:tabs>
                <w:tab w:val="clear" w:pos="709"/>
                <w:tab w:val="left" w:pos="4530" w:leader="none"/>
              </w:tabs>
              <w:ind w:right="849" w:hanging="0"/>
              <w:rPr/>
            </w:pPr>
            <w:r>
              <w:rPr>
                <w:sz w:val="24"/>
                <w:szCs w:val="24"/>
              </w:rPr>
              <w:t>660049, Красноярский край, г.о. город Красноярск,</w:t>
            </w:r>
          </w:p>
          <w:p>
            <w:pPr>
              <w:pStyle w:val="Normal"/>
              <w:widowControl w:val="false"/>
              <w:tabs>
                <w:tab w:val="clear" w:pos="709"/>
                <w:tab w:val="left" w:pos="4530" w:leader="none"/>
              </w:tabs>
              <w:ind w:right="849" w:hanging="0"/>
              <w:rPr/>
            </w:pPr>
            <w:r>
              <w:rPr>
                <w:sz w:val="24"/>
                <w:szCs w:val="24"/>
              </w:rPr>
              <w:t>ул. Перенсона, 3 Д. 2А помещ. 1</w:t>
            </w:r>
          </w:p>
          <w:p>
            <w:pPr>
              <w:pStyle w:val="Normal"/>
              <w:widowControl w:val="false"/>
              <w:tabs>
                <w:tab w:val="clear" w:pos="709"/>
                <w:tab w:val="left" w:pos="4530" w:leader="none"/>
              </w:tabs>
              <w:ind w:right="849" w:hanging="0"/>
              <w:rPr/>
            </w:pPr>
            <w:r>
              <w:rPr>
                <w:sz w:val="24"/>
                <w:szCs w:val="24"/>
              </w:rPr>
              <w:t>Почтовый адрес:</w:t>
            </w:r>
          </w:p>
          <w:p>
            <w:pPr>
              <w:pStyle w:val="Normal"/>
              <w:widowControl w:val="false"/>
              <w:tabs>
                <w:tab w:val="clear" w:pos="709"/>
                <w:tab w:val="left" w:pos="4530" w:leader="none"/>
              </w:tabs>
              <w:ind w:right="849" w:hanging="0"/>
              <w:rPr/>
            </w:pPr>
            <w:r>
              <w:rPr>
                <w:sz w:val="24"/>
                <w:szCs w:val="24"/>
              </w:rPr>
              <w:t>660049, Красноярский край, г.о. город Красноярск,</w:t>
            </w:r>
          </w:p>
          <w:p>
            <w:pPr>
              <w:pStyle w:val="Normal"/>
              <w:widowControl w:val="false"/>
              <w:tabs>
                <w:tab w:val="clear" w:pos="709"/>
                <w:tab w:val="left" w:pos="4530" w:leader="none"/>
              </w:tabs>
              <w:ind w:right="849" w:hanging="0"/>
              <w:rPr/>
            </w:pPr>
            <w:r>
              <w:rPr>
                <w:sz w:val="24"/>
                <w:szCs w:val="24"/>
              </w:rPr>
              <w:t>ул. Перенсона, 3 Д. 2А помещ. 1</w:t>
            </w:r>
          </w:p>
          <w:p>
            <w:pPr>
              <w:pStyle w:val="Normal"/>
              <w:widowControl w:val="false"/>
              <w:ind w:right="849" w:hanging="0"/>
              <w:rPr/>
            </w:pPr>
            <w:r>
              <w:rPr>
                <w:b/>
                <w:sz w:val="24"/>
                <w:szCs w:val="24"/>
              </w:rPr>
              <w:t>Филиал ПАО «РусГидро» -  «Зейская ГЭС»,</w:t>
            </w:r>
          </w:p>
          <w:p>
            <w:pPr>
              <w:pStyle w:val="Normal"/>
              <w:widowControl w:val="false"/>
              <w:tabs>
                <w:tab w:val="clear" w:pos="709"/>
                <w:tab w:val="left" w:pos="4530" w:leader="none"/>
              </w:tabs>
              <w:ind w:right="849" w:hanging="0"/>
              <w:rPr/>
            </w:pPr>
            <w:r>
              <w:rPr>
                <w:sz w:val="24"/>
                <w:szCs w:val="24"/>
              </w:rPr>
              <w:t>Место нахождения филиала: 676244, Амурская область, г. Зея, ул. Магистральная, соор. 1</w:t>
            </w:r>
          </w:p>
          <w:p>
            <w:pPr>
              <w:pStyle w:val="Normal"/>
              <w:widowControl w:val="false"/>
              <w:tabs>
                <w:tab w:val="clear" w:pos="709"/>
                <w:tab w:val="left" w:pos="4530" w:leader="none"/>
              </w:tabs>
              <w:ind w:right="849" w:hanging="0"/>
              <w:rPr/>
            </w:pPr>
            <w:r>
              <w:rPr>
                <w:sz w:val="24"/>
                <w:szCs w:val="24"/>
              </w:rPr>
              <w:t>ИНН 2460066195, КПП филиала 280502001</w:t>
            </w:r>
          </w:p>
          <w:p>
            <w:pPr>
              <w:pStyle w:val="Normal"/>
              <w:widowControl w:val="false"/>
              <w:tabs>
                <w:tab w:val="clear" w:pos="709"/>
                <w:tab w:val="left" w:pos="4530" w:leader="none"/>
              </w:tabs>
              <w:ind w:right="849" w:hanging="0"/>
              <w:rPr/>
            </w:pPr>
            <w:r>
              <w:rPr>
                <w:sz w:val="24"/>
                <w:szCs w:val="24"/>
              </w:rPr>
              <w:t>р/с 40702810503170007429</w:t>
            </w:r>
          </w:p>
          <w:p>
            <w:pPr>
              <w:pStyle w:val="Normal"/>
              <w:widowControl w:val="false"/>
              <w:tabs>
                <w:tab w:val="clear" w:pos="709"/>
                <w:tab w:val="left" w:pos="4530" w:leader="none"/>
              </w:tabs>
              <w:ind w:right="849" w:hanging="0"/>
              <w:rPr/>
            </w:pPr>
            <w:r>
              <w:rPr>
                <w:sz w:val="24"/>
                <w:szCs w:val="24"/>
              </w:rPr>
              <w:t>Банк: Дальневосточный банк ПАО</w:t>
            </w:r>
          </w:p>
          <w:p>
            <w:pPr>
              <w:pStyle w:val="Normal"/>
              <w:widowControl w:val="false"/>
              <w:tabs>
                <w:tab w:val="clear" w:pos="709"/>
                <w:tab w:val="left" w:pos="4530" w:leader="none"/>
              </w:tabs>
              <w:ind w:right="849" w:hanging="0"/>
              <w:rPr/>
            </w:pPr>
            <w:r>
              <w:rPr>
                <w:sz w:val="24"/>
                <w:szCs w:val="24"/>
              </w:rPr>
              <w:t>«Сбербанк России» г. Хабаровск</w:t>
            </w:r>
          </w:p>
          <w:p>
            <w:pPr>
              <w:pStyle w:val="Normal"/>
              <w:widowControl w:val="false"/>
              <w:tabs>
                <w:tab w:val="clear" w:pos="709"/>
                <w:tab w:val="left" w:pos="4530" w:leader="none"/>
                <w:tab w:val="left" w:pos="5529" w:leader="none"/>
              </w:tabs>
              <w:ind w:right="849" w:hanging="0"/>
              <w:rPr/>
            </w:pPr>
            <w:r>
              <w:rPr>
                <w:sz w:val="24"/>
                <w:szCs w:val="24"/>
              </w:rPr>
              <w:t>к/с № 30101810600000000608 в ГРКЦ ГУ Банка России по Хабаровскому краю,</w:t>
            </w:r>
          </w:p>
          <w:p>
            <w:pPr>
              <w:pStyle w:val="Normal"/>
              <w:widowControl w:val="false"/>
              <w:tabs>
                <w:tab w:val="clear" w:pos="709"/>
                <w:tab w:val="left" w:pos="4530" w:leader="none"/>
                <w:tab w:val="left" w:pos="5529" w:leader="none"/>
              </w:tabs>
              <w:ind w:right="849" w:hanging="0"/>
              <w:rPr/>
            </w:pPr>
            <w:r>
              <w:rPr>
                <w:sz w:val="24"/>
                <w:szCs w:val="24"/>
              </w:rPr>
              <w:t>БИК 040813608</w:t>
            </w:r>
          </w:p>
          <w:p>
            <w:pPr>
              <w:pStyle w:val="Normal"/>
              <w:widowControl w:val="false"/>
              <w:tabs>
                <w:tab w:val="clear" w:pos="709"/>
                <w:tab w:val="left" w:pos="4530" w:leader="none"/>
                <w:tab w:val="left" w:pos="5529" w:leader="none"/>
              </w:tabs>
              <w:ind w:right="849" w:hanging="0"/>
              <w:rPr/>
            </w:pPr>
            <w:r>
              <w:rPr>
                <w:sz w:val="24"/>
                <w:szCs w:val="24"/>
              </w:rPr>
              <w:t>ОКПО 97995395</w:t>
            </w:r>
          </w:p>
        </w:tc>
        <w:tc>
          <w:tcPr>
            <w:tcW w:w="4494" w:type="dxa"/>
            <w:tcBorders/>
          </w:tcPr>
          <w:p>
            <w:pPr>
              <w:pStyle w:val="Normal"/>
              <w:widowControl w:val="false"/>
              <w:rPr>
                <w:b/>
                <w:bCs/>
                <w:sz w:val="24"/>
                <w:szCs w:val="24"/>
              </w:rPr>
            </w:pPr>
            <w:r>
              <w:rPr>
                <w:b/>
                <w:bCs/>
                <w:sz w:val="24"/>
                <w:szCs w:val="24"/>
              </w:rPr>
            </w:r>
          </w:p>
        </w:tc>
      </w:tr>
    </w:tbl>
    <w:p>
      <w:pPr>
        <w:pStyle w:val="ListParagraph"/>
        <w:widowControl/>
        <w:shd w:val="clear" w:color="auto" w:fill="FFFFFF"/>
        <w:ind w:left="0" w:hanging="0"/>
        <w:jc w:val="center"/>
        <w:rPr>
          <w:b/>
          <w:bCs/>
          <w:sz w:val="24"/>
          <w:szCs w:val="24"/>
        </w:rPr>
      </w:pPr>
      <w:r>
        <w:rPr>
          <w:b/>
          <w:bCs/>
          <w:sz w:val="24"/>
          <w:szCs w:val="24"/>
        </w:rPr>
      </w:r>
    </w:p>
    <w:tbl>
      <w:tblPr>
        <w:tblW w:w="9011" w:type="dxa"/>
        <w:jc w:val="left"/>
        <w:tblInd w:w="109" w:type="dxa"/>
        <w:tblLayout w:type="fixed"/>
        <w:tblCellMar>
          <w:top w:w="0" w:type="dxa"/>
          <w:left w:w="108" w:type="dxa"/>
          <w:bottom w:w="0" w:type="dxa"/>
          <w:right w:w="108" w:type="dxa"/>
        </w:tblCellMar>
        <w:tblLook w:val="01e0" w:noHBand="0" w:noVBand="0" w:firstColumn="1" w:lastRow="1" w:lastColumn="1" w:firstRow="1"/>
      </w:tblPr>
      <w:tblGrid>
        <w:gridCol w:w="4424"/>
        <w:gridCol w:w="4586"/>
      </w:tblGrid>
      <w:tr>
        <w:trPr>
          <w:trHeight w:val="1189" w:hRule="atLeast"/>
        </w:trPr>
        <w:tc>
          <w:tcPr>
            <w:tcW w:w="4424" w:type="dxa"/>
            <w:tcBorders/>
          </w:tcPr>
          <w:p>
            <w:pPr>
              <w:pStyle w:val="Normal"/>
              <w:widowControl w:val="false"/>
              <w:rPr/>
            </w:pPr>
            <w:r>
              <w:rPr>
                <w:sz w:val="24"/>
                <w:szCs w:val="24"/>
              </w:rPr>
              <w:t>Директор филиала</w:t>
            </w:r>
          </w:p>
          <w:p>
            <w:pPr>
              <w:pStyle w:val="Normal"/>
              <w:widowControl w:val="false"/>
              <w:rPr/>
            </w:pPr>
            <w:r>
              <w:rPr>
                <w:sz w:val="24"/>
                <w:szCs w:val="24"/>
              </w:rPr>
              <w:t>ПАО «РусГидро» - «Зейская ГЭС»</w:t>
            </w:r>
          </w:p>
          <w:p>
            <w:pPr>
              <w:pStyle w:val="Normal"/>
              <w:widowControl w:val="false"/>
              <w:rPr/>
            </w:pPr>
            <w:r>
              <w:rPr/>
            </w:r>
          </w:p>
          <w:p>
            <w:pPr>
              <w:pStyle w:val="Normal"/>
              <w:widowControl w:val="false"/>
              <w:rPr/>
            </w:pPr>
            <w:r>
              <w:rPr>
                <w:sz w:val="24"/>
                <w:szCs w:val="24"/>
              </w:rPr>
              <w:t>________________М.А. Сухомесов</w:t>
            </w:r>
          </w:p>
          <w:p>
            <w:pPr>
              <w:pStyle w:val="Normal"/>
              <w:widowControl w:val="false"/>
              <w:rPr/>
            </w:pPr>
            <w:r>
              <w:rPr/>
            </w:r>
          </w:p>
        </w:tc>
        <w:tc>
          <w:tcPr>
            <w:tcW w:w="4586" w:type="dxa"/>
            <w:tcBorders/>
          </w:tcPr>
          <w:p>
            <w:pPr>
              <w:pStyle w:val="Normal"/>
              <w:widowControl w:val="false"/>
              <w:rPr>
                <w:sz w:val="24"/>
                <w:szCs w:val="24"/>
              </w:rPr>
            </w:pPr>
            <w:r>
              <w:rPr>
                <w:sz w:val="24"/>
                <w:szCs w:val="24"/>
              </w:rPr>
            </w:r>
          </w:p>
        </w:tc>
      </w:tr>
    </w:tbl>
    <w:p>
      <w:pPr>
        <w:sectPr>
          <w:headerReference w:type="default" r:id="rId6"/>
          <w:type w:val="nextPage"/>
          <w:pgSz w:w="11906" w:h="16838"/>
          <w:pgMar w:left="2057" w:right="860" w:gutter="0" w:header="709" w:top="1134" w:footer="0" w:bottom="1134"/>
          <w:pgNumType w:fmt="decimal"/>
          <w:formProt w:val="false"/>
          <w:textDirection w:val="lrTb"/>
          <w:docGrid w:type="default" w:linePitch="360" w:charSpace="16384"/>
        </w:sectPr>
      </w:pPr>
    </w:p>
    <w:p>
      <w:pPr>
        <w:pStyle w:val="Normal"/>
        <w:ind w:firstLine="4820"/>
        <w:jc w:val="right"/>
        <w:rPr/>
      </w:pPr>
      <w:r>
        <w:rPr>
          <w:sz w:val="22"/>
          <w:szCs w:val="22"/>
        </w:rPr>
        <w:t>Приложение № 1</w:t>
      </w:r>
    </w:p>
    <w:p>
      <w:pPr>
        <w:pStyle w:val="Normal"/>
        <w:ind w:firstLine="4820"/>
        <w:jc w:val="right"/>
        <w:rPr/>
      </w:pPr>
      <w:r>
        <w:rPr>
          <w:sz w:val="22"/>
          <w:szCs w:val="22"/>
        </w:rPr>
        <w:t>к Договору поставки</w:t>
      </w:r>
    </w:p>
    <w:p>
      <w:pPr>
        <w:pStyle w:val="Normal"/>
        <w:ind w:firstLine="4820"/>
        <w:jc w:val="right"/>
        <w:rPr/>
      </w:pPr>
      <w:r>
        <w:rPr>
          <w:sz w:val="22"/>
          <w:szCs w:val="22"/>
        </w:rPr>
        <w:t>от «____»  _______ 2026 г. № _____________</w:t>
      </w:r>
    </w:p>
    <w:p>
      <w:pPr>
        <w:pStyle w:val="Normal"/>
        <w:widowControl/>
        <w:ind w:firstLine="709"/>
        <w:rPr>
          <w:rFonts w:eastAsia="Calibri"/>
          <w:b/>
          <w:sz w:val="24"/>
          <w:szCs w:val="24"/>
          <w:lang w:eastAsia="en-US"/>
        </w:rPr>
      </w:pPr>
      <w:r>
        <w:rPr>
          <w:rFonts w:eastAsia="Calibri"/>
          <w:b/>
          <w:sz w:val="24"/>
          <w:szCs w:val="24"/>
          <w:lang w:eastAsia="en-US"/>
        </w:rPr>
      </w:r>
    </w:p>
    <w:p>
      <w:pPr>
        <w:pStyle w:val="Normal"/>
        <w:widowControl/>
        <w:ind w:firstLine="709"/>
        <w:rPr>
          <w:rFonts w:eastAsia="Calibri"/>
          <w:sz w:val="24"/>
          <w:szCs w:val="24"/>
          <w:lang w:eastAsia="en-US"/>
        </w:rPr>
      </w:pPr>
      <w:r>
        <w:rPr>
          <w:rFonts w:eastAsia="Calibri"/>
          <w:sz w:val="24"/>
          <w:szCs w:val="24"/>
          <w:lang w:eastAsia="en-US"/>
        </w:rPr>
      </w:r>
    </w:p>
    <w:p>
      <w:pPr>
        <w:pStyle w:val="Normal"/>
        <w:jc w:val="center"/>
        <w:rPr/>
      </w:pPr>
      <w:r>
        <w:rPr>
          <w:b/>
          <w:bCs/>
          <w:sz w:val="24"/>
          <w:szCs w:val="24"/>
        </w:rPr>
        <w:t>Размер ответственности Поставщика за нарушения</w:t>
      </w:r>
    </w:p>
    <w:p>
      <w:pPr>
        <w:pStyle w:val="Normal"/>
        <w:jc w:val="center"/>
        <w:rPr/>
      </w:pPr>
      <w:r>
        <w:rPr>
          <w:b/>
          <w:bCs/>
          <w:sz w:val="24"/>
          <w:szCs w:val="24"/>
        </w:rPr>
        <w:t>пропускного и внутриобъектового режима, требований охраны труда,</w:t>
      </w:r>
    </w:p>
    <w:p>
      <w:pPr>
        <w:pStyle w:val="Normal"/>
        <w:jc w:val="center"/>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113" w:type="dxa"/>
        <w:tblLayout w:type="fixed"/>
        <w:tblCellMar>
          <w:top w:w="0" w:type="dxa"/>
          <w:left w:w="108" w:type="dxa"/>
          <w:bottom w:w="0" w:type="dxa"/>
          <w:right w:w="108" w:type="dxa"/>
        </w:tblCellMar>
        <w:tblLook w:val="01e0" w:noHBand="0" w:noVBand="0" w:firstColumn="1" w:lastRow="1" w:lastColumn="1" w:firstRow="1"/>
      </w:tblPr>
      <w:tblGrid>
        <w:gridCol w:w="3827"/>
        <w:gridCol w:w="5809"/>
      </w:tblGrid>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sz w:val="24"/>
                <w:szCs w:val="24"/>
              </w:rPr>
              <w:t>Виды нарушений</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sz w:val="24"/>
                <w:szCs w:val="24"/>
              </w:rPr>
              <w:t>Штрафные санкции</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4"/>
                <w:szCs w:val="24"/>
              </w:rPr>
              <w:t>1. Нарушение правил пожарной безопасности (ППБ):</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sz w:val="24"/>
                <w:szCs w:val="24"/>
              </w:rPr>
              <w:t>25 000 (двадцать пять тысяч) рублей за каждый случай нарушения.</w:t>
            </w:r>
          </w:p>
          <w:p>
            <w:pPr>
              <w:pStyle w:val="Normal"/>
              <w:widowControl w:val="false"/>
              <w:jc w:val="both"/>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4"/>
                <w:szCs w:val="24"/>
              </w:rPr>
              <w:t>1.2. Нарушение ППБ, ставшее причиной возникновения пожара, не причинившего ущерб имуществу Покупателя</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sz w:val="24"/>
                <w:szCs w:val="24"/>
              </w:rPr>
              <w:t>50 000 (пятьдесят тысяч) рублей за каждый случай нарушения.</w:t>
            </w:r>
          </w:p>
          <w:p>
            <w:pPr>
              <w:pStyle w:val="Normal"/>
              <w:widowControl w:val="false"/>
              <w:jc w:val="both"/>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4"/>
                <w:szCs w:val="24"/>
              </w:rPr>
              <w:t>1.3. Нарушение ППБ, ставшее причиной возникновения пожара, причинившего ущерб имуществу Покупателя.</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sz w:val="24"/>
                <w:szCs w:val="24"/>
              </w:rPr>
              <w:t xml:space="preserve"> </w:t>
            </w:r>
            <w:r>
              <w:rPr>
                <w:sz w:val="24"/>
                <w:szCs w:val="24"/>
              </w:rPr>
              <w:t>250 000 (двести пятьдесят тысяч) рублей за каждый случай нарушения.</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sz w:val="24"/>
                <w:szCs w:val="24"/>
              </w:rPr>
              <w:t>- 50 000 (пятьдесят тысяч) рублей за каждый случай нарушения;</w:t>
            </w:r>
          </w:p>
          <w:p>
            <w:pPr>
              <w:pStyle w:val="Normal"/>
              <w:widowControl w:val="false"/>
              <w:jc w:val="both"/>
              <w:rPr/>
            </w:pPr>
            <w:r>
              <w:rPr>
                <w:sz w:val="24"/>
                <w:szCs w:val="24"/>
              </w:rPr>
              <w:t>- 500 (пятьсот) рублей в случае утраты или приведения в негодность электронного пропуска, выданного Покупателем.</w:t>
            </w:r>
          </w:p>
          <w:p>
            <w:pPr>
              <w:pStyle w:val="Normal"/>
              <w:widowControl w:val="false"/>
              <w:jc w:val="both"/>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firstLine="709"/>
        <w:rPr>
          <w:sz w:val="24"/>
          <w:szCs w:val="24"/>
        </w:rPr>
      </w:pPr>
      <w:r>
        <w:rPr>
          <w:sz w:val="24"/>
          <w:szCs w:val="24"/>
        </w:rPr>
      </w:r>
    </w:p>
    <w:p>
      <w:pPr>
        <w:pStyle w:val="Normal"/>
        <w:ind w:firstLine="709"/>
        <w:rPr>
          <w:sz w:val="24"/>
          <w:szCs w:val="24"/>
        </w:rPr>
      </w:pPr>
      <w:r>
        <w:rPr>
          <w:sz w:val="24"/>
          <w:szCs w:val="24"/>
        </w:rPr>
      </w:r>
    </w:p>
    <w:p>
      <w:pPr>
        <w:pStyle w:val="Normal"/>
        <w:numPr>
          <w:ilvl w:val="0"/>
          <w:numId w:val="0"/>
        </w:numPr>
        <w:ind w:left="0" w:hanging="0"/>
        <w:jc w:val="center"/>
        <w:outlineLvl w:val="0"/>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652"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4820"/>
        <w:gridCol w:w="4831"/>
      </w:tblGrid>
      <w:tr>
        <w:trPr/>
        <w:tc>
          <w:tcPr>
            <w:tcW w:w="4820" w:type="dxa"/>
            <w:tcBorders/>
            <w:shd w:color="auto" w:fill="auto" w:val="clear"/>
          </w:tcPr>
          <w:p>
            <w:pPr>
              <w:pStyle w:val="Normal"/>
              <w:widowControl w:val="false"/>
              <w:rPr/>
            </w:pPr>
            <w:r>
              <w:rPr>
                <w:sz w:val="24"/>
                <w:szCs w:val="24"/>
              </w:rPr>
              <w:t>Директор филиала</w:t>
            </w:r>
          </w:p>
          <w:p>
            <w:pPr>
              <w:pStyle w:val="Normal"/>
              <w:widowControl w:val="false"/>
              <w:rPr/>
            </w:pPr>
            <w:r>
              <w:rPr>
                <w:sz w:val="24"/>
                <w:szCs w:val="24"/>
              </w:rPr>
              <w:t>ПАО «РусГидро» - «Зейская ГЭС»</w:t>
            </w:r>
          </w:p>
          <w:p>
            <w:pPr>
              <w:pStyle w:val="Normal"/>
              <w:widowControl w:val="false"/>
              <w:rPr/>
            </w:pPr>
            <w:r>
              <w:rPr/>
            </w:r>
          </w:p>
          <w:p>
            <w:pPr>
              <w:pStyle w:val="Normal"/>
              <w:widowControl w:val="false"/>
              <w:rPr/>
            </w:pPr>
            <w:r>
              <w:rPr>
                <w:sz w:val="24"/>
                <w:szCs w:val="24"/>
              </w:rPr>
              <w:t>________________М.А. Сухомесов</w:t>
            </w:r>
          </w:p>
          <w:p>
            <w:pPr>
              <w:pStyle w:val="Normal"/>
              <w:widowControl w:val="false"/>
              <w:rPr/>
            </w:pPr>
            <w:r>
              <w:rPr/>
            </w:r>
          </w:p>
          <w:p>
            <w:pPr>
              <w:pStyle w:val="Normal"/>
              <w:widowControl w:val="false"/>
              <w:rPr/>
            </w:pPr>
            <w:r>
              <w:rPr/>
            </w:r>
          </w:p>
        </w:tc>
        <w:tc>
          <w:tcPr>
            <w:tcW w:w="4831" w:type="dxa"/>
            <w:tcBorders/>
            <w:shd w:color="auto" w:fill="auto"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ind w:firstLine="709"/>
              <w:rPr>
                <w:sz w:val="24"/>
                <w:szCs w:val="24"/>
              </w:rPr>
            </w:pPr>
            <w:r>
              <w:rPr>
                <w:sz w:val="24"/>
                <w:szCs w:val="24"/>
              </w:rPr>
            </w:r>
          </w:p>
        </w:tc>
      </w:tr>
    </w:tbl>
    <w:p>
      <w:pPr>
        <w:pStyle w:val="Normal"/>
        <w:ind w:firstLine="709"/>
        <w:rPr/>
      </w:pPr>
      <w:r>
        <w:rPr/>
      </w:r>
    </w:p>
    <w:sectPr>
      <w:headerReference w:type="default" r:id="rId7"/>
      <w:headerReference w:type="first" r:id="rId8"/>
      <w:footerReference w:type="default" r:id="rId9"/>
      <w:type w:val="nextPage"/>
      <w:pgSz w:w="11906" w:h="16838"/>
      <w:pgMar w:left="1418" w:right="851" w:gutter="0" w:header="709" w:top="1134" w:footer="709" w:bottom="1134"/>
      <w:pgNumType w:fmt="decimal"/>
      <w:formProt w:val="false"/>
      <w:textDirection w:val="lrTb"/>
      <w:docGrid w:type="default" w:linePitch="299"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alibri">
    <w:charset w:val="01"/>
    <w:family w:val="roman"/>
    <w:pitch w:val="variable"/>
  </w:font>
  <w:font w:name="OpenSymbol">
    <w:altName w:val="Arial Unicode MS"/>
    <w:charset w:val="01"/>
    <w:family w:val="roman"/>
    <w:pitch w:val="variable"/>
  </w:font>
  <w:font w:name="Tahoma">
    <w:charset w:val="01"/>
    <w:family w:val="roman"/>
    <w:pitch w:val="variable"/>
  </w:font>
  <w:font w:name="Symbol">
    <w:charset w:val="01"/>
    <w:family w:val="roman"/>
    <w:pitch w:val="variable"/>
  </w:font>
  <w:font w:name="Wingdings">
    <w:charset w:val="01"/>
    <w:family w:val="roman"/>
    <w:pitch w:val="variable"/>
  </w:font>
  <w:font w:name="Courier New">
    <w:charset w:val="01"/>
    <w:family w:val="roman"/>
    <w:pitch w:val="variable"/>
  </w:font>
  <w:font w:name="Liberation Sans">
    <w:altName w:val="Arial"/>
    <w:charset w:val="01"/>
    <w:family w:val="roman"/>
    <w:pitch w:val="variable"/>
  </w:font>
  <w:font w:name="Verdan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15</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06" w:leader="none"/>
      </w:tabs>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sz w:val="24"/>
        <w:b/>
      </w:rPr>
    </w:lvl>
    <w:lvl w:ilvl="1">
      <w:start w:val="1"/>
      <w:numFmt w:val="decimal"/>
      <w:lvlText w:val="%1.%2."/>
      <w:lvlJc w:val="left"/>
      <w:pPr>
        <w:tabs>
          <w:tab w:val="num" w:pos="1708"/>
        </w:tabs>
        <w:ind w:left="1708" w:hanging="432"/>
      </w:pPr>
      <w:rPr>
        <w:sz w:val="24"/>
        <w:b w:val="false"/>
        <w:szCs w:val="24"/>
      </w:rPr>
    </w:lvl>
    <w:lvl w:ilvl="2">
      <w:start w:val="1"/>
      <w:numFmt w:val="decimal"/>
      <w:lvlText w:val="%1.%2.%3."/>
      <w:lvlJc w:val="left"/>
      <w:pPr>
        <w:tabs>
          <w:tab w:val="num" w:pos="4690"/>
        </w:tabs>
        <w:ind w:left="4474" w:hanging="504"/>
      </w:pPr>
      <w:rPr>
        <w:sz w:val="24"/>
        <w:szCs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
    <w:lvl w:ilvl="0">
      <w:start w:val="9"/>
      <w:numFmt w:val="decimal"/>
      <w:lvlText w:val="%1."/>
      <w:lvlJc w:val="left"/>
      <w:pPr>
        <w:tabs>
          <w:tab w:val="num" w:pos="360"/>
        </w:tabs>
        <w:ind w:left="360" w:hanging="360"/>
      </w:pPr>
      <w:rPr>
        <w:sz w:val="24"/>
        <w:b/>
      </w:rPr>
    </w:lvl>
    <w:lvl w:ilvl="1">
      <w:start w:val="1"/>
      <w:numFmt w:val="decimal"/>
      <w:lvlText w:val="%1.%2."/>
      <w:lvlJc w:val="left"/>
      <w:pPr>
        <w:tabs>
          <w:tab w:val="num" w:pos="1708"/>
        </w:tabs>
        <w:ind w:left="1708" w:hanging="432"/>
      </w:pPr>
      <w:rPr>
        <w:sz w:val="24"/>
        <w:b w:val="false"/>
        <w:szCs w:val="24"/>
      </w:rPr>
    </w:lvl>
    <w:lvl w:ilvl="2">
      <w:start w:val="1"/>
      <w:numFmt w:val="decimal"/>
      <w:lvlText w:val="%1.%2.%3."/>
      <w:lvlJc w:val="left"/>
      <w:pPr>
        <w:tabs>
          <w:tab w:val="num" w:pos="4690"/>
        </w:tabs>
        <w:ind w:left="4474" w:hanging="504"/>
      </w:pPr>
      <w:rPr>
        <w:sz w:val="24"/>
        <w:szCs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paragraph" w:styleId="Heading4">
    <w:name w:val="Heading 4"/>
    <w:basedOn w:val="Normal"/>
    <w:next w:val="Normal"/>
    <w:qFormat/>
    <w:pPr>
      <w:keepNext w:val="true"/>
      <w:numPr>
        <w:ilvl w:val="3"/>
        <w:numId w:val="2"/>
      </w:numPr>
      <w:spacing w:before="240" w:after="60"/>
      <w:outlineLvl w:val="3"/>
    </w:pPr>
    <w:rPr>
      <w:rFonts w:ascii="Calibri" w:hAnsi="Calibri" w:eastAsia="Times New Roman" w:cs="Times New Roman"/>
      <w:b/>
      <w:bCs/>
      <w:szCs w:val="28"/>
    </w:rPr>
  </w:style>
  <w:style w:type="paragraph" w:styleId="Heading5">
    <w:name w:val="Heading 5"/>
    <w:basedOn w:val="Normal"/>
    <w:next w:val="Normal"/>
    <w:qFormat/>
    <w:pPr>
      <w:numPr>
        <w:ilvl w:val="4"/>
        <w:numId w:val="2"/>
      </w:numPr>
      <w:spacing w:lineRule="auto" w:line="240" w:before="240" w:after="60"/>
      <w:ind w:left="0" w:right="0" w:hanging="0"/>
      <w:jc w:val="left"/>
      <w:outlineLvl w:val="4"/>
    </w:pPr>
    <w:rPr>
      <w:b/>
      <w:bCs/>
      <w:i/>
      <w:iCs/>
      <w:sz w:val="26"/>
      <w:szCs w:val="26"/>
    </w:rPr>
  </w:style>
  <w:style w:type="character" w:styleId="DefaultParagraphFont" w:default="1">
    <w:name w:val="Default Paragraph Font"/>
    <w:uiPriority w:val="1"/>
    <w:unhideWhenUsed/>
    <w:qFormat/>
    <w:rPr/>
  </w:style>
  <w:style w:type="character" w:styleId="Style5" w:customStyle="1">
    <w:name w:val="Заголовок Знак"/>
    <w:qFormat/>
    <w:locked/>
    <w:rsid w:val="00565582"/>
    <w:rPr>
      <w:b/>
      <w:bCs/>
      <w:sz w:val="24"/>
      <w:szCs w:val="24"/>
      <w:lang w:val="ru-RU" w:eastAsia="ru-RU" w:bidi="ar-SA"/>
    </w:rPr>
  </w:style>
  <w:style w:type="character" w:styleId="Style6"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7" w:customStyle="1">
    <w:name w:val="Текст примечания Знак"/>
    <w:basedOn w:val="DefaultParagraphFont"/>
    <w:link w:val="Annotationtext"/>
    <w:qFormat/>
    <w:rsid w:val="00d36934"/>
    <w:rPr/>
  </w:style>
  <w:style w:type="character" w:styleId="Style8"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9" w:customStyle="1">
    <w:name w:val="Основной текст с отступом Знак"/>
    <w:basedOn w:val="DefaultParagraphFont"/>
    <w:qFormat/>
    <w:rsid w:val="00e00bca"/>
    <w:rPr/>
  </w:style>
  <w:style w:type="character" w:styleId="Style10" w:customStyle="1">
    <w:name w:val="комментарий"/>
    <w:uiPriority w:val="99"/>
    <w:qFormat/>
    <w:rsid w:val="00d562c0"/>
    <w:rPr>
      <w:rFonts w:cs="Times New Roman"/>
      <w:b/>
      <w:bCs/>
      <w:i/>
      <w:iCs/>
      <w:shd w:fill="FFFF99" w:val="clear"/>
    </w:rPr>
  </w:style>
  <w:style w:type="character" w:styleId="Style11" w:customStyle="1">
    <w:name w:val="Текст сноски Знак"/>
    <w:basedOn w:val="DefaultParagraphFont"/>
    <w:uiPriority w:val="99"/>
    <w:qFormat/>
    <w:rsid w:val="00f47c6a"/>
    <w:rPr/>
  </w:style>
  <w:style w:type="character" w:styleId="Style12" w:customStyle="1">
    <w:name w:val="Символ сноски"/>
    <w:qFormat/>
    <w:rsid w:val="00f47c6a"/>
    <w:rPr>
      <w:vertAlign w:val="superscript"/>
    </w:rPr>
  </w:style>
  <w:style w:type="character" w:styleId="FootnoteReference">
    <w:name w:val="Footnote Reference"/>
    <w:rPr>
      <w:vertAlign w:val="superscript"/>
    </w:rPr>
  </w:style>
  <w:style w:type="character" w:styleId="Style13"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4" w:customStyle="1">
    <w:name w:val="Нижний колонтитул Знак"/>
    <w:uiPriority w:val="99"/>
    <w:qFormat/>
    <w:rsid w:val="00d925fb"/>
    <w:rPr/>
  </w:style>
  <w:style w:type="character" w:styleId="Style15" w:customStyle="1">
    <w:name w:val="Название Знак"/>
    <w:qFormat/>
    <w:rsid w:val="0095682b"/>
    <w:rPr>
      <w:b/>
      <w:bCs/>
      <w:sz w:val="24"/>
      <w:szCs w:val="24"/>
    </w:rPr>
  </w:style>
  <w:style w:type="character" w:styleId="Style16" w:customStyle="1">
    <w:name w:val="Абзац списка Знак"/>
    <w:link w:val="ListParagraph"/>
    <w:uiPriority w:val="34"/>
    <w:qFormat/>
    <w:locked/>
    <w:rsid w:val="00725d08"/>
    <w:rPr/>
  </w:style>
  <w:style w:type="character" w:styleId="Style17" w:customStyle="1">
    <w:name w:val="Символ концевой сноски"/>
    <w:qFormat/>
    <w:rPr>
      <w:vertAlign w:val="superscript"/>
    </w:rPr>
  </w:style>
  <w:style w:type="character" w:styleId="EndnoteReference">
    <w:name w:val="Endnote Reference"/>
    <w:rPr>
      <w:vertAlign w:val="superscript"/>
    </w:rPr>
  </w:style>
  <w:style w:type="character" w:styleId="Style18">
    <w:name w:val="Символ нумерации"/>
    <w:qFormat/>
    <w:rPr/>
  </w:style>
  <w:style w:type="character" w:styleId="Style19">
    <w:name w:val="Маркеры"/>
    <w:qFormat/>
    <w:rPr>
      <w:rFonts w:ascii="OpenSymbol" w:hAnsi="OpenSymbol" w:eastAsia="OpenSymbol" w:cs="OpenSymbol"/>
    </w:rPr>
  </w:style>
  <w:style w:type="character" w:styleId="5">
    <w:name w:val="Заголовок 5 Знак"/>
    <w:qFormat/>
    <w:rPr>
      <w:b/>
      <w:bCs/>
      <w:i/>
      <w:iCs/>
      <w:sz w:val="26"/>
      <w:szCs w:val="26"/>
    </w:rPr>
  </w:style>
  <w:style w:type="character" w:styleId="4">
    <w:name w:val="Заголовок 4 Знак"/>
    <w:qFormat/>
    <w:rPr>
      <w:rFonts w:ascii="Calibri" w:hAnsi="Calibri" w:eastAsia="Times New Roman" w:cs="Times New Roman"/>
      <w:b/>
      <w:bCs/>
      <w:sz w:val="28"/>
      <w:szCs w:val="28"/>
    </w:rPr>
  </w:style>
  <w:style w:type="character" w:styleId="Style20">
    <w:name w:val="Текст выноски Знак"/>
    <w:qFormat/>
    <w:rPr>
      <w:rFonts w:ascii="Tahoma" w:hAnsi="Tahoma" w:cs="Tahoma"/>
      <w:sz w:val="16"/>
      <w:szCs w:val="16"/>
    </w:rPr>
  </w:style>
  <w:style w:type="character" w:styleId="Style21">
    <w:name w:val="Основной шрифт абзаца"/>
    <w:qFormat/>
    <w:rPr/>
  </w:style>
  <w:style w:type="character" w:styleId="WW8Num33z3">
    <w:name w:val="WW8Num33z3"/>
    <w:qFormat/>
    <w:rPr>
      <w:rFonts w:ascii="Symbol" w:hAnsi="Symbol" w:cs="Symbol"/>
    </w:rPr>
  </w:style>
  <w:style w:type="character" w:styleId="WW8Num33z2">
    <w:name w:val="WW8Num33z2"/>
    <w:qFormat/>
    <w:rPr>
      <w:rFonts w:ascii="Wingdings" w:hAnsi="Wingdings" w:cs="Wingdings"/>
    </w:rPr>
  </w:style>
  <w:style w:type="character" w:styleId="WW8Num33z1">
    <w:name w:val="WW8Num33z1"/>
    <w:qFormat/>
    <w:rPr>
      <w:rFonts w:ascii="Courier New" w:hAnsi="Courier New" w:cs="Courier New"/>
    </w:rPr>
  </w:style>
  <w:style w:type="character" w:styleId="WW8Num33z0">
    <w:name w:val="WW8Num33z0"/>
    <w:qFormat/>
    <w:rPr>
      <w:rFonts w:ascii="Times New Roman" w:hAnsi="Times New Roman" w:eastAsia="Times New Roman" w:cs="Times New Roman"/>
    </w:rPr>
  </w:style>
  <w:style w:type="character" w:styleId="WW8Num32z2">
    <w:name w:val="WW8Num32z2"/>
    <w:qFormat/>
    <w:rPr>
      <w:rFonts w:ascii="Wingdings" w:hAnsi="Wingdings" w:cs="Wingdings"/>
    </w:rPr>
  </w:style>
  <w:style w:type="character" w:styleId="WW8Num32z1">
    <w:name w:val="WW8Num32z1"/>
    <w:qFormat/>
    <w:rPr>
      <w:rFonts w:ascii="Courier New" w:hAnsi="Courier New" w:cs="Courier New"/>
    </w:rPr>
  </w:style>
  <w:style w:type="character" w:styleId="WW8Num32z0">
    <w:name w:val="WW8Num32z0"/>
    <w:qFormat/>
    <w:rPr>
      <w:rFonts w:ascii="Symbol" w:hAnsi="Symbol" w:cs="Symbol"/>
    </w:rPr>
  </w:style>
  <w:style w:type="character" w:styleId="WW8Num31z0">
    <w:name w:val="WW8Num31z0"/>
    <w:qFormat/>
    <w:rPr/>
  </w:style>
  <w:style w:type="character" w:styleId="WW8Num30z0">
    <w:name w:val="WW8Num30z0"/>
    <w:qFormat/>
    <w:rPr>
      <w:color w:val="000000"/>
    </w:rPr>
  </w:style>
  <w:style w:type="character" w:styleId="WW8Num29z0">
    <w:name w:val="WW8Num29z0"/>
    <w:qFormat/>
    <w:rPr/>
  </w:style>
  <w:style w:type="character" w:styleId="WW8Num28z0">
    <w:name w:val="WW8Num28z0"/>
    <w:qFormat/>
    <w:rPr/>
  </w:style>
  <w:style w:type="character" w:styleId="WW8Num27z0">
    <w:name w:val="WW8Num27z0"/>
    <w:qFormat/>
    <w:rPr/>
  </w:style>
  <w:style w:type="character" w:styleId="WW8Num26z2">
    <w:name w:val="WW8Num26z2"/>
    <w:qFormat/>
    <w:rPr>
      <w:rFonts w:ascii="Wingdings" w:hAnsi="Wingdings" w:cs="Wingdings"/>
    </w:rPr>
  </w:style>
  <w:style w:type="character" w:styleId="WW8Num26z1">
    <w:name w:val="WW8Num26z1"/>
    <w:qFormat/>
    <w:rPr>
      <w:rFonts w:ascii="Courier New" w:hAnsi="Courier New" w:cs="Courier New"/>
    </w:rPr>
  </w:style>
  <w:style w:type="character" w:styleId="WW8Num26z0">
    <w:name w:val="WW8Num26z0"/>
    <w:qFormat/>
    <w:rPr>
      <w:rFonts w:ascii="Symbol" w:hAnsi="Symbol" w:cs="Symbol"/>
    </w:rPr>
  </w:style>
  <w:style w:type="character" w:styleId="WW8Num25z0">
    <w:name w:val="WW8Num25z0"/>
    <w:qFormat/>
    <w:rPr/>
  </w:style>
  <w:style w:type="character" w:styleId="WW8Num24z1">
    <w:name w:val="WW8Num24z1"/>
    <w:qFormat/>
    <w:rPr>
      <w:b w:val="false"/>
      <w:sz w:val="28"/>
      <w:szCs w:val="28"/>
    </w:rPr>
  </w:style>
  <w:style w:type="character" w:styleId="WW8Num24z0">
    <w:name w:val="WW8Num24z0"/>
    <w:qFormat/>
    <w:rPr/>
  </w:style>
  <w:style w:type="character" w:styleId="WW8Num23z0">
    <w:name w:val="WW8Num23z0"/>
    <w:qFormat/>
    <w:rPr/>
  </w:style>
  <w:style w:type="character" w:styleId="WW8Num22z3">
    <w:name w:val="WW8Num22z3"/>
    <w:qFormat/>
    <w:rPr>
      <w:rFonts w:ascii="Symbol" w:hAnsi="Symbol" w:cs="Symbol"/>
    </w:rPr>
  </w:style>
  <w:style w:type="character" w:styleId="WW8Num22z2">
    <w:name w:val="WW8Num22z2"/>
    <w:qFormat/>
    <w:rPr>
      <w:rFonts w:ascii="Wingdings" w:hAnsi="Wingdings" w:cs="Wingdings"/>
    </w:rPr>
  </w:style>
  <w:style w:type="character" w:styleId="WW8Num22z1">
    <w:name w:val="WW8Num22z1"/>
    <w:qFormat/>
    <w:rPr>
      <w:rFonts w:ascii="Courier New" w:hAnsi="Courier New" w:cs="Courier New"/>
    </w:rPr>
  </w:style>
  <w:style w:type="character" w:styleId="WW8Num22z0">
    <w:name w:val="WW8Num22z0"/>
    <w:qFormat/>
    <w:rPr>
      <w:rFonts w:ascii="Times New Roman" w:hAnsi="Times New Roman" w:cs="Times New Roman"/>
    </w:rPr>
  </w:style>
  <w:style w:type="character" w:styleId="WW8Num21z0">
    <w:name w:val="WW8Num21z0"/>
    <w:qFormat/>
    <w:rPr>
      <w:b w:val="false"/>
    </w:rPr>
  </w:style>
  <w:style w:type="character" w:styleId="WW8Num20z2">
    <w:name w:val="WW8Num20z2"/>
    <w:qFormat/>
    <w:rPr>
      <w:rFonts w:ascii="Wingdings" w:hAnsi="Wingdings" w:cs="Wingdings"/>
    </w:rPr>
  </w:style>
  <w:style w:type="character" w:styleId="WW8Num20z1">
    <w:name w:val="WW8Num20z1"/>
    <w:qFormat/>
    <w:rPr>
      <w:rFonts w:ascii="Courier New" w:hAnsi="Courier New" w:cs="Courier New"/>
    </w:rPr>
  </w:style>
  <w:style w:type="character" w:styleId="WW8Num20z0">
    <w:name w:val="WW8Num20z0"/>
    <w:qFormat/>
    <w:rPr>
      <w:rFonts w:ascii="Symbol" w:hAnsi="Symbol" w:cs="Symbol"/>
    </w:rPr>
  </w:style>
  <w:style w:type="character" w:styleId="WW8Num19z2">
    <w:name w:val="WW8Num19z2"/>
    <w:qFormat/>
    <w:rPr>
      <w:rFonts w:ascii="Wingdings" w:hAnsi="Wingdings" w:cs="Wingdings"/>
    </w:rPr>
  </w:style>
  <w:style w:type="character" w:styleId="WW8Num19z1">
    <w:name w:val="WW8Num19z1"/>
    <w:qFormat/>
    <w:rPr>
      <w:rFonts w:ascii="Courier New" w:hAnsi="Courier New" w:cs="Courier New"/>
    </w:rPr>
  </w:style>
  <w:style w:type="character" w:styleId="WW8Num19z0">
    <w:name w:val="WW8Num19z0"/>
    <w:qFormat/>
    <w:rPr>
      <w:rFonts w:ascii="Symbol" w:hAnsi="Symbol" w:cs="Symbol"/>
    </w:rPr>
  </w:style>
  <w:style w:type="character" w:styleId="WW8Num18z0">
    <w:name w:val="WW8Num18z0"/>
    <w:qFormat/>
    <w:rPr/>
  </w:style>
  <w:style w:type="character" w:styleId="WW8Num17z0">
    <w:name w:val="WW8Num17z0"/>
    <w:qFormat/>
    <w:rPr>
      <w:rFonts w:ascii="Symbol" w:hAnsi="Symbol" w:cs="Symbol"/>
      <w:color w:val="000000"/>
    </w:rPr>
  </w:style>
  <w:style w:type="character" w:styleId="WW8Num16z1">
    <w:name w:val="WW8Num16z1"/>
    <w:qFormat/>
    <w:rPr>
      <w:b w:val="false"/>
    </w:rPr>
  </w:style>
  <w:style w:type="character" w:styleId="WW8Num16z0">
    <w:name w:val="WW8Num16z0"/>
    <w:qFormat/>
    <w:rPr/>
  </w:style>
  <w:style w:type="character" w:styleId="WW8Num15z0">
    <w:name w:val="WW8Num15z0"/>
    <w:qFormat/>
    <w:rPr/>
  </w:style>
  <w:style w:type="character" w:styleId="WW8Num14z2">
    <w:name w:val="WW8Num14z2"/>
    <w:qFormat/>
    <w:rPr>
      <w:rFonts w:ascii="Wingdings" w:hAnsi="Wingdings" w:cs="Wingdings"/>
    </w:rPr>
  </w:style>
  <w:style w:type="character" w:styleId="WW8Num14z1">
    <w:name w:val="WW8Num14z1"/>
    <w:qFormat/>
    <w:rPr>
      <w:rFonts w:ascii="Courier New" w:hAnsi="Courier New" w:cs="Courier New"/>
    </w:rPr>
  </w:style>
  <w:style w:type="character" w:styleId="WW8Num14z0">
    <w:name w:val="WW8Num14z0"/>
    <w:qFormat/>
    <w:rPr>
      <w:rFonts w:ascii="Symbol" w:hAnsi="Symbol" w:cs="Symbol"/>
    </w:rPr>
  </w:style>
  <w:style w:type="character" w:styleId="WW8Num13z0">
    <w:name w:val="WW8Num13z0"/>
    <w:qFormat/>
    <w:rPr/>
  </w:style>
  <w:style w:type="character" w:styleId="WW8Num12z0">
    <w:name w:val="WW8Num12z0"/>
    <w:qFormat/>
    <w:rPr/>
  </w:style>
  <w:style w:type="character" w:styleId="WW8Num10z0">
    <w:name w:val="WW8Num10z0"/>
    <w:qFormat/>
    <w:rPr/>
  </w:style>
  <w:style w:type="character" w:styleId="WW8Num9z2">
    <w:name w:val="WW8Num9z2"/>
    <w:qFormat/>
    <w:rPr>
      <w:rFonts w:ascii="Wingdings" w:hAnsi="Wingdings" w:cs="Wingdings"/>
    </w:rPr>
  </w:style>
  <w:style w:type="character" w:styleId="WW8Num9z1">
    <w:name w:val="WW8Num9z1"/>
    <w:qFormat/>
    <w:rPr>
      <w:rFonts w:ascii="Courier New" w:hAnsi="Courier New" w:cs="Courier New"/>
    </w:rPr>
  </w:style>
  <w:style w:type="character" w:styleId="WW8Num9z0">
    <w:name w:val="WW8Num9z0"/>
    <w:qFormat/>
    <w:rPr>
      <w:rFonts w:ascii="Symbol" w:hAnsi="Symbol" w:cs="Symbol"/>
    </w:rPr>
  </w:style>
  <w:style w:type="character" w:styleId="WW8Num5z3">
    <w:name w:val="WW8Num5z3"/>
    <w:qFormat/>
    <w:rPr>
      <w:rFonts w:ascii="Symbol" w:hAnsi="Symbol" w:cs="Symbol"/>
    </w:rPr>
  </w:style>
  <w:style w:type="character" w:styleId="WW8Num5z2">
    <w:name w:val="WW8Num5z2"/>
    <w:qFormat/>
    <w:rPr>
      <w:rFonts w:ascii="Wingdings" w:hAnsi="Wingdings" w:cs="Wingdings"/>
    </w:rPr>
  </w:style>
  <w:style w:type="character" w:styleId="WW8Num5z1">
    <w:name w:val="WW8Num5z1"/>
    <w:qFormat/>
    <w:rPr>
      <w:rFonts w:ascii="Courier New" w:hAnsi="Courier New" w:cs="Courier New"/>
    </w:rPr>
  </w:style>
  <w:style w:type="character" w:styleId="WW8Num4z1">
    <w:name w:val="WW8Num4z1"/>
    <w:qFormat/>
    <w:rPr>
      <w:rFonts w:ascii="Times New Roman" w:hAnsi="Times New Roman" w:cs="Times New Roman"/>
      <w:sz w:val="28"/>
      <w:szCs w:val="28"/>
    </w:rPr>
  </w:style>
  <w:style w:type="character" w:styleId="WW8Num2z2">
    <w:name w:val="WW8Num2z2"/>
    <w:qFormat/>
    <w:rPr>
      <w:rFonts w:ascii="Wingdings" w:hAnsi="Wingdings" w:cs="Wingdings"/>
    </w:rPr>
  </w:style>
  <w:style w:type="character" w:styleId="WW8Num2z1">
    <w:name w:val="WW8Num2z1"/>
    <w:qFormat/>
    <w:rPr>
      <w:rFonts w:ascii="Courier New" w:hAnsi="Courier New" w:cs="Courier New"/>
    </w:rPr>
  </w:style>
  <w:style w:type="character" w:styleId="WW8Num8z0">
    <w:name w:val="WW8Num8z0"/>
    <w:qFormat/>
    <w:rPr/>
  </w:style>
  <w:style w:type="character" w:styleId="WW8Num7z0">
    <w:name w:val="WW8Num7z0"/>
    <w:qFormat/>
    <w:rPr/>
  </w:style>
  <w:style w:type="character" w:styleId="WW8Num6z0">
    <w:name w:val="WW8Num6z0"/>
    <w:qFormat/>
    <w:rPr>
      <w:rFonts w:ascii="Symbol" w:hAnsi="Symbol" w:cs="Symbol"/>
    </w:rPr>
  </w:style>
  <w:style w:type="character" w:styleId="WW8Num5z0">
    <w:name w:val="WW8Num5z0"/>
    <w:qFormat/>
    <w:rPr>
      <w:rFonts w:ascii="Times New Roman" w:hAnsi="Times New Roman" w:cs="Times New Roman"/>
    </w:rPr>
  </w:style>
  <w:style w:type="character" w:styleId="WW8Num4z0">
    <w:name w:val="WW8Num4z0"/>
    <w:qFormat/>
    <w:rPr>
      <w:rFonts w:ascii="Symbol" w:hAnsi="Symbol" w:cs="Symbol"/>
    </w:rPr>
  </w:style>
  <w:style w:type="character" w:styleId="WW8Num3z0">
    <w:name w:val="WW8Num3z0"/>
    <w:qFormat/>
    <w:rPr>
      <w:rFonts w:ascii="Symbol" w:hAnsi="Symbol" w:cs="Symbol"/>
    </w:rPr>
  </w:style>
  <w:style w:type="character" w:styleId="WW8Num2z0">
    <w:name w:val="WW8Num2z0"/>
    <w:qFormat/>
    <w:rPr>
      <w:rFonts w:ascii="Symbol" w:hAnsi="Symbol" w:cs="Symbol"/>
    </w:rPr>
  </w:style>
  <w:style w:type="paragraph" w:styleId="Style22">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6"/>
    <w:rsid w:val="00084bde"/>
    <w:pPr>
      <w:spacing w:before="0" w:after="12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23">
    <w:name w:val="Указатель"/>
    <w:basedOn w:val="Normal"/>
    <w:qFormat/>
    <w:pPr>
      <w:suppressLineNumbers/>
    </w:pPr>
    <w:rPr>
      <w:rFonts w:cs="Arial Unicode MS"/>
    </w:rPr>
  </w:style>
  <w:style w:type="paragraph" w:styleId="Title">
    <w:name w:val="Title"/>
    <w:basedOn w:val="Normal"/>
    <w:next w:val="BodyText"/>
    <w:link w:val="Style5"/>
    <w:qFormat/>
    <w:rsid w:val="00a264b0"/>
    <w:pPr>
      <w:jc w:val="center"/>
    </w:pPr>
    <w:rPr>
      <w:b/>
      <w:bCs/>
      <w:sz w:val="24"/>
      <w:szCs w:val="24"/>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
    <w:name w:val="index heading"/>
    <w:basedOn w:val="Normal"/>
    <w:qFormat/>
    <w:pPr>
      <w:suppressLineNumbers/>
    </w:pPr>
    <w:rPr>
      <w:rFonts w:cs="Arial Unicode MS"/>
    </w:rPr>
  </w:style>
  <w:style w:type="paragraph" w:styleId="Style24"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5" w:customStyle="1">
    <w:name w:val="Колонтитул"/>
    <w:basedOn w:val="Normal"/>
    <w:qFormat/>
    <w:pPr/>
    <w:rPr/>
  </w:style>
  <w:style w:type="paragraph" w:styleId="Footer">
    <w:name w:val="Footer"/>
    <w:basedOn w:val="Normal"/>
    <w:link w:val="Style14"/>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7"/>
    <w:qFormat/>
    <w:rsid w:val="00d36934"/>
    <w:pPr/>
    <w:rPr/>
  </w:style>
  <w:style w:type="paragraph" w:styleId="Annotationsubject">
    <w:name w:val="annotation subject"/>
    <w:basedOn w:val="Annotationtext"/>
    <w:next w:val="Annotationtext"/>
    <w:link w:val="Style8"/>
    <w:qFormat/>
    <w:rsid w:val="00d36934"/>
    <w:pPr/>
    <w:rPr>
      <w:b/>
      <w:bCs/>
      <w:lang w:val="x-none" w:eastAsia="x-none"/>
    </w:rPr>
  </w:style>
  <w:style w:type="paragraph" w:styleId="ListParagraph">
    <w:name w:val="List Paragraph"/>
    <w:basedOn w:val="Normal"/>
    <w:link w:val="Style16"/>
    <w:uiPriority w:val="34"/>
    <w:qFormat/>
    <w:rsid w:val="00ec6e7d"/>
    <w:pPr>
      <w:spacing w:before="0" w:after="0"/>
      <w:ind w:left="720" w:hanging="0"/>
      <w:contextualSpacing/>
    </w:pPr>
    <w:rPr/>
  </w:style>
  <w:style w:type="paragraph" w:styleId="Style26"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7"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9"/>
    <w:rsid w:val="00e00bca"/>
    <w:pPr>
      <w:spacing w:before="0" w:after="120"/>
      <w:ind w:left="283" w:hanging="0"/>
    </w:pPr>
    <w:rPr/>
  </w:style>
  <w:style w:type="paragraph" w:styleId="Style28"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1"/>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3"/>
    <w:uiPriority w:val="99"/>
    <w:rsid w:val="000449a5"/>
    <w:pPr>
      <w:tabs>
        <w:tab w:val="clear" w:pos="709"/>
        <w:tab w:val="center" w:pos="4677" w:leader="none"/>
        <w:tab w:val="right" w:pos="9355" w:leader="none"/>
      </w:tabs>
    </w:pPr>
    <w:rPr/>
  </w:style>
  <w:style w:type="paragraph" w:styleId="Style29"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NormalWeb">
    <w:name w:val="Normal (Web)"/>
    <w:basedOn w:val="Normal"/>
    <w:uiPriority w:val="99"/>
    <w:unhideWhenUsed/>
    <w:qFormat/>
    <w:rsid w:val="003e7f9e"/>
    <w:pPr>
      <w:widowControl/>
      <w:spacing w:beforeAutospacing="1" w:afterAutospacing="1"/>
    </w:pPr>
    <w:rPr>
      <w:sz w:val="24"/>
      <w:szCs w:val="24"/>
    </w:rPr>
  </w:style>
  <w:style w:type="paragraph" w:styleId="Style30" w:customStyle="1">
    <w:name w:val="Содержимое таблицы"/>
    <w:basedOn w:val="Normal"/>
    <w:qFormat/>
    <w:pPr>
      <w:suppressLineNumbers/>
    </w:pPr>
    <w:rPr/>
  </w:style>
  <w:style w:type="paragraph" w:styleId="Style31" w:customStyle="1">
    <w:name w:val="Заголовок таблицы"/>
    <w:basedOn w:val="Style30"/>
    <w:qFormat/>
    <w:pPr>
      <w:jc w:val="center"/>
    </w:pPr>
    <w:rPr>
      <w:b/>
      <w:bCs/>
    </w:rPr>
  </w:style>
  <w:style w:type="paragraph" w:styleId="Style32">
    <w:name w:val=" Знак Знак Знак Знак Знак Знак Знак Знак Знак"/>
    <w:basedOn w:val="Normal"/>
    <w:qFormat/>
    <w:pPr>
      <w:spacing w:lineRule="exact" w:line="240" w:before="0" w:after="160"/>
      <w:ind w:left="0" w:right="0" w:hanging="0"/>
    </w:pPr>
    <w:rPr>
      <w:rFonts w:ascii="Verdana" w:hAnsi="Verdana" w:cs="Verdana"/>
      <w:sz w:val="22"/>
      <w:lang w:val="en-US"/>
    </w:rPr>
  </w:style>
  <w:style w:type="paragraph" w:styleId="Style33">
    <w:name w:val="Текст выноски"/>
    <w:basedOn w:val="Normal"/>
    <w:qFormat/>
    <w:pPr>
      <w:spacing w:lineRule="auto" w:line="240"/>
    </w:pPr>
    <w:rPr>
      <w:rFonts w:ascii="Tahoma" w:hAnsi="Tahoma" w:cs="Tahoma"/>
      <w:sz w:val="16"/>
      <w:szCs w:val="16"/>
    </w:rPr>
  </w:style>
  <w:style w:type="paragraph" w:styleId="Style34">
    <w:name w:val="Абзац списка"/>
    <w:basedOn w:val="Normal"/>
    <w:qFormat/>
    <w:pPr>
      <w:widowControl w:val="false"/>
      <w:spacing w:lineRule="auto" w:line="240" w:before="0" w:after="0"/>
      <w:ind w:left="720" w:right="0" w:hanging="0"/>
      <w:contextualSpacing/>
      <w:jc w:val="left"/>
    </w:pPr>
    <w:rPr>
      <w:sz w:val="20"/>
    </w:rPr>
  </w:style>
  <w:style w:type="paragraph" w:styleId="21">
    <w:name w:val="Основной текст 21"/>
    <w:basedOn w:val="Normal"/>
    <w:qFormat/>
    <w:pPr>
      <w:suppressAutoHyphens w:val="true"/>
      <w:spacing w:lineRule="auto" w:line="240"/>
      <w:ind w:left="0" w:right="0" w:hanging="0"/>
      <w:jc w:val="right"/>
    </w:pPr>
    <w:rPr>
      <w:i/>
      <w:sz w:val="26"/>
    </w:rPr>
  </w:style>
  <w:style w:type="paragraph" w:styleId="211">
    <w:name w:val=" Знак2 Знак Знак Знак Знак Знак Знак Знак Знак Знак Знак Знак Знак Знак Знак Знак Знак Знак Знак Знак Знак1 Знак Знак Знак"/>
    <w:basedOn w:val="Normal"/>
    <w:qFormat/>
    <w:pPr>
      <w:spacing w:lineRule="exact" w:line="240" w:before="0" w:after="160"/>
      <w:ind w:left="0" w:right="0" w:hanging="0"/>
      <w:jc w:val="left"/>
    </w:pPr>
    <w:rPr>
      <w:rFonts w:ascii="Verdana" w:hAnsi="Verdana" w:cs="Verdana"/>
      <w:sz w:val="20"/>
      <w:lang w:val="en-US"/>
    </w:rPr>
  </w:style>
  <w:style w:type="paragraph" w:styleId="2">
    <w:name w:val=" Знак2 Знак Знак Знак"/>
    <w:basedOn w:val="Normal"/>
    <w:qFormat/>
    <w:pPr>
      <w:spacing w:lineRule="exact" w:line="240" w:before="0" w:after="160"/>
      <w:ind w:left="0" w:right="0" w:hanging="0"/>
      <w:jc w:val="left"/>
    </w:pPr>
    <w:rPr>
      <w:rFonts w:ascii="Verdana" w:hAnsi="Verdana" w:cs="Verdana"/>
      <w:sz w:val="20"/>
      <w:lang w:val="en-US"/>
    </w:rPr>
  </w:style>
  <w:style w:type="paragraph" w:styleId="Style35">
    <w:name w:val="Таблица шапка"/>
    <w:basedOn w:val="Normal"/>
    <w:qFormat/>
    <w:pPr>
      <w:keepNext w:val="true"/>
      <w:spacing w:lineRule="auto" w:line="240" w:before="40" w:after="40"/>
      <w:ind w:left="57" w:right="57" w:hanging="0"/>
      <w:jc w:val="left"/>
    </w:pPr>
    <w:rPr>
      <w:sz w:val="22"/>
    </w:rPr>
  </w:style>
  <w:style w:type="paragraph" w:styleId="Style36">
    <w:name w:val="Нумерованный список"/>
    <w:basedOn w:val="Normal"/>
    <w:qFormat/>
    <w:pPr>
      <w:spacing w:before="60" w:after="0"/>
      <w:ind w:left="0" w:right="0" w:hanging="0"/>
    </w:pPr>
    <w:rPr>
      <w:szCs w:val="24"/>
    </w:rPr>
  </w:style>
  <w:style w:type="paragraph" w:styleId="Caption1111">
    <w:name w:val="Caption1111"/>
    <w:basedOn w:val="Normal"/>
    <w:qFormat/>
    <w:pPr>
      <w:suppressLineNumbers/>
      <w:spacing w:before="120" w:after="120"/>
    </w:pPr>
    <w:rPr>
      <w:rFonts w:cs="Arial Unicode MS"/>
      <w:i/>
      <w:iCs/>
      <w:sz w:val="24"/>
      <w:szCs w:val="24"/>
    </w:rPr>
  </w:style>
  <w:style w:type="paragraph" w:styleId="Caption111">
    <w:name w:val="Caption111"/>
    <w:basedOn w:val="Normal"/>
    <w:qFormat/>
    <w:pPr>
      <w:suppressLineNumbers/>
      <w:spacing w:before="120" w:after="120"/>
    </w:pPr>
    <w:rPr>
      <w:rFonts w:cs="Arial Unicode MS"/>
      <w:i/>
      <w:iCs/>
      <w:sz w:val="24"/>
      <w:szCs w:val="24"/>
    </w:rPr>
  </w:style>
  <w:style w:type="paragraph" w:styleId="Caption11">
    <w:name w:val="Caption11"/>
    <w:basedOn w:val="Normal"/>
    <w:qFormat/>
    <w:pPr>
      <w:suppressLineNumbers/>
      <w:spacing w:before="120" w:after="120"/>
    </w:pPr>
    <w:rPr>
      <w:rFonts w:cs="Arial Unicode MS"/>
      <w:i/>
      <w:iCs/>
      <w:sz w:val="24"/>
      <w:szCs w:val="24"/>
    </w:rPr>
  </w:style>
  <w:style w:type="paragraph" w:styleId="Caption12">
    <w:name w:val="Caption12"/>
    <w:basedOn w:val="Normal"/>
    <w:qFormat/>
    <w:pPr>
      <w:suppressLineNumbers/>
      <w:spacing w:before="120" w:after="120"/>
    </w:pPr>
    <w:rPr>
      <w:rFonts w:cs="Arial Unicode MS"/>
      <w:i/>
      <w:iCs/>
      <w:sz w:val="24"/>
      <w:szCs w:val="24"/>
    </w:rPr>
  </w:style>
  <w:style w:type="numbering" w:styleId="NoList" w:default="1">
    <w:name w:val="No List"/>
    <w:uiPriority w:val="99"/>
    <w:semiHidden/>
    <w:unhideWhenUsed/>
    <w:qFormat/>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d">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d@rushydro.ru" TargetMode="External"/><Relationship Id="rId3" Type="http://schemas.openxmlformats.org/officeDocument/2006/relationships/hyperlink" Target="consultantplus://offline/ref=94D5CE8889791A29DE57299515463A9D6134D8237B999C803E6F853513x2A2P" TargetMode="External"/><Relationship Id="rId4" Type="http://schemas.openxmlformats.org/officeDocument/2006/relationships/hyperlink" Target="consultantplus://offline/ref=94D5CE8889791A29DE57299515463A9D6135D2287D929C803E6F853513x2A2P" TargetMode="External"/><Relationship Id="rId5" Type="http://schemas.openxmlformats.org/officeDocument/2006/relationships/hyperlink" Target="consultantplus://offline/ref=79440D5123ABA6A25F43346AB59DBAAC7032C8E1556DA64FAED62E167F76889C2B7C475C32EFC59BJ8rDH"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Relationship Id="rId15" Type="http://schemas.openxmlformats.org/officeDocument/2006/relationships/customXml" Target="../customXml/item2.xml"/><Relationship Id="rId16" Type="http://schemas.openxmlformats.org/officeDocument/2006/relationships/customXml" Target="../customXml/item3.xml"/><Relationship Id="rId17"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4B0BAB9-8B8F-4B85-B8DF-266ED50E1B2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50D86B4F-C15C-4EEE-AF25-77F35D2DD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878</TotalTime>
  <Application>AlterOffice/3.4.0.9$Linux_X86_64 LibreOffice_project/b8daf9e823b1a5463a2f48435ddc2e8696e7d4fc</Application>
  <AppVersion>15.0000</AppVersion>
  <Pages>15</Pages>
  <Words>5625</Words>
  <Characters>39833</Characters>
  <CharactersWithSpaces>45301</CharactersWithSpaces>
  <Paragraphs>241</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2023-03-22T14:33:00Z</dcterms:created>
  <dc:creator>tsypilev_ag</dc:creator>
  <dc:description/>
  <dc:language>ru-RU</dc:language>
  <cp:lastModifiedBy>klepikovasv@corp.gidroogk.com</cp:lastModifiedBy>
  <cp:lastPrinted>2018-05-22T09:46:00Z</cp:lastPrinted>
  <dcterms:modified xsi:type="dcterms:W3CDTF">2026-08-21T13:57:40Z</dcterms:modified>
  <cp:revision>77</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