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i/>
          <w:i/>
        </w:rPr>
      </w:pPr>
      <w:r>
        <w:rPr>
          <w:rFonts w:eastAsia="Calibri"/>
          <w:sz w:val="26"/>
          <w:szCs w:val="26"/>
        </w:rPr>
        <w:t>«Поставка портативного цифрового регистратор-анализатора для динамических процессов (1шт.)»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46538_3315467364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46540_3315467364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46542_3315467364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46544_3315467364">
            <w:r>
              <w:rPr>
                <w:webHidden/>
                <w:rStyle w:val="Style14"/>
                <w:vanish w:val="false"/>
              </w:rPr>
              <w:t>1.3. Цели и задачи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46546_3315467364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6548_3315467364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46550_3315467364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46552_3315467364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6554_3315467364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46556_3315467364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6558_3315467364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46560_3315467364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8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6562_3315467364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8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46564_3315467364">
            <w:r>
              <w:rPr>
                <w:webHidden/>
                <w:rStyle w:val="Style14"/>
                <w:vanish w:val="false"/>
              </w:rPr>
              <w:t>-</w:t>
              <w:tab/>
              <w:t>10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46566_3315467364">
            <w:r>
              <w:rPr>
                <w:webHidden/>
                <w:rStyle w:val="Style14"/>
                <w:vanish w:val="false"/>
              </w:rPr>
              <w:t>-</w:t>
              <w:tab/>
              <w:t>10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46568_3315467364">
            <w:r>
              <w:rPr>
                <w:webHidden/>
                <w:rStyle w:val="Style14"/>
                <w:vanish w:val="false"/>
              </w:rPr>
              <w:t>Предложение по гарантийному и послегарантийному обслуживанию</w:t>
              <w:tab/>
              <w:t>11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6570_3315467364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6572_3315467364">
            <w:r>
              <w:rPr>
                <w:webHidden/>
                <w:rStyle w:val="Style14"/>
                <w:vanish w:val="false"/>
              </w:rPr>
              <w:t xml:space="preserve">4.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14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numPr>
          <w:ilvl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caps/>
          <w:lang w:val="ru-RU"/>
        </w:rPr>
      </w:pPr>
      <w:bookmarkStart w:id="0" w:name="__RefHeading___Toc46538_3315467364"/>
      <w:bookmarkStart w:id="1" w:name="_Toc51339692"/>
      <w:bookmarkStart w:id="2" w:name="_Toc75446566"/>
      <w:bookmarkEnd w:id="0"/>
      <w:bookmarkEnd w:id="1"/>
      <w:bookmarkEnd w:id="2"/>
      <w:r>
        <w:rPr>
          <w:lang w:val="ru-RU"/>
        </w:rPr>
        <w:t>Общие сведения</w:t>
      </w:r>
    </w:p>
    <w:p>
      <w:pPr>
        <w:pStyle w:val="Heading4"/>
        <w:numPr>
          <w:ilvl w:val="1"/>
          <w:numId w:val="2"/>
        </w:numPr>
        <w:rPr/>
      </w:pPr>
      <w:bookmarkStart w:id="3" w:name="__RefHeading___Toc46540_3315467364"/>
      <w:bookmarkStart w:id="4" w:name="_Toc46743505"/>
      <w:bookmarkStart w:id="5" w:name="_Toc75446567"/>
      <w:bookmarkEnd w:id="3"/>
      <w:bookmarkEnd w:id="4"/>
      <w:bookmarkEnd w:id="5"/>
      <w:r>
        <w:rPr/>
        <w:t>Обозначения и сокращения</w:t>
      </w:r>
    </w:p>
    <w:p>
      <w:pPr>
        <w:pStyle w:val="Normal"/>
        <w:rPr>
          <w:rStyle w:val="Style8"/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гидроагрегат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«Саратовская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</w:rPr>
              <w:t>Персональный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компьютер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СКЗ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Среднее квадратическое значение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2"/>
        </w:numPr>
        <w:spacing w:lineRule="auto" w:line="240"/>
        <w:rPr/>
      </w:pPr>
      <w:bookmarkStart w:id="6" w:name="__RefHeading___Toc46542_3315467364"/>
      <w:bookmarkStart w:id="7" w:name="_Toc75446568"/>
      <w:bookmarkStart w:id="8" w:name="_Toc46743506"/>
      <w:bookmarkEnd w:id="6"/>
      <w:bookmarkEnd w:id="7"/>
      <w:bookmarkEnd w:id="8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rPr/>
      </w:pPr>
      <w:r>
        <w:rPr>
          <w:rFonts w:eastAsia="Calibri"/>
          <w:sz w:val="24"/>
          <w:szCs w:val="24"/>
          <w:lang w:eastAsia="x-none"/>
        </w:rPr>
        <w:t>«Портативный цифровой регистратор-анализатор для динамических процессов»</w:t>
      </w:r>
      <w:r>
        <w:rPr>
          <w:rFonts w:eastAsia="Calibri"/>
          <w:lang w:eastAsia="x-none"/>
        </w:rPr>
        <w:br/>
      </w:r>
      <w:bookmarkStart w:id="9" w:name="_Toc75446569"/>
      <w:bookmarkStart w:id="10" w:name="_Toc46743507"/>
      <w:r>
        <w:rPr/>
        <w:t>Цел</w:t>
      </w:r>
      <w:bookmarkEnd w:id="10"/>
      <w:r>
        <w:rPr/>
        <w:t>и и задачи</w:t>
      </w:r>
      <w:bookmarkEnd w:id="9"/>
    </w:p>
    <w:p>
      <w:pPr>
        <w:pStyle w:val="Normal"/>
        <w:keepNext w:val="true"/>
        <w:keepLines/>
        <w:spacing w:lineRule="auto" w:line="240"/>
        <w:jc w:val="both"/>
        <w:rPr/>
      </w:pPr>
      <w:r>
        <w:rPr>
          <w:sz w:val="24"/>
          <w:szCs w:val="24"/>
        </w:rPr>
        <w:t>1.2.1.</w:t>
        <w:tab/>
        <w:t>Дооснащение специалистов филиала ПАО "РусГидро"-"Саратовская ГЭС", собственным оборудованием  для пров</w:t>
      </w:r>
      <w:r>
        <w:rPr>
          <w:sz w:val="24"/>
          <w:szCs w:val="24"/>
          <w:shd w:fill="auto" w:val="clear"/>
        </w:rPr>
        <w:t>едения комплексных вибрационных испытаний и испытаний по контролю динамической формы ротора и статора гидроагрегатов Сар</w:t>
      </w:r>
      <w:r>
        <w:rPr>
          <w:sz w:val="24"/>
          <w:szCs w:val="24"/>
        </w:rPr>
        <w:t>атовской ГЭС  с целью определения/контроля  эксплуатационного состояния и своевременного выявления дефектов на ранних стадиях их развития. Предотвращение (снижение) вероятных  аварийных отказов оборудования по причине  повышенной вибрации.</w:t>
      </w:r>
    </w:p>
    <w:p>
      <w:pPr>
        <w:pStyle w:val="Normal"/>
        <w:keepNext w:val="true"/>
        <w:keepLines/>
        <w:spacing w:lineRule="auto" w:line="240"/>
        <w:rPr/>
      </w:pPr>
      <w:r>
        <w:rPr>
          <w:sz w:val="24"/>
          <w:szCs w:val="24"/>
        </w:rPr>
        <w:tab/>
        <w:t xml:space="preserve">Основание на закупку: </w:t>
      </w:r>
    </w:p>
    <w:p>
      <w:pPr>
        <w:pStyle w:val="Normal"/>
        <w:keepNext w:val="true"/>
        <w:keepLines/>
        <w:spacing w:lineRule="auto" w:line="240"/>
        <w:rPr/>
      </w:pPr>
      <w:r>
        <w:rPr>
          <w:sz w:val="24"/>
          <w:szCs w:val="24"/>
        </w:rPr>
        <w:t xml:space="preserve">- Требования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8"/>
          <w:szCs w:val="24"/>
          <w:u w:val="none"/>
          <w:em w:val="none"/>
        </w:rPr>
        <w:t>С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8"/>
          <w:u w:val="none"/>
          <w:em w:val="none"/>
        </w:rPr>
        <w:t>ТО 70238424.27.140.001-2011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>о необходимости проведения  комплексных вибрационных испытаний и испытаний по контролю динамической формы ротора и статора.</w:t>
      </w:r>
    </w:p>
    <w:p>
      <w:pPr>
        <w:pStyle w:val="Heading4"/>
        <w:numPr>
          <w:ilvl w:val="1"/>
          <w:numId w:val="2"/>
        </w:numPr>
        <w:spacing w:lineRule="auto" w:line="240"/>
        <w:rPr/>
      </w:pPr>
      <w:bookmarkStart w:id="11" w:name="__RefHeading___Toc46546_3315467364"/>
      <w:bookmarkStart w:id="12" w:name="_Toc75446570"/>
      <w:bookmarkStart w:id="13" w:name="_Toc46743508"/>
      <w:bookmarkEnd w:id="11"/>
      <w:r>
        <w:rPr/>
        <w:t>Существующее положение</w:t>
      </w:r>
      <w:bookmarkEnd w:id="12"/>
      <w:bookmarkEnd w:id="13"/>
      <w:r>
        <w:rPr>
          <w:lang w:val="ru-RU"/>
        </w:rPr>
        <w:t xml:space="preserve"> </w:t>
      </w:r>
    </w:p>
    <w:p>
      <w:pPr>
        <w:pStyle w:val="Normal"/>
        <w:keepNext w:val="true"/>
        <w:keepLines/>
        <w:spacing w:lineRule="auto" w:line="240"/>
        <w:rPr/>
      </w:pPr>
      <w:r>
        <w:rPr>
          <w:sz w:val="24"/>
          <w:szCs w:val="24"/>
        </w:rPr>
        <w:t xml:space="preserve">Отсутствие прибора и оснастки для проведения комплексных измерений, что не позволяет полноценно оценивать состояние оборудования. </w:t>
      </w:r>
    </w:p>
    <w:p>
      <w:pPr>
        <w:pStyle w:val="Heading1"/>
        <w:keepLines/>
        <w:numPr>
          <w:ilvl w:val="0"/>
          <w:numId w:val="2"/>
        </w:numPr>
        <w:spacing w:lineRule="auto" w:line="240" w:before="0" w:after="0"/>
        <w:ind w:left="357" w:hanging="357"/>
        <w:jc w:val="center"/>
        <w:rPr/>
      </w:pPr>
      <w:bookmarkStart w:id="14" w:name="__RefHeading___Toc46548_3315467364"/>
      <w:bookmarkStart w:id="15" w:name="_Toc51339693"/>
      <w:bookmarkStart w:id="16" w:name="_Toc75446573"/>
      <w:bookmarkEnd w:id="14"/>
      <w:bookmarkEnd w:id="15"/>
      <w:bookmarkEnd w:id="16"/>
      <w:r>
        <w:rPr>
          <w:iCs/>
        </w:rPr>
        <w:t>Требования к продукции</w:t>
      </w:r>
    </w:p>
    <w:p>
      <w:pPr>
        <w:pStyle w:val="Heading4"/>
        <w:numPr>
          <w:ilvl w:val="1"/>
          <w:numId w:val="2"/>
        </w:numPr>
        <w:spacing w:lineRule="auto" w:line="240"/>
        <w:rPr/>
      </w:pPr>
      <w:bookmarkStart w:id="17" w:name="__RefHeading___Toc46550_3315467364"/>
      <w:bookmarkStart w:id="18" w:name="_Toc75446574"/>
      <w:bookmarkEnd w:id="17"/>
      <w:r>
        <w:rPr/>
        <w:t xml:space="preserve">Требования к объемам и срокам </w:t>
      </w:r>
      <w:bookmarkEnd w:id="18"/>
      <w:r>
        <w:rPr>
          <w:lang w:val="ru-RU"/>
        </w:rPr>
        <w:t>поставки</w:t>
      </w:r>
    </w:p>
    <w:p>
      <w:pPr>
        <w:pStyle w:val="Heading3"/>
        <w:numPr>
          <w:ilvl w:val="2"/>
          <w:numId w:val="2"/>
        </w:numPr>
        <w:spacing w:lineRule="auto" w:line="240"/>
        <w:rPr/>
      </w:pPr>
      <w:bookmarkStart w:id="19" w:name="__RefHeading___Toc46552_3315467364"/>
      <w:bookmarkStart w:id="20" w:name="_Toc75446575"/>
      <w:bookmarkEnd w:id="19"/>
      <w:bookmarkEnd w:id="20"/>
      <w:r>
        <w:rPr>
          <w:lang w:val="ru-RU"/>
        </w:rPr>
        <w:t>Перечень и объем закупаемой продукции</w:t>
      </w:r>
    </w:p>
    <w:p>
      <w:pPr>
        <w:pStyle w:val="Heading1"/>
        <w:keepLines/>
        <w:numPr>
          <w:ilvl w:val="0"/>
          <w:numId w:val="0"/>
        </w:numPr>
        <w:spacing w:lineRule="auto" w:line="240" w:before="68" w:after="62"/>
        <w:ind w:left="0" w:hanging="0"/>
        <w:rPr/>
      </w:pPr>
      <w:bookmarkStart w:id="21" w:name="__RefHeading___Toc46554_3315467364"/>
      <w:bookmarkStart w:id="22" w:name="_Toc75446576"/>
      <w:bookmarkStart w:id="23" w:name="_Toc51339695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bookmarkEnd w:id="23"/>
      <w:r>
        <w:rPr>
          <w:sz w:val="24"/>
          <w:szCs w:val="24"/>
          <w:lang w:val="ru-RU"/>
        </w:rPr>
        <w:t>и объем закупаемой продукции</w:t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3"/>
        <w:gridCol w:w="6530"/>
        <w:gridCol w:w="1300"/>
        <w:gridCol w:w="1418"/>
      </w:tblGrid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240" w:before="0" w:after="0"/>
              <w:ind w:left="-113" w:right="0" w:hanging="0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Портативный цифровой регистратор-анализатора для динамических процессов (с возможностью работы в многоканального режиме)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Разветвитель каналов</w:t>
            </w:r>
          </w:p>
        </w:tc>
        <w:tc>
          <w:tcPr>
            <w:tcW w:w="13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Датчик боя вала (диапазон измерений 0-3500мкм)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Датчики вибрации (частотный диапазон 0,8-200Гц, амплитудный диапазон  +/-500мкм)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Отметчик оборотов лазерный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Светоотражающие метки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к-т.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Кабель датчика вибрации (30м)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Кабель датчика боя (30м)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Кабель отметчика оборотов (30м)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Кабель формы ротора и статора с делителем напряжения (изм. витки 30м)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Крепеж с магнитными присосками для датчиков боя и отметчика оборотов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Переносной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персональный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компьютер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Набор тарировочных пластин (1.0мм, 2.0мм)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Кейс для переноски ПК и измерительного блока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Кейс для переноски датчиков и кабелей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Программное обеспечение для измерений и анализа данных.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Паспорта, Техническое описание и инструкция по -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эксплуатации, Методика поверки, Свидетельство об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</w:rPr>
              <w:t>утверждении типа средств измерений, Свидетельство о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rPr/>
            </w:pPr>
            <w:r>
              <w:rPr>
                <w:sz w:val="24"/>
                <w:szCs w:val="24"/>
                <w:lang w:val="en-US"/>
              </w:rPr>
              <w:t>поверке.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к-т.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2"/>
        </w:numPr>
        <w:spacing w:lineRule="auto" w:line="240"/>
        <w:rPr/>
      </w:pPr>
      <w:bookmarkStart w:id="24" w:name="__RefHeading___Toc46556_3315467364"/>
      <w:bookmarkStart w:id="25" w:name="_Toc75446578"/>
      <w:bookmarkStart w:id="26" w:name="_Toc51339696"/>
      <w:bookmarkEnd w:id="24"/>
      <w:r>
        <w:rPr>
          <w:lang w:val="ru-RU"/>
        </w:rPr>
        <w:t xml:space="preserve">Требования </w:t>
      </w:r>
      <w:bookmarkEnd w:id="25"/>
      <w:bookmarkEnd w:id="26"/>
      <w:r>
        <w:rPr>
          <w:lang w:val="ru-RU"/>
        </w:rPr>
        <w:t>к срокам поставки продукции и оказания сопутствующих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7" w:name="__RefHeading___Toc46558_3315467364"/>
      <w:bookmarkStart w:id="28" w:name="_Toc75446579"/>
      <w:bookmarkStart w:id="29" w:name="_Toc50125127"/>
      <w:bookmarkStart w:id="30" w:name="_Toc51339697"/>
      <w:bookmarkStart w:id="31" w:name="_Toc50125126"/>
      <w:bookmarkEnd w:id="27"/>
      <w:bookmarkEnd w:id="3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поставки продукции</w:t>
      </w:r>
      <w:bookmarkEnd w:id="28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3"/>
        <w:gridCol w:w="3750"/>
        <w:gridCol w:w="2775"/>
        <w:gridCol w:w="2687"/>
      </w:tblGrid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bookmarkStart w:id="33" w:name="_Toc46743510"/>
            <w:bookmarkEnd w:id="33"/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Портативный цифровой регистратор-анализатора для динамических процессов (с возможностью работы в многоканального режиме)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2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Разветвитель каналов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3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Датчик боя вала (диапазон измерений 0-3500мкм)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4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Датчики вибрации (частотный диапазон 0,8-200Гц, амплитудный диапазон  +/-500мкм)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5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Отметчик оборотов лазерный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6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Светоотражающие метки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7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Кабель датчика вибрации (30м)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8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Кабель датчика боя (30м)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9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Кабель отметчика оборотов (30м)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0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Кабель формы ротора и статора с делителем напряжения (изм. витки 30м)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1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Крепеж с магнитными присосками для датчиков боя и отметчика оборотов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2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Переносной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персональный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компьютер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3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Набор тарировочных пластин (1.0мм, 2.0мм)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4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Кейс для переноски ПК и измерительного блока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5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Кейс для переноски датчиков и кабелей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6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Программное обеспечение для измерений и анализа данных.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7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  <w:tr>
        <w:trPr/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Паспорта, Техническое описание и инструкция по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</w:rPr>
              <w:t>эксплуатации, Методика поверки, Свидетельство об утверждении типа средств измерений, свидетельство о</w:t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4"/>
                <w:szCs w:val="24"/>
                <w:lang w:val="en-US"/>
              </w:rPr>
              <w:t>поверке.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Не позднее 30.06.202</w:t>
            </w:r>
            <w:hyperlink r:id="rId18">
              <w:r>
                <w:rPr>
                  <w:sz w:val="24"/>
                  <w:szCs w:val="24"/>
                  <w:shd w:fill="auto" w:val="clear"/>
                </w:rPr>
                <w:t>7</w:t>
              </w:r>
            </w:hyperlink>
          </w:p>
        </w:tc>
      </w:tr>
    </w:tbl>
    <w:p>
      <w:pPr>
        <w:sectPr>
          <w:headerReference w:type="default" r:id="rId19"/>
          <w:headerReference w:type="first" r:id="rId20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"/>
        </w:numPr>
        <w:rPr>
          <w:rStyle w:val="Pagenumber"/>
        </w:rPr>
      </w:pPr>
      <w:bookmarkStart w:id="34" w:name="__RefHeading___Toc46560_3315467364"/>
      <w:bookmarkStart w:id="35" w:name="_Toc51339698"/>
      <w:bookmarkStart w:id="36" w:name="_Toc46743511"/>
      <w:bookmarkStart w:id="37" w:name="_Toc75446581"/>
      <w:bookmarkEnd w:id="34"/>
      <w:r>
        <w:rPr/>
        <w:t xml:space="preserve">Требования к </w:t>
      </w:r>
      <w:bookmarkEnd w:id="36"/>
      <w:bookmarkEnd w:id="37"/>
      <w:r>
        <w:rPr>
          <w:lang w:val="ru-RU"/>
        </w:rPr>
        <w:t>качеству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8" w:name="__RefHeading___Toc46562_3315467364"/>
      <w:bookmarkEnd w:id="38"/>
      <w:r>
        <w:rPr>
          <w:sz w:val="24"/>
          <w:szCs w:val="24"/>
        </w:rPr>
        <w:t xml:space="preserve"> </w:t>
      </w:r>
      <w:bookmarkStart w:id="39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5"/>
      <w:bookmarkEnd w:id="39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</w:rPr>
      </w:pPr>
      <w:r>
        <w:rPr>
          <w:rStyle w:val="Style8"/>
        </w:rPr>
        <w:t xml:space="preserve"> </w:t>
      </w:r>
      <w:r>
        <w:rPr>
          <w:b/>
          <w:bCs/>
          <w:i/>
          <w:iCs/>
          <w:sz w:val="24"/>
          <w:szCs w:val="24"/>
        </w:rPr>
        <w:t>Наименование продукции (позиция № 1 Таблицы 1.1): Портативный цифровой регистратор-анализатора для динамических процессов</w:t>
      </w:r>
    </w:p>
    <w:tbl>
      <w:tblPr>
        <w:tblStyle w:val="affff0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1"/>
        <w:gridCol w:w="2732"/>
        <w:gridCol w:w="11"/>
        <w:gridCol w:w="4075"/>
        <w:gridCol w:w="2502"/>
        <w:gridCol w:w="2887"/>
        <w:gridCol w:w="2270"/>
      </w:tblGrid>
      <w:tr>
        <w:trPr/>
        <w:tc>
          <w:tcPr>
            <w:tcW w:w="83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743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07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8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7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3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3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07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Входные аналоговые (измерительные) каналы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количеству аналоговых каналов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(паспорт и руководство по эксплуатации)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Частотный диапазон датчиков вибрации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0.8 до 200Гц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частотному диапазону датчиков вибрации в Гц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(паспорт и руководство по эксплуатации)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Амплитудный диапазон датчиков вибрации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±500мкм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амплитудному диапазону датчиков вибрации в мкм.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(паспорт и руководство по эксплуатации)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измерений датчиков боя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0 до 3500мкм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диапазону измерений датчиков боя в мкм.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(паспорт и руководство по эксплуатации)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Длина кабелей датчиков вибрации, датчиков боя, датчиков формы ротора и статора, отметчика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30м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длине кабелей датчиков вибрации, датчиков боя, датчиков формы ротора и статора, отметчика в м.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Характеристики ПК (ноутбук)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15.6"/1920x1080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пикс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./ Intel Core i5, RAM 16Gb, SSD 512 Gb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(паспорт и руководство по эксплуатации)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1.7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Программное обеспечения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Программное обеспечение должно позволять проводить следующие замеры: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107" w:hanging="141"/>
              <w:contextualSpacing/>
              <w:jc w:val="left"/>
              <w:rPr>
                <w:rStyle w:val="Pagenumber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Получение осциллограмм сигналов с датчиков вибрации, боя и измерительных витков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107" w:hanging="141"/>
              <w:contextualSpacing/>
              <w:jc w:val="left"/>
              <w:rPr>
                <w:rStyle w:val="Pagenumber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Измерение двойной амплитуды сигнала (размаха) (программа должна отображать значение двойной амплитуды)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107" w:hanging="141"/>
              <w:contextualSpacing/>
              <w:jc w:val="left"/>
              <w:rPr>
                <w:rStyle w:val="Pagenumber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Спектральный анализ сигналов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107" w:hanging="141"/>
              <w:contextualSpacing/>
              <w:jc w:val="left"/>
              <w:rPr>
                <w:rStyle w:val="Pagenumber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СКЗ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107" w:hanging="141"/>
              <w:contextualSpacing/>
              <w:jc w:val="left"/>
              <w:rPr>
                <w:rStyle w:val="Pagenumber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Автоматическое формирование отчетов измерения формы ротора и статора, вибрационных испытаний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107" w:hanging="141"/>
              <w:contextualSpacing/>
              <w:jc w:val="left"/>
              <w:rPr>
                <w:rStyle w:val="Pagenumber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Возможность получения данных в формате EXCEL</w:t>
            </w:r>
          </w:p>
        </w:tc>
        <w:tc>
          <w:tcPr>
            <w:tcW w:w="2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3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рабочей температуры</w:t>
            </w:r>
          </w:p>
        </w:tc>
        <w:tc>
          <w:tcPr>
            <w:tcW w:w="408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от 0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vertAlign w:val="superscript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 до 40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vertAlign w:val="superscript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диапазону рабочей температуры в оС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(паспорт и руководство по эксплуатации)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4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lang w:val="ru-RU" w:eastAsia="ru-RU" w:bidi="ar-SA"/>
              </w:rPr>
              <w:t>РФ, Саратовская область, г. Балаково, Саратовская ГЭС, центральный склад.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40" w:name="__RefHeading___Toc46564_3315467364"/>
            <w:bookmarkEnd w:id="40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Условия поставки</w:t>
            </w:r>
          </w:p>
        </w:tc>
        <w:tc>
          <w:tcPr>
            <w:tcW w:w="4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объем поставки оборудования должны быть включены: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Транспортировка с погрузкой-разгрузкой силами Поставщика на склад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Оформление таможенных документов (при необходимости),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Установка и настройка программного обеспечения.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Консультации и обучение работе с поставляемым оборудованием персонала Заказчика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41" w:name="__RefHeading___Toc46566_3315467364"/>
            <w:bookmarkEnd w:id="41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Периодичность выполнения и объем ТО</w:t>
            </w:r>
          </w:p>
        </w:tc>
        <w:tc>
          <w:tcPr>
            <w:tcW w:w="4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рекомендациями производителя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 подробное предложение по периодичности проведения ТО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4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 с даты ввода в эксплуатацию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Гарантийное  и послегарантийное обслуживание</w:t>
            </w:r>
          </w:p>
        </w:tc>
        <w:tc>
          <w:tcPr>
            <w:tcW w:w="40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течение гарантийного срока предприятие-изготовитель обязуется безвозмездно устранять выявленные дефекты или заменять вышедшие из строя части изделия либо все изделие, если оно не может быть исправлено (отремонтировано) на предприятии- изготовителе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42" w:name="__RefHeading___Toc46568_3315467364"/>
            <w:bookmarkEnd w:id="42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Предложение по гарантийному  и послегарантийному обслуживанию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888" w:hRule="atLeast"/>
        </w:trPr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паспортов на оборудование и руководств по эксплуатации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паспортов на оборудования и руководств по эксплуатации (копию, заверенную заводом изготовителем) на первом этапе проведения конкурентных процедур и при поставке оборудования (оригинал).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составе заявки паспорт на оборудование и руководство по эксплуатации (копию, заверенную заводом изготовителем) на первом этапе проведения конкурентных процедур и при поставке оборудования (оригинал).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18" w:hRule="atLeast"/>
        </w:trPr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6.3.</w:t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комплекта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-измерительный блок;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-датчики вибрации ДВП-1000 25шт;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-датчики боя вала 6шт;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-набор тарировочных пластин (1мм, 2мм, 3мм);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-лазерный отметчик оборотов;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-светоотражающие метки;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-комплект кабелей для датчиков вибрации, датчиков боя и отметчика;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-кабели для измерения формы ротора и статора с делителем напряжения (изм. витки) 8шт;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-Переносной ПК (ноутбук);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Крепежи с магнитными присосками для датчиков боя 7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-Кейс для переноски ПК и измерительного блока;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-Кейс для переноски кабелей и датчиков;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программное обеспечение для измерений и анализа данных.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-документация (паспорт, руководство по эксплуатации; сертификаты о поверке)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 на оборудование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сертификатов соответствия ГОСТ, на поставляемые изделия: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Обязательно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Соглашение с производителем оборудования</w:t>
            </w:r>
          </w:p>
        </w:tc>
        <w:tc>
          <w:tcPr>
            <w:tcW w:w="407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28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первом этапе проведения конкурентных процедур, предоставить письмо в свободной форме, гарантирующее готовность завода изготовителя осуществить поставку оборудования на условиях и в срок согласно настоящим Техническим требованиям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составе заявки (на первом этапе проведения конкурсных процедур) письмо в свободной форме, гарантирующее готовность завода изготовителя оборудования осуществить поставку оборудования на условиях и в срок согласно настоящим Техническим требованиям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681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Style w:val="Pagenumber"/>
              </w:rPr>
            </w:pPr>
            <w:r>
              <w:rPr/>
            </w:r>
          </w:p>
        </w:tc>
        <w:tc>
          <w:tcPr>
            <w:tcW w:w="274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40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Поставляемая продукция должна быть российского происхождения</w:t>
            </w:r>
          </w:p>
        </w:tc>
        <w:tc>
          <w:tcPr>
            <w:tcW w:w="25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страны происхождения поставляемой продукции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lang w:val="ru-RU"/>
        </w:rPr>
      </w:pPr>
      <w:bookmarkStart w:id="43" w:name="__RefHeading___Toc46570_3315467364"/>
      <w:bookmarkStart w:id="44" w:name="_Toc75446583"/>
      <w:bookmarkStart w:id="45" w:name="_Toc53393312"/>
      <w:bookmarkEnd w:id="43"/>
      <w:r>
        <w:rPr>
          <w:lang w:val="ru-RU"/>
        </w:rPr>
        <w:t>Требования к документации по ценообразованию</w:t>
      </w:r>
      <w:bookmarkEnd w:id="44"/>
      <w:bookmarkEnd w:id="45"/>
      <w:r>
        <w:rPr>
          <w:lang w:val="ru-RU"/>
        </w:rPr>
        <w:t xml:space="preserve">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60"/>
        <w:jc w:val="both"/>
        <w:rPr>
          <w:rStyle w:val="Style8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Спецификация поставляемой продукции должна быть представлена в двух вариантах:</w:t>
      </w:r>
    </w:p>
    <w:p>
      <w:pPr>
        <w:pStyle w:val="Normal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- на бумажном носителе/в формате pdf;</w:t>
      </w:r>
    </w:p>
    <w:p>
      <w:pPr>
        <w:pStyle w:val="Normal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- на электронном носителе (в формате Excel), полностью соответствующем бумажному варианту.</w:t>
      </w:r>
    </w:p>
    <w:p>
      <w:pPr>
        <w:pStyle w:val="Normal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Формат спецификации выполнить в соответствии с Приложением №1 к настоящим техническим требованиям.</w:t>
      </w:r>
    </w:p>
    <w:p>
      <w:pPr>
        <w:pStyle w:val="Normal"/>
        <w:ind w:firstLine="567"/>
        <w:rPr>
          <w:bCs/>
        </w:rPr>
      </w:pPr>
      <w:r>
        <w:rPr>
          <w:bCs/>
        </w:rPr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iCs/>
          <w:caps/>
        </w:rPr>
      </w:pPr>
      <w:bookmarkStart w:id="46" w:name="__RefHeading___Toc46572_3315467364"/>
      <w:bookmarkStart w:id="47" w:name="_Toc75446585"/>
      <w:bookmarkStart w:id="48" w:name="_Toc46743519"/>
      <w:bookmarkStart w:id="49" w:name="_Toc51339699"/>
      <w:bookmarkEnd w:id="46"/>
      <w:bookmarkEnd w:id="47"/>
      <w:bookmarkEnd w:id="48"/>
      <w:bookmarkEnd w:id="49"/>
      <w:r>
        <w:rPr>
          <w:iCs/>
        </w:rPr>
        <w:t>Приложения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60"/>
        <w:jc w:val="both"/>
        <w:rPr>
          <w:rStyle w:val="Style8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sectPr>
          <w:headerReference w:type="default" r:id="rId21"/>
          <w:headerReference w:type="first" r:id="rId22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№1: Спецификация поставляемого оборудования</w:t>
      </w: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 xml:space="preserve"> «На поставку портативного цифрового регистратор-анализатора для динамических процессов (1шт.)» д</w:t>
      </w:r>
      <w:r>
        <w:rPr>
          <w:bCs/>
          <w:sz w:val="24"/>
          <w:szCs w:val="24"/>
        </w:rPr>
        <w:t>ля нужд Филиала ПАО «РусГидро» - «Саратовская ГЭС»</w:t>
      </w:r>
    </w:p>
    <w:p>
      <w:pPr>
        <w:pStyle w:val="Normal"/>
        <w:jc w:val="right"/>
        <w:rPr>
          <w:rFonts w:eastAsia="Calibri"/>
          <w:sz w:val="24"/>
          <w:szCs w:val="24"/>
        </w:rPr>
      </w:pPr>
      <w:bookmarkStart w:id="50" w:name="_Ref4030125311"/>
      <w:bookmarkStart w:id="51" w:name="_Ref403012531"/>
      <w:bookmarkEnd w:id="50"/>
      <w:bookmarkEnd w:id="51"/>
      <w:r>
        <w:rPr>
          <w:rFonts w:eastAsia="Calibri"/>
          <w:sz w:val="24"/>
          <w:szCs w:val="24"/>
        </w:rPr>
        <w:t xml:space="preserve">Приложение № 1 к Техническим требованиям </w:t>
      </w:r>
    </w:p>
    <w:p>
      <w:pPr>
        <w:pStyle w:val="Normal"/>
        <w:jc w:val="right"/>
        <w:rPr>
          <w:rFonts w:eastAsia="Calibri"/>
          <w:i/>
          <w:i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  <w:shd w:fill="auto" w:val="clear"/>
        </w:rPr>
        <w:t xml:space="preserve">    </w:t>
      </w:r>
      <w:r>
        <w:rPr>
          <w:rFonts w:eastAsia="Calibri"/>
          <w:sz w:val="24"/>
          <w:szCs w:val="24"/>
          <w:shd w:fill="auto" w:val="clear"/>
        </w:rPr>
        <w:t>Лот №                         -СарГЭС</w:t>
      </w:r>
    </w:p>
    <w:p>
      <w:pPr>
        <w:pStyle w:val="Normal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ind w:right="-598" w:hanging="0"/>
        <w:jc w:val="center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</w:rPr>
        <w:t>Спецификация поставляемого оборудования</w:t>
      </w:r>
    </w:p>
    <w:p>
      <w:pPr>
        <w:pStyle w:val="Normal"/>
        <w:ind w:right="-598" w:firstLine="567"/>
        <w:jc w:val="center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«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На поставку портативного цифрового регистратор-анализатора для динамических процессов (1шт.)» д</w:t>
      </w:r>
      <w:r>
        <w:rPr>
          <w:bCs/>
          <w:sz w:val="24"/>
          <w:szCs w:val="24"/>
          <w:shd w:fill="auto" w:val="clear"/>
        </w:rPr>
        <w:t>ля нужд Филиала ПАО «РусГидро» - «Саратовская ГЭС</w:t>
      </w:r>
      <w:r>
        <w:rPr>
          <w:sz w:val="24"/>
          <w:szCs w:val="24"/>
          <w:shd w:fill="auto" w:val="clear"/>
        </w:rPr>
        <w:t>»</w:t>
      </w:r>
    </w:p>
    <w:p>
      <w:pPr>
        <w:pStyle w:val="Normal"/>
        <w:ind w:right="-598" w:firstLine="567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before="0" w:after="120"/>
        <w:jc w:val="right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tbl>
      <w:tblPr>
        <w:tblpPr w:bottomFromText="0" w:horzAnchor="margin" w:leftFromText="180" w:rightFromText="180" w:tblpX="0" w:tblpY="1" w:topFromText="0" w:vertAnchor="text"/>
        <w:tblW w:w="15134" w:type="dxa"/>
        <w:jc w:val="left"/>
        <w:tblInd w:w="9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2"/>
        <w:gridCol w:w="1866"/>
        <w:gridCol w:w="1252"/>
        <w:gridCol w:w="1409"/>
        <w:gridCol w:w="1961"/>
        <w:gridCol w:w="946"/>
        <w:gridCol w:w="674"/>
        <w:gridCol w:w="1110"/>
        <w:gridCol w:w="1102"/>
        <w:gridCol w:w="669"/>
        <w:gridCol w:w="1117"/>
        <w:gridCol w:w="979"/>
        <w:gridCol w:w="1516"/>
      </w:tblGrid>
      <w:tr>
        <w:trPr>
          <w:trHeight w:val="1020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Наименование оборудования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Тип, марка, артикул</w:t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Изготовитель / страна происхождения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Технические характеристики (описание)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Единица измере-ния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Стоимость ед. (руб. без НДС)*</w:t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Общая стоимость (руб. без НДС)</w:t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НДС, руб.</w:t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Общая стоимость (руб. с НДС)</w:t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Срок поставки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Перечень документов подтверждающих качество оборудования</w:t>
            </w:r>
          </w:p>
        </w:tc>
      </w:tr>
      <w:tr>
        <w:trPr>
          <w:trHeight w:val="242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142" w:right="33" w:hanging="0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Измерительный блок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32 входных аналоговых (измерительных) каналов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к-т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Датчик вибрации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ДВП-1000</w:t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-частотный диапазон от 0.8 до 200Гц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-амплитудный диапазон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±500мкм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Датчик боя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Токовихревой</w:t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-диапазон измерений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±500мкм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Ш</w:t>
            </w: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т.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Отметчик оборотов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Лазерный</w:t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Фазовая привязка, измерение частоты вращения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К-т 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Светоотражающие метки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Метки</w:t>
            </w: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отметчика оборотов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</w:t>
            </w: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-т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Набор тарировочных пластин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ТПА-01</w:t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Тарировка датчиков биения вала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К-т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Комплект кабелей для  датчиков боя и отметчика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Длина кабелей 30м. Необходимые разъемы для подключения  установлены на кабеле.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К-т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86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Комплект кабелей для датчиков вибрации</w:t>
            </w:r>
          </w:p>
        </w:tc>
        <w:tc>
          <w:tcPr>
            <w:tcW w:w="1252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40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Длина кабелей 30м. Необходимые разъемы для подключения  установлены на кабеле.</w:t>
            </w:r>
          </w:p>
        </w:tc>
        <w:tc>
          <w:tcPr>
            <w:tcW w:w="94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К-т</w:t>
            </w:r>
          </w:p>
        </w:tc>
        <w:tc>
          <w:tcPr>
            <w:tcW w:w="67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11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Кабели для измерения формы ротора и статора с делителем напряжения (изм. витки).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Длина кабелей 30м.  Необходимые разъемы для подключения  установлены на кабеле.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Переносной ПК (ноутбук);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/>
              </w:rPr>
              <w:t>15.6"/1920x1080</w:t>
            </w:r>
            <w:r>
              <w:rPr>
                <w:sz w:val="16"/>
                <w:szCs w:val="16"/>
              </w:rPr>
              <w:t>пикс</w:t>
            </w:r>
            <w:r>
              <w:rPr>
                <w:sz w:val="16"/>
                <w:szCs w:val="16"/>
                <w:lang w:val="en-US"/>
              </w:rPr>
              <w:t>./ Intel Core i5, RAM 16Gb, SSD 512 Gb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Крепежи с магнитными присосками для датчиков боя и отметчика оборотов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Крепежи для крепления датчиков боя на генераторном и турбинном подшипнике гидроагрегата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Кейс для переноски ПК и измерительного блока;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13.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Кейс для переноски кабелей и датчиков;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  <w:tr>
        <w:trPr>
          <w:trHeight w:val="227" w:hRule="atLeast"/>
        </w:trPr>
        <w:tc>
          <w:tcPr>
            <w:tcW w:w="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14.</w:t>
            </w:r>
          </w:p>
        </w:tc>
        <w:tc>
          <w:tcPr>
            <w:tcW w:w="1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Программное обеспечение для измерений и анализа данных</w:t>
            </w:r>
          </w:p>
        </w:tc>
        <w:tc>
          <w:tcPr>
            <w:tcW w:w="1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РФ</w:t>
            </w:r>
          </w:p>
        </w:tc>
        <w:tc>
          <w:tcPr>
            <w:tcW w:w="1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Программное обеспечение позволяющее проводить замеры и анализ данных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 получение осциллограмм сигналов;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 замеры двойной амплитуды сигнала (размах);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 спектральный анализ сигнала;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 СКЗ;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- формирование отчетов формы ротора и статора, вибрационных испытаний;</w:t>
            </w:r>
          </w:p>
          <w:p>
            <w:pPr>
              <w:pStyle w:val="Normal"/>
              <w:widowControl w:val="false"/>
              <w:ind w:left="39" w:hanging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- возможность выгрузки данных в формате </w:t>
            </w: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Excel</w:t>
            </w:r>
          </w:p>
        </w:tc>
        <w:tc>
          <w:tcPr>
            <w:tcW w:w="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К-т</w:t>
            </w:r>
          </w:p>
        </w:tc>
        <w:tc>
          <w:tcPr>
            <w:tcW w:w="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1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6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30.06.2027</w:t>
            </w:r>
          </w:p>
        </w:tc>
        <w:tc>
          <w:tcPr>
            <w:tcW w:w="1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Паспорт</w:t>
            </w:r>
          </w:p>
        </w:tc>
      </w:tr>
    </w:tbl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  <w:u w:val="single"/>
        </w:rPr>
        <w:t>Примечание</w:t>
      </w:r>
      <w:r>
        <w:rPr>
          <w:rFonts w:eastAsia="Calibri"/>
          <w:sz w:val="24"/>
          <w:szCs w:val="24"/>
        </w:rPr>
        <w:t>: в случае закупки оборудования (материалов) комплектом, в спецификации 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*</w:t>
      </w:r>
      <w:r>
        <w:rPr>
          <w:rFonts w:eastAsia="Calibri"/>
          <w:sz w:val="24"/>
          <w:szCs w:val="24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/>
      </w:r>
    </w:p>
    <w:sectPr>
      <w:headerReference w:type="default" r:id="rId23"/>
      <w:headerReference w:type="first" r:id="rId24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  <w:t>7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d1a0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numPr>
        <w:ilvl w:val="0"/>
        <w:numId w:val="0"/>
      </w:numPr>
      <w:outlineLvl w:val="1"/>
    </w:pPr>
    <w:rPr/>
  </w:style>
  <w:style w:type="paragraph" w:styleId="Heading3">
    <w:name w:val="Heading 3"/>
    <w:basedOn w:val="Normal"/>
    <w:link w:val="31"/>
    <w:autoRedefine/>
    <w:qFormat/>
    <w:rsid w:val="00035e96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главление 3 Знак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</w:rPr>
  </w:style>
  <w:style w:type="paragraph" w:styleId="Caption1">
    <w:name w:val="caption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uiPriority w:val="99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link w:val="32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link w:val="22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7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8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0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hakhvatovve@rushydro.ru" TargetMode="External"/><Relationship Id="rId3" Type="http://schemas.openxmlformats.org/officeDocument/2006/relationships/hyperlink" Target="mailto:shakhvatovve@rushydro.ru" TargetMode="External"/><Relationship Id="rId4" Type="http://schemas.openxmlformats.org/officeDocument/2006/relationships/hyperlink" Target="mailto:shakhvatovve@rushydro.ru" TargetMode="External"/><Relationship Id="rId5" Type="http://schemas.openxmlformats.org/officeDocument/2006/relationships/hyperlink" Target="mailto:shakhvatovve@rushydro.ru" TargetMode="External"/><Relationship Id="rId6" Type="http://schemas.openxmlformats.org/officeDocument/2006/relationships/hyperlink" Target="mailto:shakhvatovve@rushydro.ru" TargetMode="External"/><Relationship Id="rId7" Type="http://schemas.openxmlformats.org/officeDocument/2006/relationships/hyperlink" Target="mailto:shakhvatovve@rushydro.ru" TargetMode="External"/><Relationship Id="rId8" Type="http://schemas.openxmlformats.org/officeDocument/2006/relationships/hyperlink" Target="mailto:shakhvatovve@rushydro.ru" TargetMode="External"/><Relationship Id="rId9" Type="http://schemas.openxmlformats.org/officeDocument/2006/relationships/hyperlink" Target="mailto:shakhvatovve@rushydro.ru" TargetMode="External"/><Relationship Id="rId10" Type="http://schemas.openxmlformats.org/officeDocument/2006/relationships/hyperlink" Target="mailto:shakhvatovve@rushydro.ru" TargetMode="External"/><Relationship Id="rId11" Type="http://schemas.openxmlformats.org/officeDocument/2006/relationships/hyperlink" Target="mailto:shakhvatovve@rushydro.ru" TargetMode="External"/><Relationship Id="rId12" Type="http://schemas.openxmlformats.org/officeDocument/2006/relationships/hyperlink" Target="mailto:shakhvatovve@rushydro.ru" TargetMode="External"/><Relationship Id="rId13" Type="http://schemas.openxmlformats.org/officeDocument/2006/relationships/hyperlink" Target="mailto:shakhvatovve@rushydro.ru" TargetMode="External"/><Relationship Id="rId14" Type="http://schemas.openxmlformats.org/officeDocument/2006/relationships/hyperlink" Target="mailto:shakhvatovve@rushydro.ru" TargetMode="External"/><Relationship Id="rId15" Type="http://schemas.openxmlformats.org/officeDocument/2006/relationships/hyperlink" Target="mailto:shakhvatovve@rushydro.ru" TargetMode="External"/><Relationship Id="rId16" Type="http://schemas.openxmlformats.org/officeDocument/2006/relationships/hyperlink" Target="mailto:shakhvatovve@rushydro.ru" TargetMode="External"/><Relationship Id="rId17" Type="http://schemas.openxmlformats.org/officeDocument/2006/relationships/hyperlink" Target="mailto:shakhvatovve@rushydro.ru" TargetMode="External"/><Relationship Id="rId18" Type="http://schemas.openxmlformats.org/officeDocument/2006/relationships/hyperlink" Target="mailto:shakhvatovve@rushydro.ru" TargetMode="External"/><Relationship Id="rId19" Type="http://schemas.openxmlformats.org/officeDocument/2006/relationships/header" Target="header1.xml"/><Relationship Id="rId20" Type="http://schemas.openxmlformats.org/officeDocument/2006/relationships/header" Target="header2.xml"/><Relationship Id="rId21" Type="http://schemas.openxmlformats.org/officeDocument/2006/relationships/header" Target="header3.xml"/><Relationship Id="rId22" Type="http://schemas.openxmlformats.org/officeDocument/2006/relationships/header" Target="header4.xml"/><Relationship Id="rId23" Type="http://schemas.openxmlformats.org/officeDocument/2006/relationships/header" Target="header5.xml"/><Relationship Id="rId24" Type="http://schemas.openxmlformats.org/officeDocument/2006/relationships/header" Target="header6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<Relationship Id="rId2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A6B20-C4EF-465D-BF75-3F6F70836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Application>AlterOffice/3.4.0.9$Linux_X86_64 LibreOffice_project/b8daf9e823b1a5463a2f48435ddc2e8696e7d4fc</Application>
  <AppVersion>15.0000</AppVersion>
  <Pages>14</Pages>
  <Words>2015</Words>
  <Characters>13086</Characters>
  <CharactersWithSpaces>14602</CharactersWithSpaces>
  <Paragraphs>540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2023-01-24T08:46:00Z</dcterms:created>
  <dc:creator>Быстров Олег Геннадьевич</dc:creator>
  <dc:description/>
  <dc:language>ru-RU</dc:language>
  <cp:lastModifiedBy>zavylovasha@corp.gidroogk.com</cp:lastModifiedBy>
  <cp:lastPrinted>2023-08-14T10:16:05Z</cp:lastPrinted>
  <dcterms:modified xsi:type="dcterms:W3CDTF">2026-05-25T14:24:02Z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