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/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color w:val="000000"/>
          <w:sz w:val="32"/>
          <w:szCs w:val="32"/>
        </w:rPr>
        <w:t>«</w:t>
      </w:r>
      <w:r>
        <w:rPr>
          <w:rStyle w:val="Style8"/>
          <w:rFonts w:eastAsia="Calibri"/>
          <w:b/>
          <w:bCs/>
          <w:i w:val="false"/>
          <w:caps w:val="false"/>
          <w:smallCaps w:val="false"/>
          <w:color w:val="000000"/>
          <w:spacing w:val="0"/>
          <w:sz w:val="32"/>
          <w:szCs w:val="32"/>
          <w:shd w:fill="auto" w:val="clear"/>
        </w:rPr>
        <w:t>ОКПД2 26.30.2</w:t>
      </w:r>
      <w:r>
        <w:rPr>
          <w:rStyle w:val="Style8"/>
          <w:rFonts w:eastAsia="Calibri"/>
          <w:b/>
          <w:bCs/>
          <w:i w:val="false"/>
          <w:color w:val="000000"/>
          <w:sz w:val="32"/>
          <w:szCs w:val="32"/>
          <w:shd w:fill="auto" w:val="clear"/>
        </w:rPr>
        <w:t xml:space="preserve"> </w:t>
      </w:r>
      <w:r>
        <w:rPr>
          <w:rStyle w:val="Style8"/>
          <w:rFonts w:eastAsia="Calibri"/>
          <w:b/>
          <w:bCs/>
          <w:i w:val="false"/>
          <w:sz w:val="32"/>
          <w:szCs w:val="32"/>
          <w:shd w:fill="auto" w:val="clear"/>
        </w:rPr>
        <w:t>Поставка оборудования и материалов связи</w:t>
      </w:r>
      <w:r>
        <w:rPr>
          <w:rFonts w:eastAsia="Calibri"/>
          <w:b/>
          <w:bCs/>
          <w:sz w:val="32"/>
          <w:szCs w:val="32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30"/>
          <w:szCs w:val="30"/>
          <w:shd w:fill="auto" w:val="clear"/>
        </w:rPr>
      </w:pPr>
      <w:r>
        <w:rPr>
          <w:rFonts w:eastAsia="Calibri"/>
          <w:b/>
          <w:sz w:val="30"/>
          <w:szCs w:val="30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1.1. </w:t>
      </w: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«Материалы на содержание и эксплуатацию оборудования связи»</w:t>
      </w:r>
      <w:r>
        <w:rPr>
          <w:rFonts w:eastAsia="Calibri"/>
          <w:i/>
          <w:lang w:eastAsia="x-none"/>
        </w:rPr>
        <w:br/>
      </w:r>
    </w:p>
    <w:p>
      <w:pPr>
        <w:pStyle w:val="Heading4"/>
        <w:tabs>
          <w:tab w:val="clear" w:pos="0"/>
        </w:tabs>
        <w:spacing w:before="240" w:after="60"/>
        <w:ind w:left="0" w:hanging="0"/>
        <w:rPr/>
      </w:pPr>
      <w:r>
        <w:rPr/>
        <w:t xml:space="preserve">1.2. </w:t>
      </w: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МТР, расходные материалы и запасные части закупаются для выполнения работ по эксплуатационно техническому обслуживанию и содержания в рабочем состоянии и устранение дефектов систем и оборудования связи телекоммуникаций и  АСУ ТП  ССИиТС, в соответствии с прилагаемым перечнем (Приложение №1).</w:t>
      </w:r>
      <w:bookmarkStart w:id="6" w:name="_Hlk48209761"/>
      <w:bookmarkEnd w:id="6"/>
    </w:p>
    <w:p>
      <w:pPr>
        <w:pStyle w:val="Heading4"/>
        <w:tabs>
          <w:tab w:val="clear" w:pos="0"/>
        </w:tabs>
        <w:ind w:left="432" w:hanging="0"/>
        <w:rPr>
          <w:rStyle w:val="Style8"/>
          <w:lang w:val="ru-RU"/>
        </w:rPr>
      </w:pPr>
      <w:r>
        <w:rPr>
          <w:lang w:val="ru-RU"/>
        </w:rPr>
      </w:r>
      <w:bookmarkStart w:id="7" w:name="_Toc50125126"/>
      <w:bookmarkStart w:id="8" w:name="_Toc50125126"/>
      <w:bookmarkEnd w:id="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75446573"/>
      <w:bookmarkStart w:id="10" w:name="_Toc5133969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75446575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3" w:name="_Toc75446576"/>
      <w:bookmarkStart w:id="14" w:name="_Toc51339695"/>
      <w:r>
        <w:rPr>
          <w:b w:val="false"/>
          <w:sz w:val="24"/>
          <w:szCs w:val="24"/>
          <w:lang w:val="ru-RU"/>
        </w:rPr>
        <w:t xml:space="preserve">Перечень </w:t>
      </w:r>
      <w:bookmarkEnd w:id="14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13"/>
      <w:r>
        <w:rPr>
          <w:b w:val="false"/>
          <w:sz w:val="24"/>
          <w:szCs w:val="24"/>
          <w:lang w:val="ru-RU"/>
        </w:rPr>
        <w:t xml:space="preserve"> обозначены в Таблице (Приложение №1), являющейся неотъемлемой частью данных ТТ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75446578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поставки продукции и оказания сопутствующих услуг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9"/>
      <w:bookmarkStart w:id="18" w:name="_Toc51339697"/>
      <w:bookmarkStart w:id="19" w:name="_Toc50125127"/>
      <w:bookmarkStart w:id="20" w:name="_Toc50125126_Копия_1"/>
      <w:bookmarkEnd w:id="20"/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Требования к началу срока поставки продукции – с даты заключения договора; Требования к окончанию срока поставки продукции – в течение 60 дней с даты заключения договора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Поставка производится одним этапом всего комплекта МТР указанная в Таблице (Приложение №1)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Cs/>
          <w:i w:val="false"/>
          <w:sz w:val="24"/>
          <w:szCs w:val="24"/>
          <w:shd w:fill="auto" w:val="clear"/>
        </w:rPr>
        <w:t>Требования к перечню и объему закупаемых сопутствующих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Доставка МТР до склада Заказчика в объеме и на сумму, указанную в договоре поставки производится по адресу: 369244, Карачаево-Черкесская Республика, Карачаевский район, пгт. Правокубанский, Зеленчукская ГЭС Филиала «ПАО РусГидро» - «Карачаево-Черкесский филиал».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2.2. Требования к качеству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Требования к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Все МТР должны соответствовать требованиям ГОСТов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Наличие сертификатов соответствия обязательно.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Доставка товара Заказчику осуществляется силами Поставщика и за его же счет и производится на склад Заказчика в рабочее время с 08-00 до 16-00 согласно графика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Приемка товара по качеству и количеству осуществляется на складе Заказчика.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Товар без документов не принимается, ответственность за его сохранность Заказчик не несет.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Упаковка товара должна обеспечивать его сохранность при транспортировке и хранении.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Год выпуска расходных материалов и запасных частей: Не позднее 2025 года.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Гарантийный срок на поставленные МТР должен составлять не менее одного года с момента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4. 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4.1. Приложение № 1, Перечень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к техническим требованиям на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поставку материалов и запасных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частей на эксплуатацию систем и оборудования ССИиТС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  <w:t>Перечень МТР</w:t>
      </w:r>
    </w:p>
    <w:tbl>
      <w:tblPr>
        <w:tblW w:w="9975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601"/>
        <w:gridCol w:w="7199"/>
        <w:gridCol w:w="1079"/>
        <w:gridCol w:w="1095"/>
      </w:tblGrid>
      <w:tr>
        <w:trPr>
          <w:trHeight w:val="330" w:hRule="atLeast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Наименование материала и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Ед. изм.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Кол-во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оборудования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2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3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111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Голосовой шлюз Yeastar P520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(или эквивалент)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Карта памяти для Yeastar P520, 64 ГБ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(или эквивалент)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Медиаконвертер WDM 1000Мбит/с 20км 1310нм SC,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MCSFP2-1000-1310-20км-SC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(или эквивалент)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Медиаконвертер MCSS2-10/100/1000-1550-SC-20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(или эквивалент)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Патч-корд оптический FC-SC/UPC SM (9/125мкм) simplex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(3.0мм) 2м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(или эквивалент)</w:t>
            </w:r>
          </w:p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/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br w:type="page"/>
      </w:r>
    </w:p>
    <w:p>
      <w:pPr>
        <w:pStyle w:val="Heading1"/>
        <w:keepLines/>
        <w:ind w:hanging="0"/>
        <w:jc w:val="center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22" w:name="_Toc141972716"/>
      <w:bookmarkStart w:id="23" w:name="_Ref511135236"/>
      <w:r>
        <w:rPr/>
        <w:t xml:space="preserve">орма </w:t>
      </w:r>
      <w:bookmarkEnd w:id="23"/>
      <w:r>
        <w:rPr/>
        <w:t>Коммерческого предложения</w:t>
      </w:r>
      <w:bookmarkEnd w:id="22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4"/>
        <w:gridCol w:w="711"/>
        <w:gridCol w:w="1276"/>
        <w:gridCol w:w="228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24" w:name="_Toc141972717"/>
      <w:r>
        <w:rPr>
          <w:rFonts w:cs="Times New Roman"/>
        </w:rPr>
        <w:t>Инструкции по заполнению</w:t>
      </w:r>
      <w:bookmarkEnd w:id="24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1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sectPr>
      <w:headerReference w:type="default" r:id="rId7"/>
      <w:headerReference w:type="first" r:id="rId8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9B2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F99B25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AFB7-77FD-434B-A3E7-956FE92F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Application>AlterOffice/3.4.0.9$Linux_X86_64 LibreOffice_project/b8daf9e823b1a5463a2f48435ddc2e8696e7d4fc</Application>
  <AppVersion>15.0000</AppVersion>
  <Pages>6</Pages>
  <Words>683</Words>
  <Characters>4567</Characters>
  <CharactersWithSpaces>5166</CharactersWithSpaces>
  <Paragraphs>103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cp:lastPrinted>2006-07-26T14:04:00Z</cp:lastPrinted>
  <dcterms:modified xsi:type="dcterms:W3CDTF">2026-08-24T10:42:18Z</dcterms:modified>
  <cp:revision>32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