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8935" w:type="dxa"/>
        <w:tblInd w:w="142" w:type="dxa"/>
        <w:tblLook w:val="04A0" w:firstRow="1" w:lastRow="0" w:firstColumn="1" w:lastColumn="0" w:noHBand="0" w:noVBand="1"/>
      </w:tblPr>
      <w:tblGrid>
        <w:gridCol w:w="4253"/>
        <w:gridCol w:w="708"/>
        <w:gridCol w:w="3974"/>
      </w:tblGrid>
      <w:tr>
        <w:tblPrEx/>
        <w:trPr/>
        <w:tc>
          <w:tcPr>
            <w:tcW w:w="4253" w:type="dxa"/>
            <w:textDirection w:val="lrTb"/>
            <w:noWrap w:val="false"/>
          </w:tcPr>
          <w:p>
            <w:pPr>
              <w:ind w:left="-426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ind w:left="-426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</w:tc>
        <w:tc>
          <w:tcPr>
            <w:tcW w:w="3974" w:type="dxa"/>
            <w:textDirection w:val="lrTb"/>
            <w:noWrap w:val="false"/>
          </w:tcPr>
          <w:p>
            <w:pPr>
              <w:ind w:left="34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УТВЕРЖДАЮ</w:t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Заместитель начальника департамента цифровой трансформации и информационных технологий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____________/Н.Н. Ларионова</w:t>
            </w:r>
            <w:r>
              <w:rPr>
                <w:rFonts w:eastAsia="Calibri"/>
                <w:sz w:val="28"/>
                <w:szCs w:val="28"/>
              </w:rPr>
              <w:t xml:space="preserve">/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(подпись)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jc w:val="both"/>
              <w:keepLines/>
              <w:keepNext/>
              <w:spacing w:line="25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«___»______________</w:t>
            </w:r>
            <w:r>
              <w:rPr>
                <w:rFonts w:eastAsia="Calibri"/>
                <w:sz w:val="28"/>
                <w:szCs w:val="28"/>
              </w:rPr>
              <w:t xml:space="preserve"> 202</w:t>
            </w:r>
            <w:r>
              <w:rPr>
                <w:rFonts w:eastAsia="Calibri"/>
                <w:sz w:val="28"/>
                <w:szCs w:val="28"/>
              </w:rPr>
              <w:t xml:space="preserve">6</w:t>
            </w:r>
            <w:r>
              <w:rPr>
                <w:rFonts w:eastAsia="Calibri"/>
                <w:sz w:val="28"/>
                <w:szCs w:val="28"/>
              </w:rPr>
              <w:t xml:space="preserve"> г.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ind w:left="-426"/>
        <w:jc w:val="both"/>
        <w:keepLines/>
        <w:keepNext/>
        <w:spacing w:line="256" w:lineRule="auto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/>
        <w:jc w:val="center"/>
        <w:spacing w:line="256" w:lineRule="auto"/>
        <w:widowControl w:val="off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ТЕХНИЧЕСКОЕ ЗАДАНИЕ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b/>
          <w:sz w:val="28"/>
          <w:lang w:eastAsia="en-US"/>
        </w:rPr>
      </w:pPr>
      <w:r>
        <w:rPr>
          <w:b/>
          <w:sz w:val="28"/>
          <w:lang w:eastAsia="en-US"/>
        </w:rPr>
        <w:t xml:space="preserve">на приобретение </w:t>
      </w:r>
      <w:r>
        <w:rPr>
          <w:b/>
          <w:sz w:val="28"/>
          <w:lang w:eastAsia="en-US"/>
        </w:rPr>
        <w:t xml:space="preserve">права на использование </w:t>
      </w:r>
      <w:r>
        <w:rPr>
          <w:b/>
          <w:sz w:val="28"/>
          <w:lang w:eastAsia="en-US"/>
        </w:rPr>
        <w:t xml:space="preserve">информационно-технологического сопровождения специализированных решений на платформе 1С</w:t>
      </w:r>
      <w:r>
        <w:rPr>
          <w:b/>
          <w:sz w:val="28"/>
          <w:lang w:eastAsia="en-US"/>
        </w:rPr>
        <w:t xml:space="preserve"> для локального использования</w:t>
      </w:r>
      <w:r>
        <w:rPr>
          <w:b/>
          <w:sz w:val="28"/>
          <w:lang w:eastAsia="en-US"/>
        </w:rPr>
        <w:t xml:space="preserve"> для нужд ПАО «Россети Северо-Запад»</w:t>
      </w:r>
      <w:r>
        <w:rPr>
          <w:b/>
          <w:sz w:val="28"/>
          <w:lang w:eastAsia="en-US"/>
        </w:rPr>
      </w:r>
      <w:r>
        <w:rPr>
          <w:b/>
          <w:sz w:val="28"/>
          <w:lang w:eastAsia="en-US"/>
        </w:rPr>
      </w:r>
    </w:p>
    <w:p>
      <w:pPr>
        <w:ind w:left="-425"/>
        <w:jc w:val="center"/>
        <w:widowControl w:val="off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1001"/>
        <w:tblW w:w="0" w:type="auto"/>
        <w:tblInd w:w="-4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336"/>
        <w:gridCol w:w="2445"/>
      </w:tblGrid>
      <w:tr>
        <w:tblPrEx/>
        <w:trPr/>
        <w:tc>
          <w:tcPr>
            <w:tcW w:w="765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4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-426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Санкт-Петербург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6"/>
        <w:numPr>
          <w:ilvl w:val="0"/>
          <w:numId w:val="0"/>
        </w:numPr>
        <w:rPr>
          <w:b/>
          <w:szCs w:val="28"/>
        </w:rPr>
      </w:pPr>
      <w:r/>
      <w:bookmarkStart w:id="0" w:name="undefined"/>
      <w:r/>
      <w:bookmarkStart w:id="0" w:name="undefined"/>
      <w:r>
        <w:rPr>
          <w:b/>
          <w:szCs w:val="28"/>
        </w:rPr>
        <w:t xml:space="preserve">Лист согласования</w:t>
      </w:r>
      <w:bookmarkEnd w:id="0"/>
      <w:r>
        <w:rPr>
          <w:b/>
          <w:szCs w:val="28"/>
        </w:rPr>
      </w:r>
      <w:r>
        <w:rPr>
          <w:b/>
          <w:szCs w:val="28"/>
        </w:rPr>
      </w:r>
    </w:p>
    <w:p>
      <w:pPr>
        <w:keepLines/>
        <w:keepNext/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9386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285"/>
        <w:gridCol w:w="2094"/>
        <w:gridCol w:w="1306"/>
        <w:gridCol w:w="1701"/>
      </w:tblGrid>
      <w:tr>
        <w:tblPrEx/>
        <w:trPr>
          <w:trHeight w:val="584"/>
        </w:trPr>
        <w:tc>
          <w:tcPr>
            <w:shd w:val="clear" w:color="ffffff" w:fill="d9d9d9" w:themeFill="background1" w:themeFillShade="D9"/>
            <w:tcW w:w="428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Должность, Организация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ffffff" w:fill="d9d9d9" w:themeFill="background1" w:themeFillShade="D9"/>
            <w:tcW w:w="209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Фамилия, инициалы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ffffff" w:fill="d9d9d9" w:themeFill="background1" w:themeFillShade="D9"/>
            <w:tcW w:w="130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Подпись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ffffff" w:fill="d9d9d9" w:themeFill="background1" w:themeFillShade="D9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Дата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blPrEx/>
        <w:trPr>
          <w:trHeight w:val="50"/>
        </w:trPr>
        <w:tc>
          <w:tcPr>
            <w:tcW w:w="4285" w:type="dxa"/>
            <w:vAlign w:val="center"/>
            <w:textDirection w:val="lrTb"/>
            <w:noWrap w:val="false"/>
          </w:tcPr>
          <w:p>
            <w:pPr>
              <w:keepLines/>
              <w:keepNext/>
              <w:spacing w:line="256" w:lineRule="auto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Начальник </w:t>
            </w:r>
            <w:r>
              <w:rPr>
                <w:rFonts w:eastAsia="Calibri"/>
              </w:rPr>
              <w:t xml:space="preserve">у</w:t>
            </w:r>
            <w:r>
              <w:rPr>
                <w:rFonts w:eastAsia="Calibri"/>
              </w:rPr>
              <w:t xml:space="preserve">правлени</w:t>
            </w:r>
            <w:r>
              <w:rPr>
                <w:rFonts w:eastAsia="Calibri"/>
              </w:rPr>
              <w:t xml:space="preserve">я</w:t>
            </w:r>
            <w:r>
              <w:rPr>
                <w:rFonts w:eastAsia="Calibri"/>
              </w:rPr>
              <w:t xml:space="preserve"> корпоративных и технологических автоматизированных систем управления</w:t>
            </w:r>
            <w:r>
              <w:rPr>
                <w:rFonts w:eastAsia="Calibri"/>
              </w:rPr>
              <w:t xml:space="preserve"> департамента информационных технологий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94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Лезов С.А.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1306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tbl>
      <w:tblPr>
        <w:tblStyle w:val="1001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2728"/>
        <w:gridCol w:w="142"/>
        <w:gridCol w:w="2220"/>
        <w:gridCol w:w="2305"/>
      </w:tblGrid>
      <w:tr>
        <w:tblPrEx/>
        <w:trPr>
          <w:cantSplit/>
        </w:trPr>
        <w:tc>
          <w:tcPr>
            <w:gridSpan w:val="2"/>
            <w:tcW w:w="4678" w:type="dxa"/>
            <w:vAlign w:val="center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vAlign w:val="center"/>
            <w:textDirection w:val="lrTb"/>
            <w:noWrap w:val="false"/>
          </w:tcPr>
          <w:p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vAlign w:val="center"/>
            <w:textDirection w:val="lrTb"/>
            <w:noWrap w:val="false"/>
          </w:tcPr>
          <w:p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</w:p>
        </w:tc>
      </w:tr>
      <w:tr>
        <w:tblPrEx/>
        <w:trPr>
          <w:cantSplit/>
          <w:trHeight w:val="1463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  <w:trHeight w:val="737"/>
        </w:trPr>
        <w:tc>
          <w:tcPr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728" w:type="dxa"/>
            <w:vAlign w:val="center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2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305" w:type="dxa"/>
            <w:vAlign w:val="center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vAlign w:val="center"/>
            <w:textDirection w:val="lrTb"/>
            <w:noWrap w:val="false"/>
          </w:tcPr>
          <w:p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vAlign w:val="center"/>
            <w:textDirection w:val="lrTb"/>
            <w:noWrap w:val="false"/>
          </w:tcPr>
          <w:p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</w:p>
        </w:tc>
      </w:tr>
      <w:tr>
        <w:tblPrEx/>
        <w:trPr>
          <w:cantSplit/>
          <w:trHeight w:val="1463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  <w:trHeight w:val="737"/>
        </w:trPr>
        <w:tc>
          <w:tcPr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728" w:type="dxa"/>
            <w:vAlign w:val="center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2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305" w:type="dxa"/>
            <w:vAlign w:val="center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tbl>
      <w:tblPr>
        <w:tblStyle w:val="1001"/>
        <w:tblW w:w="937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815"/>
        <w:gridCol w:w="2154"/>
        <w:gridCol w:w="2426"/>
      </w:tblGrid>
      <w:tr>
        <w:tblPrEx/>
        <w:trPr>
          <w:trHeight w:val="757"/>
        </w:trPr>
        <w:tc>
          <w:tcPr>
            <w:tcW w:w="1560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3232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154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426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</w:tr>
      <w:tr>
        <w:tblPrEx/>
        <w:trPr/>
        <w:tc>
          <w:tcPr>
            <w:gridSpan w:val="2"/>
            <w:tcW w:w="2977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3969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426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</w:tr>
    </w:tbl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Содержание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sdt>
      <w:sdtPr>
        <w15:appearance w15:val="boundingBox"/>
        <w:id w:val="-1631695966"/>
        <w:docPartObj>
          <w:docPartGallery w:val="Table of Contents"/>
          <w:docPartUnique w:val="true"/>
        </w:docPartObj>
        <w:rPr>
          <w:rFonts w:ascii="Times New Roman" w:hAnsi="Times New Roman" w:eastAsia="Times New Roman" w:cs="Times New Roman"/>
          <w:b w:val="0"/>
          <w:bCs w:val="0"/>
          <w:color w:val="auto"/>
          <w:sz w:val="20"/>
          <w:szCs w:val="20"/>
          <w:lang w:eastAsia="ru-RU"/>
        </w:rPr>
      </w:sdtPr>
      <w:sdtContent>
        <w:p>
          <w:pPr>
            <w:pStyle w:val="1007"/>
            <w:rPr>
              <w:sz w:val="32"/>
              <w:szCs w:val="32"/>
            </w:rPr>
          </w:pPr>
          <w:r>
            <w:rPr>
              <w:sz w:val="32"/>
              <w:szCs w:val="32"/>
            </w:rPr>
          </w:r>
          <w:r>
            <w:rPr>
              <w:sz w:val="32"/>
              <w:szCs w:val="32"/>
            </w:rPr>
          </w:r>
          <w:r>
            <w:rPr>
              <w:sz w:val="32"/>
              <w:szCs w:val="32"/>
            </w:rPr>
          </w:r>
        </w:p>
        <w:p>
          <w:pPr>
            <w:pStyle w:val="1004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sz w:val="22"/>
              <w:szCs w:val="22"/>
            </w:rPr>
          </w:pPr>
          <w:r>
            <w:rPr>
              <w:rFonts w:eastAsia="Calibri"/>
              <w:b/>
              <w:szCs w:val="20"/>
            </w:rPr>
            <w:fldChar w:fldCharType="begin"/>
          </w:r>
          <w:r>
            <w:rPr>
              <w:rFonts w:eastAsia="Calibri"/>
              <w:b/>
              <w:szCs w:val="20"/>
            </w:rPr>
            <w:instrText xml:space="preserve"> TOC \o "1-3" \h \z \u </w:instrText>
          </w:r>
          <w:r>
            <w:rPr>
              <w:rFonts w:eastAsia="Calibri"/>
              <w:b/>
              <w:szCs w:val="20"/>
            </w:rPr>
            <w:fldChar w:fldCharType="separate"/>
          </w:r>
          <w:r>
            <w:rPr>
              <w:rFonts w:asciiTheme="minorHAnsi" w:hAnsiTheme="minorHAnsi" w:eastAsiaTheme="minorEastAsia" w:cstheme="minorBidi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sz w:val="22"/>
              <w:szCs w:val="22"/>
            </w:rPr>
          </w:r>
        </w:p>
        <w:p>
          <w:pPr>
            <w:pStyle w:val="1003"/>
            <w:numPr>
              <w:ilvl w:val="0"/>
              <w:numId w:val="25"/>
            </w:numPr>
            <w:rPr>
              <w:rFonts w:asciiTheme="minorHAnsi" w:hAnsiTheme="minorHAnsi" w:cstheme="minorBidi"/>
              <w:sz w:val="22"/>
              <w:szCs w:val="22"/>
            </w:rPr>
          </w:pPr>
          <w:r/>
          <w:hyperlink w:tooltip="#_Toc158193506" w:anchor="_Toc158193506" w:history="1">
            <w:r>
              <w:rPr>
                <w:rStyle w:val="995"/>
                <w:b/>
              </w:rPr>
              <w:t xml:space="preserve">Общие сведения</w:t>
            </w:r>
            <w:r>
              <w:tab/>
            </w:r>
            <w:r>
              <w:t xml:space="preserve">2</w:t>
            </w:r>
          </w:hyperlink>
          <w:r>
            <w:rPr>
              <w:rFonts w:asciiTheme="minorHAnsi" w:hAnsiTheme="minorHAnsi" w:cstheme="minorBidi"/>
              <w:sz w:val="22"/>
              <w:szCs w:val="22"/>
            </w:rPr>
          </w:r>
          <w:r>
            <w:rPr>
              <w:rFonts w:asciiTheme="minorHAnsi" w:hAnsiTheme="minorHAnsi" w:cstheme="minorBidi"/>
              <w:sz w:val="22"/>
              <w:szCs w:val="22"/>
            </w:rPr>
          </w:r>
        </w:p>
        <w:p>
          <w:pPr>
            <w:pStyle w:val="1003"/>
            <w:numPr>
              <w:ilvl w:val="0"/>
              <w:numId w:val="25"/>
            </w:numPr>
            <w:rPr>
              <w:rFonts w:asciiTheme="minorHAnsi" w:hAnsiTheme="minorHAnsi" w:cstheme="minorBidi"/>
              <w:sz w:val="22"/>
              <w:szCs w:val="22"/>
            </w:rPr>
          </w:pPr>
          <w:r/>
          <w:hyperlink w:tooltip="#_Toc158193507" w:anchor="_Toc158193507" w:history="1">
            <w:r>
              <w:rPr>
                <w:rStyle w:val="995"/>
                <w:b/>
              </w:rPr>
              <w:t xml:space="preserve">Предмет закупки</w:t>
            </w:r>
            <w:r>
              <w:tab/>
            </w:r>
            <w:r>
              <w:t xml:space="preserve">2</w:t>
            </w:r>
          </w:hyperlink>
          <w:r>
            <w:rPr>
              <w:rFonts w:asciiTheme="minorHAnsi" w:hAnsiTheme="minorHAnsi" w:cstheme="minorBidi"/>
              <w:sz w:val="22"/>
              <w:szCs w:val="22"/>
            </w:rPr>
          </w:r>
          <w:r>
            <w:rPr>
              <w:rFonts w:asciiTheme="minorHAnsi" w:hAnsiTheme="minorHAnsi" w:cstheme="minorBidi"/>
              <w:sz w:val="22"/>
              <w:szCs w:val="22"/>
            </w:rPr>
          </w:r>
        </w:p>
        <w:p>
          <w:pPr>
            <w:pStyle w:val="1003"/>
            <w:numPr>
              <w:ilvl w:val="0"/>
              <w:numId w:val="25"/>
            </w:numPr>
            <w:rPr>
              <w:rFonts w:asciiTheme="minorHAnsi" w:hAnsiTheme="minorHAnsi" w:cstheme="minorBidi"/>
              <w:sz w:val="22"/>
              <w:szCs w:val="22"/>
            </w:rPr>
          </w:pPr>
          <w:r/>
          <w:hyperlink w:tooltip="#_Toc158193508" w:anchor="_Toc158193508" w:history="1">
            <w:r>
              <w:rPr>
                <w:rStyle w:val="995"/>
                <w:b/>
              </w:rPr>
              <w:t xml:space="preserve">Общие требования к условиям пр</w:t>
            </w:r>
            <w:r>
              <w:rPr>
                <w:rStyle w:val="995"/>
                <w:b/>
              </w:rPr>
              <w:t xml:space="preserve">едоставления </w:t>
            </w:r>
            <w:r>
              <w:rPr>
                <w:rStyle w:val="995"/>
                <w:b/>
              </w:rPr>
              <w:t xml:space="preserve">права </w:t>
            </w:r>
            <w:r>
              <w:rPr>
                <w:rStyle w:val="995"/>
                <w:b/>
              </w:rPr>
              <w:t xml:space="preserve">на использование</w:t>
            </w:r>
            <w:r>
              <w:tab/>
            </w:r>
            <w:r>
              <w:t xml:space="preserve">2</w:t>
            </w:r>
          </w:hyperlink>
          <w:r>
            <w:rPr>
              <w:rFonts w:asciiTheme="minorHAnsi" w:hAnsiTheme="minorHAnsi" w:cstheme="minorBidi"/>
              <w:sz w:val="22"/>
              <w:szCs w:val="22"/>
            </w:rPr>
          </w:r>
          <w:r>
            <w:rPr>
              <w:rFonts w:asciiTheme="minorHAnsi" w:hAnsiTheme="minorHAnsi" w:cstheme="minorBidi"/>
              <w:sz w:val="22"/>
              <w:szCs w:val="22"/>
            </w:rPr>
          </w:r>
        </w:p>
        <w:p>
          <w:pPr>
            <w:pStyle w:val="1003"/>
            <w:rPr>
              <w:rFonts w:asciiTheme="minorHAnsi" w:hAnsiTheme="minorHAnsi" w:cstheme="minorBidi"/>
              <w:sz w:val="22"/>
              <w:szCs w:val="22"/>
            </w:rPr>
          </w:pPr>
          <w:r/>
          <w:hyperlink w:tooltip="#_Toc158193509" w:anchor="_Toc158193509" w:history="1">
            <w:r>
              <w:rPr>
                <w:rStyle w:val="995"/>
              </w:rPr>
              <w:t xml:space="preserve">Приложение 1 к Техническому заданию. Спецификация приобретаемых прав использования программ для ЭВМ</w:t>
            </w:r>
            <w:r>
              <w:tab/>
            </w:r>
            <w:r>
              <w:t xml:space="preserve">3</w:t>
            </w:r>
          </w:hyperlink>
          <w:r>
            <w:rPr>
              <w:rFonts w:asciiTheme="minorHAnsi" w:hAnsiTheme="minorHAnsi" w:cstheme="minorBidi"/>
              <w:sz w:val="22"/>
              <w:szCs w:val="22"/>
            </w:rPr>
          </w:r>
          <w:r>
            <w:rPr>
              <w:rFonts w:asciiTheme="minorHAnsi" w:hAnsiTheme="minorHAnsi" w:cstheme="minorBidi"/>
              <w:sz w:val="22"/>
              <w:szCs w:val="22"/>
            </w:rPr>
          </w:r>
        </w:p>
        <w:p>
          <w:pPr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b/>
              <w:bCs/>
              <w:sz w:val="20"/>
              <w:szCs w:val="20"/>
            </w:rPr>
          </w:r>
          <w:r>
            <w:rPr>
              <w:b/>
              <w:bCs/>
              <w:sz w:val="20"/>
              <w:szCs w:val="20"/>
            </w:rPr>
          </w:r>
        </w:p>
      </w:sdtContent>
    </w:sdt>
    <w:p>
      <w:pPr>
        <w:ind w:firstLine="709"/>
        <w:jc w:val="both"/>
        <w:rPr>
          <w:sz w:val="36"/>
          <w:szCs w:val="28"/>
        </w:rPr>
      </w:pPr>
      <w:r>
        <w:rPr>
          <w:sz w:val="36"/>
          <w:szCs w:val="28"/>
        </w:rPr>
      </w:r>
      <w:r>
        <w:rPr>
          <w:sz w:val="36"/>
          <w:szCs w:val="28"/>
        </w:rPr>
      </w:r>
      <w:r>
        <w:rPr>
          <w:sz w:val="36"/>
          <w:szCs w:val="28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85"/>
        <w:rPr>
          <w:b/>
        </w:rPr>
      </w:pPr>
      <w:r/>
      <w:bookmarkStart w:id="3" w:name="_Toc144739498"/>
      <w:r/>
      <w:bookmarkStart w:id="4" w:name="_Toc158193506"/>
      <w:r>
        <w:rPr>
          <w:b/>
        </w:rPr>
        <w:t xml:space="preserve">Общие </w:t>
      </w:r>
      <w:r>
        <w:rPr>
          <w:b/>
        </w:rPr>
        <w:t xml:space="preserve">сведения</w:t>
      </w:r>
      <w:bookmarkEnd w:id="3"/>
      <w:r/>
      <w:bookmarkEnd w:id="4"/>
      <w:r>
        <w:rPr>
          <w:b/>
        </w:rPr>
      </w:r>
      <w:r>
        <w:rPr>
          <w:b/>
        </w:rPr>
      </w:r>
    </w:p>
    <w:p>
      <w:pPr>
        <w:pStyle w:val="1008"/>
        <w:numPr>
          <w:ilvl w:val="1"/>
          <w:numId w:val="15"/>
        </w:numPr>
        <w:contextualSpacing w:val="0"/>
        <w:jc w:val="both"/>
        <w:spacing w:before="60"/>
        <w:rPr>
          <w:color w:val="000000" w:themeColor="text1"/>
          <w:sz w:val="28"/>
          <w:lang w:eastAsia="en-US"/>
        </w:rPr>
      </w:pPr>
      <w:r>
        <w:rPr>
          <w:color w:val="000000" w:themeColor="text1"/>
          <w:sz w:val="28"/>
          <w:lang w:eastAsia="en-US"/>
        </w:rPr>
        <w:t xml:space="preserve">В настоящем документе представлено Техническое задание на приобретение прав</w:t>
      </w:r>
      <w:r>
        <w:rPr>
          <w:color w:val="000000" w:themeColor="text1"/>
          <w:sz w:val="28"/>
          <w:szCs w:val="28"/>
        </w:rPr>
        <w:t xml:space="preserve"> на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  <w:lang w:eastAsia="en-US"/>
        </w:rPr>
        <w:t xml:space="preserve">сопровождение</w:t>
      </w:r>
      <w:r>
        <w:rPr>
          <w:color w:val="000000" w:themeColor="text1"/>
          <w:sz w:val="28"/>
          <w:lang w:eastAsia="en-US"/>
        </w:rPr>
        <w:t xml:space="preserve"> специализированных решений на платформе 1С для локального использования для нужд ПАО «Россети Северо-Запад».</w:t>
      </w:r>
      <w:r>
        <w:rPr>
          <w:color w:val="000000" w:themeColor="text1"/>
          <w:sz w:val="28"/>
          <w:lang w:eastAsia="en-US"/>
        </w:rPr>
      </w:r>
      <w:r>
        <w:rPr>
          <w:color w:val="000000" w:themeColor="text1"/>
          <w:sz w:val="28"/>
          <w:lang w:eastAsia="en-US"/>
        </w:rPr>
      </w:r>
    </w:p>
    <w:p>
      <w:pPr>
        <w:pStyle w:val="1008"/>
        <w:numPr>
          <w:ilvl w:val="1"/>
          <w:numId w:val="15"/>
        </w:numPr>
        <w:contextualSpacing w:val="0"/>
        <w:jc w:val="both"/>
        <w:spacing w:before="60"/>
        <w:rPr>
          <w:sz w:val="28"/>
          <w:lang w:eastAsia="en-US"/>
        </w:rPr>
      </w:pPr>
      <w:r>
        <w:rPr>
          <w:sz w:val="28"/>
          <w:lang w:eastAsia="en-US"/>
        </w:rPr>
        <w:t xml:space="preserve">Заказчиком является ПАО «Россети Северо-Запад».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85"/>
        <w:rPr>
          <w:b/>
        </w:rPr>
      </w:pPr>
      <w:r/>
      <w:bookmarkStart w:id="5" w:name="_Toc144739499"/>
      <w:r/>
      <w:bookmarkStart w:id="6" w:name="_Toc158193507"/>
      <w:r>
        <w:rPr>
          <w:b/>
        </w:rPr>
        <w:t xml:space="preserve">Предмет закупки</w:t>
      </w:r>
      <w:bookmarkEnd w:id="5"/>
      <w:r/>
      <w:bookmarkEnd w:id="6"/>
      <w:r>
        <w:rPr>
          <w:b/>
        </w:rPr>
      </w:r>
      <w:r>
        <w:rPr>
          <w:b/>
        </w:rPr>
      </w:r>
    </w:p>
    <w:p>
      <w:pPr>
        <w:pStyle w:val="1008"/>
        <w:numPr>
          <w:ilvl w:val="1"/>
          <w:numId w:val="15"/>
        </w:numPr>
        <w:jc w:val="both"/>
        <w:spacing w:after="60"/>
        <w:rPr>
          <w:color w:val="000000" w:themeColor="text1"/>
          <w:sz w:val="28"/>
          <w:lang w:eastAsia="en-US"/>
        </w:rPr>
      </w:pPr>
      <w:r>
        <w:rPr>
          <w:color w:val="000000" w:themeColor="text1"/>
          <w:sz w:val="28"/>
          <w:lang w:eastAsia="en-US"/>
        </w:rPr>
        <w:t xml:space="preserve">Предметом зак</w:t>
      </w:r>
      <w:r>
        <w:rPr>
          <w:color w:val="000000" w:themeColor="text1"/>
          <w:sz w:val="28"/>
          <w:lang w:eastAsia="en-US"/>
        </w:rPr>
        <w:t xml:space="preserve">упки является приобретение прав.</w:t>
      </w:r>
      <w:r>
        <w:rPr>
          <w:color w:val="000000" w:themeColor="text1"/>
          <w:sz w:val="28"/>
          <w:lang w:eastAsia="en-US"/>
        </w:rPr>
      </w:r>
      <w:r>
        <w:rPr>
          <w:color w:val="000000" w:themeColor="text1"/>
          <w:sz w:val="28"/>
          <w:lang w:eastAsia="en-US"/>
        </w:rPr>
      </w:r>
    </w:p>
    <w:p>
      <w:pPr>
        <w:pStyle w:val="1008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Наименование, объем (количество), срок действия требуемых лицензий приведены в Приложении № 1.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08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Адрес предоставления лицензий: </w:t>
      </w:r>
      <w:r>
        <w:rPr>
          <w:sz w:val="28"/>
          <w:lang w:eastAsia="en-US"/>
        </w:rPr>
        <w:t xml:space="preserve">196247, Россия, Санкт-Петербург, пл. Конституции, д.3, Лит. А, помещение 16Н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08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  <w:t xml:space="preserve">С</w:t>
      </w:r>
      <w:r>
        <w:rPr>
          <w:sz w:val="28"/>
          <w:lang w:eastAsia="en-US"/>
        </w:rPr>
        <w:t xml:space="preserve">роки</w:t>
      </w:r>
      <w:r>
        <w:rPr>
          <w:sz w:val="28"/>
          <w:lang w:eastAsia="en-US"/>
        </w:rPr>
        <w:t xml:space="preserve"> поставки (передачи) ли</w:t>
      </w:r>
      <w:bookmarkStart w:id="0" w:name="undefined"/>
      <w:r/>
      <w:bookmarkEnd w:id="0"/>
      <w:r>
        <w:rPr>
          <w:sz w:val="28"/>
          <w:lang w:eastAsia="en-US"/>
        </w:rPr>
        <w:t xml:space="preserve">цензий:</w:t>
      </w:r>
      <w:r>
        <w:rPr>
          <w:sz w:val="28"/>
          <w:lang w:eastAsia="en-US"/>
        </w:rPr>
        <w:t xml:space="preserve"> </w:t>
      </w:r>
      <w:r>
        <w:rPr>
          <w:sz w:val="28"/>
          <w:lang w:eastAsia="en-US"/>
        </w:rPr>
        <w:t xml:space="preserve">в </w:t>
      </w:r>
      <w:r>
        <w:rPr>
          <w:sz w:val="28"/>
          <w:lang w:eastAsia="en-US"/>
        </w:rPr>
        <w:t xml:space="preserve">течении 5 рабочих дней после заключения договора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85"/>
        <w:rPr>
          <w:b/>
        </w:rPr>
      </w:pPr>
      <w:r/>
      <w:bookmarkStart w:id="7" w:name="_Toc144739500"/>
      <w:r/>
      <w:bookmarkStart w:id="8" w:name="_Toc158193508"/>
      <w:r>
        <w:rPr>
          <w:b/>
        </w:rPr>
        <w:t xml:space="preserve">Общие требования к условиям </w:t>
      </w:r>
      <w:r>
        <w:rPr>
          <w:b/>
        </w:rPr>
        <w:t xml:space="preserve">пр</w:t>
      </w:r>
      <w:r>
        <w:rPr>
          <w:b/>
        </w:rPr>
        <w:t xml:space="preserve">едоставления п</w:t>
      </w:r>
      <w:r>
        <w:rPr>
          <w:b/>
        </w:rPr>
        <w:t xml:space="preserve">рава </w:t>
      </w:r>
      <w:r>
        <w:rPr>
          <w:b/>
        </w:rPr>
        <w:t xml:space="preserve">на </w:t>
      </w:r>
      <w:r>
        <w:rPr>
          <w:b/>
        </w:rPr>
        <w:t xml:space="preserve">использовани</w:t>
      </w:r>
      <w:r>
        <w:rPr>
          <w:b/>
        </w:rPr>
        <w:t xml:space="preserve">е</w:t>
      </w:r>
      <w:bookmarkEnd w:id="7"/>
      <w:r/>
      <w:bookmarkEnd w:id="8"/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Определяются </w:t>
      </w:r>
      <w:r>
        <w:rPr>
          <w:sz w:val="28"/>
          <w:lang w:eastAsia="en-US"/>
        </w:rPr>
        <w:t xml:space="preserve">договором. 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rPr>
          <w:sz w:val="28"/>
          <w:lang w:eastAsia="en-US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284" w:footer="129" w:gutter="0"/>
          <w:cols w:num="1" w:sep="0" w:space="708" w:equalWidth="1"/>
          <w:docGrid w:linePitch="360"/>
          <w:titlePg/>
        </w:sect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85"/>
        <w:numPr>
          <w:ilvl w:val="0"/>
          <w:numId w:val="0"/>
        </w:numPr>
      </w:pPr>
      <w:r/>
      <w:bookmarkStart w:id="9" w:name="_Toc144739501"/>
      <w:r/>
      <w:bookmarkStart w:id="10" w:name="_Toc158193509"/>
      <w:r>
        <w:t xml:space="preserve">Приложение 1 к Техническому заданию. Спецификация</w:t>
      </w:r>
      <w:r>
        <w:t xml:space="preserve"> </w:t>
      </w:r>
      <w:r>
        <w:t xml:space="preserve">приобретаемых</w:t>
      </w:r>
      <w:r>
        <w:t xml:space="preserve"> прав</w:t>
      </w:r>
      <w:bookmarkEnd w:id="9"/>
      <w:r/>
      <w:bookmarkEnd w:id="10"/>
      <w:r>
        <w:t xml:space="preserve">.</w:t>
      </w:r>
      <w:r/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Style w:val="1001"/>
        <w:tblW w:w="1445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4852"/>
        <w:gridCol w:w="1530"/>
        <w:gridCol w:w="1701"/>
        <w:gridCol w:w="1559"/>
        <w:gridCol w:w="1134"/>
        <w:gridCol w:w="1843"/>
        <w:gridCol w:w="1415"/>
      </w:tblGrid>
      <w:tr>
        <w:tblPrEx/>
        <w:trPr>
          <w:cantSplit/>
          <w:tblHeader/>
        </w:trPr>
        <w:tc>
          <w:tcPr>
            <w:tcW w:w="42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№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 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53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Производитель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Borders>
              <w:lef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t xml:space="preserve">Артикул</w:t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  <w:tc>
          <w:tcPr>
            <w:tcBorders>
              <w:lef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  <w:t xml:space="preserve">Тип доставки</w:t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лицензий</w:t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 продукта в ЕРРП</w:t>
            </w:r>
            <w:r>
              <w:rPr>
                <w:sz w:val="18"/>
                <w:szCs w:val="18"/>
                <w:lang w:eastAsia="en-US"/>
              </w:rPr>
              <w:footnoteReference w:id="2"/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  <w:tc>
          <w:tcPr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  <w:t xml:space="preserve">Номер </w:t>
            </w:r>
            <w:r>
              <w:rPr>
                <w:sz w:val="18"/>
                <w:szCs w:val="18"/>
                <w:lang w:eastAsia="en-US"/>
              </w:rPr>
              <w:t xml:space="preserve">записи в ЕРРП</w:t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</w:tr>
      <w:tr>
        <w:tblPrEx/>
        <w:trPr>
          <w:cantSplit/>
        </w:trPr>
        <w:tc>
          <w:tcPr>
            <w:tcW w:w="421" w:type="dxa"/>
            <w:vAlign w:val="center"/>
            <w:textDirection w:val="lrTb"/>
            <w:noWrap w:val="false"/>
          </w:tcPr>
          <w:p>
            <w:pPr>
              <w:pStyle w:val="1017"/>
              <w:rPr>
                <w:sz w:val="26"/>
              </w:rPr>
            </w:pPr>
            <w:r>
              <w:rPr>
                <w:sz w:val="26"/>
              </w:rPr>
              <w:t xml:space="preserve">1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pStyle w:val="1017"/>
            </w:pPr>
            <w:r>
              <w:t xml:space="preserve">1С:КП Отраслевой ПРОФ, 2-я Категория на 12 месяцев, при пролонгации без перерыва</w:t>
            </w:r>
            <w:r>
              <w:t xml:space="preserve"> </w:t>
            </w:r>
            <w:r>
              <w:t xml:space="preserve">1С:УАТ ПРОФ</w:t>
            </w:r>
            <w:r>
              <w:t xml:space="preserve">*.</w:t>
            </w:r>
            <w:r/>
          </w:p>
        </w:tc>
        <w:tc>
          <w:tcPr>
            <w:tcW w:w="1530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ООО</w:t>
            </w:r>
            <w:r>
              <w:rPr>
                <w:lang w:eastAsia="en-US"/>
              </w:rPr>
              <w:t xml:space="preserve"> "1С-СОФТ"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lef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2900002577365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Borders>
              <w:lef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  <w14:ligatures w14:val="none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1С:КП</w:t>
            </w:r>
            <w:r>
              <w:rPr>
                <w:sz w:val="22"/>
                <w:szCs w:val="22"/>
                <w:lang w:eastAsia="en-US"/>
                <w14:ligatures w14:val="none"/>
              </w:rPr>
            </w:r>
            <w:r>
              <w:rPr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14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  <w14:ligatures w14:val="none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7884</w:t>
            </w:r>
            <w:r>
              <w:rPr>
                <w:sz w:val="22"/>
                <w:szCs w:val="22"/>
                <w:lang w:eastAsia="en-US"/>
                <w14:ligatures w14:val="none"/>
              </w:rPr>
            </w:r>
            <w:r>
              <w:rPr>
                <w:sz w:val="22"/>
                <w:szCs w:val="22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421" w:type="dxa"/>
            <w:vAlign w:val="center"/>
            <w:vMerge w:val="restart"/>
            <w:textDirection w:val="lrTb"/>
            <w:noWrap w:val="false"/>
          </w:tcPr>
          <w:p>
            <w:pPr>
              <w:pStyle w:val="1017"/>
              <w:rPr>
                <w:sz w:val="26"/>
              </w:rPr>
            </w:pPr>
            <w:r>
              <w:rPr>
                <w:sz w:val="26"/>
              </w:rPr>
              <w:t xml:space="preserve">2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4852" w:type="dxa"/>
            <w:vAlign w:val="center"/>
            <w:vMerge w:val="restart"/>
            <w:textDirection w:val="lrTb"/>
            <w:noWrap w:val="false"/>
          </w:tcPr>
          <w:p>
            <w:pPr>
              <w:pStyle w:val="1017"/>
            </w:pPr>
            <w:r>
              <w:t xml:space="preserve">1С:КП ПРОФ+1СПАРК Риски</w:t>
            </w:r>
            <w:r/>
          </w:p>
        </w:tc>
        <w:tc>
          <w:tcPr>
            <w:tcW w:w="1530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ООО</w:t>
            </w:r>
            <w:r>
              <w:rPr>
                <w:lang w:eastAsia="en-US"/>
              </w:rPr>
              <w:t xml:space="preserve"> "1С-СОФТ"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lef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2900003972916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  <w14:ligatures w14:val="none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1С:КП</w:t>
            </w:r>
            <w:r>
              <w:rPr>
                <w:sz w:val="22"/>
                <w:szCs w:val="22"/>
                <w:lang w:eastAsia="en-US"/>
                <w14:ligatures w14:val="none"/>
              </w:rPr>
            </w:r>
            <w:r>
              <w:rPr>
                <w:sz w:val="22"/>
                <w:szCs w:val="22"/>
                <w:lang w:eastAsia="en-US"/>
                <w14:ligatures w14:val="none"/>
              </w:rPr>
            </w:r>
          </w:p>
          <w:p>
            <w:pPr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41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7884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421" w:type="dxa"/>
            <w:vAlign w:val="center"/>
            <w:vMerge w:val="restart"/>
            <w:textDirection w:val="lrTb"/>
            <w:noWrap w:val="false"/>
          </w:tcPr>
          <w:p>
            <w:pPr>
              <w:pStyle w:val="1017"/>
              <w:rPr>
                <w:sz w:val="26"/>
              </w:rPr>
            </w:pPr>
            <w:r>
              <w:rPr>
                <w:sz w:val="26"/>
              </w:rPr>
              <w:t xml:space="preserve">3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4852" w:type="dxa"/>
            <w:vAlign w:val="center"/>
            <w:vMerge w:val="restart"/>
            <w:textDirection w:val="lrTb"/>
            <w:noWrap w:val="false"/>
          </w:tcPr>
          <w:p>
            <w:pPr>
              <w:pStyle w:val="1017"/>
            </w:pPr>
            <w:r>
              <w:t xml:space="preserve">1С:Контрагент безлимитный на 12 месяцев</w:t>
            </w:r>
            <w:r/>
          </w:p>
        </w:tc>
        <w:tc>
          <w:tcPr>
            <w:tcW w:w="1530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ООО</w:t>
            </w:r>
            <w:r>
              <w:rPr>
                <w:lang w:eastAsia="en-US"/>
              </w:rPr>
              <w:t xml:space="preserve"> "1С-СОФТ"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lef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2900001691734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  <w14:ligatures w14:val="none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1С:Контрагент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  <w14:ligatures w14:val="none"/>
              </w:rPr>
            </w:r>
          </w:p>
          <w:p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41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9243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</w:tr>
    </w:tbl>
    <w:p>
      <w:pPr>
        <w:contextualSpacing/>
        <w:jc w:val="both"/>
        <w:spacing w:before="120" w:after="60"/>
        <w:rPr>
          <w:i/>
          <w:lang w:eastAsia="en-US"/>
        </w:rPr>
      </w:pPr>
      <w:r>
        <w:rPr>
          <w:i/>
          <w:lang w:eastAsia="en-US"/>
        </w:rPr>
      </w:r>
      <w:r>
        <w:rPr>
          <w:i/>
          <w:lang w:eastAsia="en-US"/>
        </w:rPr>
      </w:r>
      <w:r>
        <w:rPr>
          <w:i/>
          <w:lang w:eastAsia="en-US"/>
        </w:rPr>
      </w:r>
    </w:p>
    <w:p>
      <w:pPr>
        <w:contextualSpacing/>
        <w:jc w:val="both"/>
        <w:spacing w:before="120" w:after="60"/>
        <w:rPr>
          <w:i/>
          <w:lang w:eastAsia="en-US"/>
        </w:rPr>
      </w:pPr>
      <w:r>
        <w:rPr>
          <w:i/>
          <w:lang w:eastAsia="en-US"/>
        </w:rPr>
        <w:t xml:space="preserve">*но не более срока действия исключительного права на программное обеспечение.</w:t>
      </w:r>
      <w:r>
        <w:rPr>
          <w:i/>
          <w:lang w:eastAsia="en-US"/>
        </w:rPr>
      </w:r>
      <w:r>
        <w:rPr>
          <w:i/>
          <w:lang w:eastAsia="en-US"/>
        </w:rPr>
      </w:r>
    </w:p>
    <w:p>
      <w:pPr>
        <w:jc w:val="both"/>
        <w:spacing w:before="120" w:after="60"/>
        <w:rPr>
          <w:lang w:eastAsia="en-US"/>
        </w:rPr>
      </w:pPr>
      <w:r>
        <w:rPr>
          <w:lang w:eastAsia="en-US"/>
        </w:rPr>
        <w:t xml:space="preserve">Предложение товара эквивалента не рассматривается.</w:t>
      </w:r>
      <w:r>
        <w:rPr>
          <w:lang w:eastAsia="en-US"/>
        </w:rPr>
      </w:r>
      <w:r>
        <w:rPr>
          <w:lang w:eastAsia="en-US"/>
        </w:rPr>
      </w:r>
    </w:p>
    <w:p>
      <w:pPr>
        <w:jc w:val="both"/>
        <w:spacing w:before="120" w:after="60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sectPr>
      <w:footerReference w:type="default" r:id="rId10"/>
      <w:footnotePr/>
      <w:endnotePr/>
      <w:type w:val="nextPage"/>
      <w:pgSz w:w="16838" w:h="11906" w:orient="landscape"/>
      <w:pgMar w:top="1701" w:right="1134" w:bottom="850" w:left="1134" w:header="284" w:footer="12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114"/>
      <w:gridCol w:w="3114"/>
      <w:gridCol w:w="3127"/>
    </w:tblGrid>
    <w:tr>
      <w:tblPrEx/>
      <w:trPr/>
      <w:tc>
        <w:tcPr>
          <w:tcW w:w="3190" w:type="dxa"/>
          <w:textDirection w:val="lrTb"/>
          <w:noWrap w:val="false"/>
        </w:tcPr>
        <w:p>
          <w:pPr>
            <w:pStyle w:val="99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0" w:type="dxa"/>
          <w:textDirection w:val="lrTb"/>
          <w:noWrap w:val="false"/>
        </w:tcPr>
        <w:p>
          <w:pPr>
            <w:pStyle w:val="99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1" w:type="dxa"/>
          <w:textDirection w:val="lrTb"/>
          <w:noWrap w:val="false"/>
        </w:tcPr>
        <w:p>
          <w:pPr>
            <w:pStyle w:val="998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</w:tr>
  </w:tbl>
  <w:p>
    <w:pPr>
      <w:pStyle w:val="998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  <w:r>
      <w:rPr>
        <w:sz w:val="12"/>
        <w:szCs w:val="1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5309" w:type="dxa"/>
      <w:tblLook w:val="04A0" w:firstRow="1" w:lastRow="0" w:firstColumn="1" w:lastColumn="0" w:noHBand="0" w:noVBand="1"/>
    </w:tblPr>
    <w:tblGrid>
      <w:gridCol w:w="3190"/>
      <w:gridCol w:w="3190"/>
      <w:gridCol w:w="8929"/>
    </w:tblGrid>
    <w:tr>
      <w:tblPrEx/>
      <w:trPr/>
      <w:tc>
        <w:tcPr>
          <w:tcW w:w="3190" w:type="dxa"/>
          <w:textDirection w:val="lrTb"/>
          <w:noWrap w:val="false"/>
        </w:tcPr>
        <w:p>
          <w:pPr>
            <w:pStyle w:val="99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0" w:type="dxa"/>
          <w:textDirection w:val="lrTb"/>
          <w:noWrap w:val="false"/>
        </w:tcPr>
        <w:p>
          <w:pPr>
            <w:pStyle w:val="99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8929" w:type="dxa"/>
          <w:textDirection w:val="lrTb"/>
          <w:noWrap w:val="false"/>
        </w:tcPr>
        <w:p>
          <w:pPr>
            <w:pStyle w:val="998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</w:tr>
  </w:tbl>
  <w:p>
    <w:pPr>
      <w:pStyle w:val="998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  <w:r>
      <w:rPr>
        <w:sz w:val="12"/>
        <w:szCs w:val="1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14"/>
      </w:pPr>
      <w:r>
        <w:rPr>
          <w:rStyle w:val="1016"/>
        </w:rPr>
        <w:footnoteRef/>
      </w:r>
      <w:r>
        <w:t xml:space="preserve"> ЕРРП – </w:t>
      </w:r>
      <w:r>
        <w:t xml:space="preserve">Единый реестр российских программ для электронных вычислительных машин и баз данных</w:t>
      </w:r>
      <w:r>
        <w:t xml:space="preserve"> </w:t>
      </w:r>
      <w:r>
        <w:t xml:space="preserve">https://reestr.digital.gov.ru/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986"/>
      <w:isLgl w:val="fal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987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0" w:firstLine="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pStyle w:val="985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eastAsia="Calibri" w:cs="Times New Roman"/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480"/>
      </w:pPr>
      <w:rPr>
        <w:rFonts w:hint="default" w:ascii="Times New Roman" w:hAnsi="Times New Roman" w:eastAsia="Times New Roman" w:cs="Times New Roman"/>
        <w:color w:val="0000ff"/>
        <w:sz w:val="28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13"/>
  </w:num>
  <w:num w:numId="5">
    <w:abstractNumId w:val="4"/>
  </w:num>
  <w:num w:numId="6">
    <w:abstractNumId w:val="1"/>
  </w:num>
  <w:num w:numId="7">
    <w:abstractNumId w:val="1"/>
  </w:num>
  <w:num w:numId="8">
    <w:abstractNumId w:val="1"/>
  </w:num>
  <w:num w:numId="9">
    <w:abstractNumId w:val="11"/>
  </w:num>
  <w:num w:numId="10">
    <w:abstractNumId w:val="15"/>
  </w:num>
  <w:num w:numId="11">
    <w:abstractNumId w:val="2"/>
  </w:num>
  <w:num w:numId="12">
    <w:abstractNumId w:val="8"/>
  </w:num>
  <w:num w:numId="13">
    <w:abstractNumId w:val="0"/>
  </w:num>
  <w:num w:numId="14">
    <w:abstractNumId w:val="1"/>
  </w:num>
  <w:num w:numId="15">
    <w:abstractNumId w:val="9"/>
  </w:num>
  <w:num w:numId="16">
    <w:abstractNumId w:val="9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</w:num>
  <w:num w:numId="23">
    <w:abstractNumId w:val="9"/>
  </w:num>
  <w:num w:numId="24">
    <w:abstractNumId w:val="12"/>
  </w:num>
  <w:num w:numId="25">
    <w:abstractNumId w:val="10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20">
    <w:name w:val="Heading 1 Char"/>
    <w:basedOn w:val="988"/>
    <w:link w:val="985"/>
    <w:uiPriority w:val="9"/>
    <w:rPr>
      <w:rFonts w:ascii="Arial" w:hAnsi="Arial" w:eastAsia="Arial" w:cs="Arial"/>
      <w:sz w:val="40"/>
      <w:szCs w:val="40"/>
    </w:rPr>
  </w:style>
  <w:style w:type="character" w:styleId="821">
    <w:name w:val="Heading 2 Char"/>
    <w:basedOn w:val="988"/>
    <w:link w:val="986"/>
    <w:uiPriority w:val="9"/>
    <w:rPr>
      <w:rFonts w:ascii="Arial" w:hAnsi="Arial" w:eastAsia="Arial" w:cs="Arial"/>
      <w:sz w:val="34"/>
    </w:rPr>
  </w:style>
  <w:style w:type="character" w:styleId="822">
    <w:name w:val="Heading 3 Char"/>
    <w:basedOn w:val="988"/>
    <w:link w:val="987"/>
    <w:uiPriority w:val="9"/>
    <w:rPr>
      <w:rFonts w:ascii="Arial" w:hAnsi="Arial" w:eastAsia="Arial" w:cs="Arial"/>
      <w:sz w:val="30"/>
      <w:szCs w:val="30"/>
    </w:rPr>
  </w:style>
  <w:style w:type="paragraph" w:styleId="823">
    <w:name w:val="Heading 4"/>
    <w:basedOn w:val="984"/>
    <w:next w:val="984"/>
    <w:link w:val="82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4">
    <w:name w:val="Heading 4 Char"/>
    <w:basedOn w:val="988"/>
    <w:link w:val="823"/>
    <w:uiPriority w:val="9"/>
    <w:rPr>
      <w:rFonts w:ascii="Arial" w:hAnsi="Arial" w:eastAsia="Arial" w:cs="Arial"/>
      <w:b/>
      <w:bCs/>
      <w:sz w:val="26"/>
      <w:szCs w:val="26"/>
    </w:rPr>
  </w:style>
  <w:style w:type="paragraph" w:styleId="825">
    <w:name w:val="Heading 5"/>
    <w:basedOn w:val="984"/>
    <w:next w:val="984"/>
    <w:link w:val="82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26">
    <w:name w:val="Heading 5 Char"/>
    <w:basedOn w:val="988"/>
    <w:link w:val="825"/>
    <w:uiPriority w:val="9"/>
    <w:rPr>
      <w:rFonts w:ascii="Arial" w:hAnsi="Arial" w:eastAsia="Arial" w:cs="Arial"/>
      <w:b/>
      <w:bCs/>
      <w:sz w:val="24"/>
      <w:szCs w:val="24"/>
    </w:rPr>
  </w:style>
  <w:style w:type="paragraph" w:styleId="827">
    <w:name w:val="Heading 6"/>
    <w:basedOn w:val="984"/>
    <w:next w:val="984"/>
    <w:link w:val="8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28">
    <w:name w:val="Heading 6 Char"/>
    <w:basedOn w:val="988"/>
    <w:link w:val="827"/>
    <w:uiPriority w:val="9"/>
    <w:rPr>
      <w:rFonts w:ascii="Arial" w:hAnsi="Arial" w:eastAsia="Arial" w:cs="Arial"/>
      <w:b/>
      <w:bCs/>
      <w:sz w:val="22"/>
      <w:szCs w:val="22"/>
    </w:rPr>
  </w:style>
  <w:style w:type="paragraph" w:styleId="829">
    <w:name w:val="Heading 7"/>
    <w:basedOn w:val="984"/>
    <w:next w:val="984"/>
    <w:link w:val="83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0">
    <w:name w:val="Heading 7 Char"/>
    <w:basedOn w:val="988"/>
    <w:link w:val="8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1">
    <w:name w:val="Heading 8"/>
    <w:basedOn w:val="984"/>
    <w:next w:val="984"/>
    <w:link w:val="83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2">
    <w:name w:val="Heading 8 Char"/>
    <w:basedOn w:val="988"/>
    <w:link w:val="831"/>
    <w:uiPriority w:val="9"/>
    <w:rPr>
      <w:rFonts w:ascii="Arial" w:hAnsi="Arial" w:eastAsia="Arial" w:cs="Arial"/>
      <w:i/>
      <w:iCs/>
      <w:sz w:val="22"/>
      <w:szCs w:val="22"/>
    </w:rPr>
  </w:style>
  <w:style w:type="paragraph" w:styleId="833">
    <w:name w:val="Heading 9"/>
    <w:basedOn w:val="984"/>
    <w:next w:val="984"/>
    <w:link w:val="83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4">
    <w:name w:val="Heading 9 Char"/>
    <w:basedOn w:val="988"/>
    <w:link w:val="833"/>
    <w:uiPriority w:val="9"/>
    <w:rPr>
      <w:rFonts w:ascii="Arial" w:hAnsi="Arial" w:eastAsia="Arial" w:cs="Arial"/>
      <w:i/>
      <w:iCs/>
      <w:sz w:val="21"/>
      <w:szCs w:val="21"/>
    </w:rPr>
  </w:style>
  <w:style w:type="paragraph" w:styleId="835">
    <w:name w:val="No Spacing"/>
    <w:uiPriority w:val="1"/>
    <w:qFormat/>
    <w:pPr>
      <w:spacing w:before="0" w:after="0" w:line="240" w:lineRule="auto"/>
    </w:pPr>
  </w:style>
  <w:style w:type="paragraph" w:styleId="836">
    <w:name w:val="Title"/>
    <w:basedOn w:val="984"/>
    <w:next w:val="984"/>
    <w:link w:val="8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7">
    <w:name w:val="Title Char"/>
    <w:basedOn w:val="988"/>
    <w:link w:val="836"/>
    <w:uiPriority w:val="10"/>
    <w:rPr>
      <w:sz w:val="48"/>
      <w:szCs w:val="48"/>
    </w:rPr>
  </w:style>
  <w:style w:type="paragraph" w:styleId="838">
    <w:name w:val="Subtitle"/>
    <w:basedOn w:val="984"/>
    <w:next w:val="984"/>
    <w:link w:val="839"/>
    <w:uiPriority w:val="11"/>
    <w:qFormat/>
    <w:pPr>
      <w:spacing w:before="200" w:after="200"/>
    </w:pPr>
    <w:rPr>
      <w:sz w:val="24"/>
      <w:szCs w:val="24"/>
    </w:rPr>
  </w:style>
  <w:style w:type="character" w:styleId="839">
    <w:name w:val="Subtitle Char"/>
    <w:basedOn w:val="988"/>
    <w:link w:val="838"/>
    <w:uiPriority w:val="11"/>
    <w:rPr>
      <w:sz w:val="24"/>
      <w:szCs w:val="24"/>
    </w:rPr>
  </w:style>
  <w:style w:type="paragraph" w:styleId="840">
    <w:name w:val="Quote"/>
    <w:basedOn w:val="984"/>
    <w:next w:val="984"/>
    <w:link w:val="841"/>
    <w:uiPriority w:val="29"/>
    <w:qFormat/>
    <w:pPr>
      <w:ind w:left="720" w:right="720"/>
    </w:pPr>
    <w:rPr>
      <w:i/>
    </w:rPr>
  </w:style>
  <w:style w:type="character" w:styleId="841">
    <w:name w:val="Quote Char"/>
    <w:link w:val="840"/>
    <w:uiPriority w:val="29"/>
    <w:rPr>
      <w:i/>
    </w:rPr>
  </w:style>
  <w:style w:type="paragraph" w:styleId="842">
    <w:name w:val="Intense Quote"/>
    <w:basedOn w:val="984"/>
    <w:next w:val="984"/>
    <w:link w:val="8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3">
    <w:name w:val="Intense Quote Char"/>
    <w:link w:val="842"/>
    <w:uiPriority w:val="30"/>
    <w:rPr>
      <w:i/>
    </w:rPr>
  </w:style>
  <w:style w:type="character" w:styleId="844">
    <w:name w:val="Header Char"/>
    <w:basedOn w:val="988"/>
    <w:link w:val="996"/>
    <w:uiPriority w:val="99"/>
  </w:style>
  <w:style w:type="character" w:styleId="845">
    <w:name w:val="Footer Char"/>
    <w:basedOn w:val="988"/>
    <w:link w:val="998"/>
    <w:uiPriority w:val="99"/>
  </w:style>
  <w:style w:type="paragraph" w:styleId="846">
    <w:name w:val="Caption"/>
    <w:basedOn w:val="984"/>
    <w:next w:val="984"/>
    <w:link w:val="8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47">
    <w:name w:val="Caption Char"/>
    <w:basedOn w:val="988"/>
    <w:link w:val="846"/>
    <w:uiPriority w:val="35"/>
    <w:rPr>
      <w:b/>
      <w:bCs/>
      <w:color w:val="4f81bd" w:themeColor="accent1"/>
      <w:sz w:val="18"/>
      <w:szCs w:val="18"/>
    </w:rPr>
  </w:style>
  <w:style w:type="table" w:styleId="848">
    <w:name w:val="Table Grid Light"/>
    <w:basedOn w:val="9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9">
    <w:name w:val="Plain Table 1"/>
    <w:basedOn w:val="9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0">
    <w:name w:val="Plain Table 2"/>
    <w:basedOn w:val="98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1">
    <w:name w:val="Plain Table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2">
    <w:name w:val="Plain Table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Plain Table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4">
    <w:name w:val="Grid Table 1 Light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Grid Table 1 Light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Grid Table 1 Light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Grid Table 1 Light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Grid Table 1 Light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Grid Table 1 Light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1 Light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2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2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2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2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2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2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3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3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3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3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3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4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6">
    <w:name w:val="Grid Table 4 - Accent 1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77">
    <w:name w:val="Grid Table 4 - Accent 2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78">
    <w:name w:val="Grid Table 4 - Accent 3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79">
    <w:name w:val="Grid Table 4 - Accent 4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0">
    <w:name w:val="Grid Table 4 - Accent 5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1">
    <w:name w:val="Grid Table 4 - Accent 6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2">
    <w:name w:val="Grid Table 5 Dark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3">
    <w:name w:val="Grid Table 5 Dark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84">
    <w:name w:val="Grid Table 5 Dark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5">
    <w:name w:val="Grid Table 5 Dark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6">
    <w:name w:val="Grid Table 5 Dark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7">
    <w:name w:val="Grid Table 5 Dark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8">
    <w:name w:val="Grid Table 5 Dark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9">
    <w:name w:val="Grid Table 6 Colorful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0">
    <w:name w:val="Grid Table 6 Colorful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1">
    <w:name w:val="Grid Table 6 Colorful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2">
    <w:name w:val="Grid Table 6 Colorful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3">
    <w:name w:val="Grid Table 6 Colorful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94">
    <w:name w:val="Grid Table 6 Colorful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5">
    <w:name w:val="Grid Table 6 Colorful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6">
    <w:name w:val="Grid Table 7 Colorful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7 Colorful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7 Colorful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7 Colorful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7 Colorful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7 Colorful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7 Colorful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List Table 1 Light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List Table 1 Light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List Table 1 Light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List Table 1 Light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List Table 1 Light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List Table 1 Light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1">
    <w:name w:val="List Table 2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2">
    <w:name w:val="List Table 2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3">
    <w:name w:val="List Table 2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14">
    <w:name w:val="List Table 2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15">
    <w:name w:val="List Table 2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16">
    <w:name w:val="List Table 2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17">
    <w:name w:val="List Table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3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3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3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3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3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3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4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4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4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4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4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5 Dark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2">
    <w:name w:val="List Table 5 Dark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3">
    <w:name w:val="List Table 5 Dark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4">
    <w:name w:val="List Table 5 Dark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5">
    <w:name w:val="List Table 5 Dark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6">
    <w:name w:val="List Table 5 Dark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7">
    <w:name w:val="List Table 5 Dark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6 Colorful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39">
    <w:name w:val="List Table 6 Colorful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0">
    <w:name w:val="List Table 6 Colorful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1">
    <w:name w:val="List Table 6 Colorful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2">
    <w:name w:val="List Table 6 Colorful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3">
    <w:name w:val="List Table 6 Colorful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44">
    <w:name w:val="List Table 6 Colorful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45">
    <w:name w:val="List Table 7 Colorful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6">
    <w:name w:val="List Table 7 Colorful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47">
    <w:name w:val="List Table 7 Colorful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48">
    <w:name w:val="List Table 7 Colorful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49">
    <w:name w:val="List Table 7 Colorful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0">
    <w:name w:val="List Table 7 Colorful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1">
    <w:name w:val="List Table 7 Colorful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2">
    <w:name w:val="Lined - Accent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3">
    <w:name w:val="Lined - Accent 1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4">
    <w:name w:val="Lined - Accent 2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5">
    <w:name w:val="Lined - Accent 3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6">
    <w:name w:val="Lined - Accent 4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7">
    <w:name w:val="Lined - Accent 5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8">
    <w:name w:val="Lined - Accent 6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9">
    <w:name w:val="Bordered &amp; Lined - Accent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0">
    <w:name w:val="Bordered &amp; Lined - Accent 1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1">
    <w:name w:val="Bordered &amp; Lined - Accent 2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2">
    <w:name w:val="Bordered &amp; Lined - Accent 3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3">
    <w:name w:val="Bordered &amp; Lined - Accent 4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4">
    <w:name w:val="Bordered &amp; Lined - Accent 5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5">
    <w:name w:val="Bordered &amp; Lined - Accent 6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6">
    <w:name w:val="Bordered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67">
    <w:name w:val="Bordered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68">
    <w:name w:val="Bordered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69">
    <w:name w:val="Bordered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0">
    <w:name w:val="Bordered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1">
    <w:name w:val="Bordered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2">
    <w:name w:val="Bordered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73">
    <w:name w:val="Footnote Text Char"/>
    <w:link w:val="1014"/>
    <w:uiPriority w:val="99"/>
    <w:rPr>
      <w:sz w:val="18"/>
    </w:rPr>
  </w:style>
  <w:style w:type="paragraph" w:styleId="974">
    <w:name w:val="endnote text"/>
    <w:basedOn w:val="984"/>
    <w:link w:val="975"/>
    <w:uiPriority w:val="99"/>
    <w:semiHidden/>
    <w:unhideWhenUsed/>
    <w:pPr>
      <w:spacing w:after="0" w:line="240" w:lineRule="auto"/>
    </w:pPr>
    <w:rPr>
      <w:sz w:val="20"/>
    </w:rPr>
  </w:style>
  <w:style w:type="character" w:styleId="975">
    <w:name w:val="Endnote Text Char"/>
    <w:link w:val="974"/>
    <w:uiPriority w:val="99"/>
    <w:rPr>
      <w:sz w:val="20"/>
    </w:rPr>
  </w:style>
  <w:style w:type="character" w:styleId="976">
    <w:name w:val="endnote reference"/>
    <w:basedOn w:val="988"/>
    <w:uiPriority w:val="99"/>
    <w:semiHidden/>
    <w:unhideWhenUsed/>
    <w:rPr>
      <w:vertAlign w:val="superscript"/>
    </w:rPr>
  </w:style>
  <w:style w:type="paragraph" w:styleId="977">
    <w:name w:val="toc 4"/>
    <w:basedOn w:val="984"/>
    <w:next w:val="984"/>
    <w:uiPriority w:val="39"/>
    <w:unhideWhenUsed/>
    <w:pPr>
      <w:ind w:left="850" w:right="0" w:firstLine="0"/>
      <w:spacing w:after="57"/>
    </w:pPr>
  </w:style>
  <w:style w:type="paragraph" w:styleId="978">
    <w:name w:val="toc 5"/>
    <w:basedOn w:val="984"/>
    <w:next w:val="984"/>
    <w:uiPriority w:val="39"/>
    <w:unhideWhenUsed/>
    <w:pPr>
      <w:ind w:left="1134" w:right="0" w:firstLine="0"/>
      <w:spacing w:after="57"/>
    </w:pPr>
  </w:style>
  <w:style w:type="paragraph" w:styleId="979">
    <w:name w:val="toc 6"/>
    <w:basedOn w:val="984"/>
    <w:next w:val="984"/>
    <w:uiPriority w:val="39"/>
    <w:unhideWhenUsed/>
    <w:pPr>
      <w:ind w:left="1417" w:right="0" w:firstLine="0"/>
      <w:spacing w:after="57"/>
    </w:pPr>
  </w:style>
  <w:style w:type="paragraph" w:styleId="980">
    <w:name w:val="toc 7"/>
    <w:basedOn w:val="984"/>
    <w:next w:val="984"/>
    <w:uiPriority w:val="39"/>
    <w:unhideWhenUsed/>
    <w:pPr>
      <w:ind w:left="1701" w:right="0" w:firstLine="0"/>
      <w:spacing w:after="57"/>
    </w:pPr>
  </w:style>
  <w:style w:type="paragraph" w:styleId="981">
    <w:name w:val="toc 8"/>
    <w:basedOn w:val="984"/>
    <w:next w:val="984"/>
    <w:uiPriority w:val="39"/>
    <w:unhideWhenUsed/>
    <w:pPr>
      <w:ind w:left="1984" w:right="0" w:firstLine="0"/>
      <w:spacing w:after="57"/>
    </w:pPr>
  </w:style>
  <w:style w:type="paragraph" w:styleId="982">
    <w:name w:val="toc 9"/>
    <w:basedOn w:val="984"/>
    <w:next w:val="984"/>
    <w:uiPriority w:val="39"/>
    <w:unhideWhenUsed/>
    <w:pPr>
      <w:ind w:left="2268" w:right="0" w:firstLine="0"/>
      <w:spacing w:after="57"/>
    </w:pPr>
  </w:style>
  <w:style w:type="paragraph" w:styleId="983">
    <w:name w:val="table of figures"/>
    <w:basedOn w:val="984"/>
    <w:next w:val="984"/>
    <w:uiPriority w:val="99"/>
    <w:unhideWhenUsed/>
    <w:pPr>
      <w:spacing w:after="0" w:afterAutospacing="0"/>
    </w:pPr>
  </w:style>
  <w:style w:type="paragraph" w:styleId="984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985">
    <w:name w:val="Heading 1"/>
    <w:basedOn w:val="984"/>
    <w:next w:val="984"/>
    <w:link w:val="1002"/>
    <w:qFormat/>
    <w:pPr>
      <w:numPr>
        <w:ilvl w:val="0"/>
        <w:numId w:val="15"/>
      </w:numPr>
      <w:jc w:val="both"/>
      <w:keepNext/>
      <w:spacing w:before="120" w:after="60"/>
      <w:outlineLvl w:val="0"/>
    </w:pPr>
    <w:rPr>
      <w:sz w:val="28"/>
      <w:szCs w:val="20"/>
      <w:lang w:eastAsia="en-US"/>
    </w:rPr>
  </w:style>
  <w:style w:type="paragraph" w:styleId="986">
    <w:name w:val="Heading 2"/>
    <w:basedOn w:val="984"/>
    <w:next w:val="984"/>
    <w:link w:val="991"/>
    <w:qFormat/>
    <w:pPr>
      <w:numPr>
        <w:ilvl w:val="1"/>
        <w:numId w:val="8"/>
      </w:numPr>
      <w:keepNext/>
      <w:spacing w:before="120" w:after="120"/>
      <w:outlineLvl w:val="1"/>
    </w:pPr>
    <w:rPr>
      <w:sz w:val="28"/>
      <w:szCs w:val="20"/>
    </w:rPr>
  </w:style>
  <w:style w:type="paragraph" w:styleId="987">
    <w:name w:val="Heading 3"/>
    <w:basedOn w:val="984"/>
    <w:next w:val="984"/>
    <w:link w:val="1005"/>
    <w:qFormat/>
    <w:pPr>
      <w:numPr>
        <w:ilvl w:val="2"/>
        <w:numId w:val="8"/>
      </w:numPr>
      <w:keepNext/>
      <w:spacing w:before="120" w:after="60"/>
      <w:outlineLvl w:val="2"/>
    </w:pPr>
    <w:rPr>
      <w:sz w:val="28"/>
      <w:szCs w:val="20"/>
    </w:rPr>
  </w:style>
  <w:style w:type="character" w:styleId="988" w:default="1">
    <w:name w:val="Default Paragraph Font"/>
    <w:uiPriority w:val="1"/>
    <w:semiHidden/>
    <w:unhideWhenUsed/>
  </w:style>
  <w:style w:type="table" w:styleId="9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0" w:default="1">
    <w:name w:val="No List"/>
    <w:uiPriority w:val="99"/>
    <w:semiHidden/>
    <w:unhideWhenUsed/>
  </w:style>
  <w:style w:type="character" w:styleId="991" w:customStyle="1">
    <w:name w:val="Заголовок 2 Знак"/>
    <w:link w:val="986"/>
    <w:rPr>
      <w:rFonts w:ascii="Times New Roman" w:hAnsi="Times New Roman" w:eastAsia="Times New Roman"/>
      <w:sz w:val="28"/>
    </w:rPr>
  </w:style>
  <w:style w:type="paragraph" w:styleId="992">
    <w:name w:val="Balloon Text"/>
    <w:basedOn w:val="984"/>
    <w:link w:val="993"/>
    <w:uiPriority w:val="99"/>
    <w:semiHidden/>
    <w:rPr>
      <w:rFonts w:ascii="Tahoma" w:hAnsi="Tahoma" w:cs="Tahoma"/>
      <w:sz w:val="16"/>
      <w:szCs w:val="16"/>
    </w:rPr>
  </w:style>
  <w:style w:type="character" w:styleId="993" w:customStyle="1">
    <w:name w:val="Текст выноски Знак"/>
    <w:link w:val="99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994" w:customStyle="1">
    <w:name w:val="Абзац списка1"/>
    <w:basedOn w:val="984"/>
    <w:uiPriority w:val="99"/>
    <w:qFormat/>
    <w:pPr>
      <w:ind w:left="720"/>
    </w:pPr>
  </w:style>
  <w:style w:type="character" w:styleId="995">
    <w:name w:val="Hyperlink"/>
    <w:uiPriority w:val="99"/>
    <w:rPr>
      <w:color w:val="0000ff"/>
      <w:u w:val="single"/>
    </w:rPr>
  </w:style>
  <w:style w:type="paragraph" w:styleId="996">
    <w:name w:val="Header"/>
    <w:basedOn w:val="984"/>
    <w:link w:val="997"/>
    <w:uiPriority w:val="99"/>
    <w:pPr>
      <w:tabs>
        <w:tab w:val="center" w:pos="4677" w:leader="none"/>
        <w:tab w:val="right" w:pos="9355" w:leader="none"/>
      </w:tabs>
    </w:pPr>
  </w:style>
  <w:style w:type="character" w:styleId="997" w:customStyle="1">
    <w:name w:val="Верхний колонтитул Знак"/>
    <w:link w:val="996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98">
    <w:name w:val="Footer"/>
    <w:basedOn w:val="984"/>
    <w:link w:val="999"/>
    <w:uiPriority w:val="99"/>
    <w:pPr>
      <w:tabs>
        <w:tab w:val="center" w:pos="4677" w:leader="none"/>
        <w:tab w:val="right" w:pos="9355" w:leader="none"/>
      </w:tabs>
    </w:pPr>
  </w:style>
  <w:style w:type="character" w:styleId="999" w:customStyle="1">
    <w:name w:val="Нижний колонтитул Знак"/>
    <w:link w:val="998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1000">
    <w:name w:val="page number"/>
    <w:basedOn w:val="988"/>
  </w:style>
  <w:style w:type="table" w:styleId="1001">
    <w:name w:val="Table Grid"/>
    <w:basedOn w:val="98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02" w:customStyle="1">
    <w:name w:val="Заголовок 1 Знак"/>
    <w:basedOn w:val="988"/>
    <w:link w:val="985"/>
    <w:rPr>
      <w:rFonts w:ascii="Times New Roman" w:hAnsi="Times New Roman" w:eastAsia="Times New Roman"/>
      <w:sz w:val="28"/>
      <w:lang w:eastAsia="en-US"/>
    </w:rPr>
  </w:style>
  <w:style w:type="paragraph" w:styleId="1003">
    <w:name w:val="toc 1"/>
    <w:basedOn w:val="984"/>
    <w:next w:val="984"/>
    <w:uiPriority w:val="39"/>
    <w:pPr>
      <w:spacing w:after="100"/>
      <w:tabs>
        <w:tab w:val="left" w:pos="480" w:leader="none"/>
        <w:tab w:val="right" w:pos="9345" w:leader="dot"/>
      </w:tabs>
    </w:pPr>
    <w:rPr>
      <w:rFonts w:eastAsiaTheme="minorEastAsia"/>
      <w:sz w:val="28"/>
      <w:szCs w:val="28"/>
    </w:rPr>
  </w:style>
  <w:style w:type="paragraph" w:styleId="1004">
    <w:name w:val="toc 2"/>
    <w:basedOn w:val="984"/>
    <w:next w:val="984"/>
    <w:uiPriority w:val="39"/>
    <w:pPr>
      <w:ind w:left="240"/>
      <w:spacing w:after="100"/>
    </w:pPr>
    <w:rPr>
      <w:sz w:val="28"/>
    </w:rPr>
  </w:style>
  <w:style w:type="character" w:styleId="1005" w:customStyle="1">
    <w:name w:val="Заголовок 3 Знак"/>
    <w:basedOn w:val="988"/>
    <w:link w:val="987"/>
    <w:rPr>
      <w:rFonts w:ascii="Times New Roman" w:hAnsi="Times New Roman" w:eastAsia="Times New Roman"/>
      <w:sz w:val="28"/>
    </w:rPr>
  </w:style>
  <w:style w:type="paragraph" w:styleId="1006">
    <w:name w:val="toc 3"/>
    <w:basedOn w:val="984"/>
    <w:next w:val="984"/>
    <w:uiPriority w:val="39"/>
    <w:pPr>
      <w:ind w:left="480"/>
      <w:spacing w:after="100"/>
    </w:pPr>
    <w:rPr>
      <w:sz w:val="28"/>
    </w:rPr>
  </w:style>
  <w:style w:type="paragraph" w:styleId="1007">
    <w:name w:val="TOC Heading"/>
    <w:basedOn w:val="985"/>
    <w:next w:val="984"/>
    <w:uiPriority w:val="39"/>
    <w:unhideWhenUsed/>
    <w:qFormat/>
    <w:pPr>
      <w:numPr>
        <w:ilvl w:val="0"/>
        <w:numId w:val="0"/>
      </w:numPr>
      <w:jc w:val="left"/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/>
      <w:bCs/>
      <w:color w:val="365f91" w:themeColor="accent1" w:themeShade="BF"/>
      <w:szCs w:val="28"/>
    </w:rPr>
  </w:style>
  <w:style w:type="paragraph" w:styleId="1008">
    <w:name w:val="List Paragraph"/>
    <w:basedOn w:val="984"/>
    <w:uiPriority w:val="34"/>
    <w:qFormat/>
    <w:pPr>
      <w:contextualSpacing/>
      <w:ind w:left="720"/>
    </w:pPr>
  </w:style>
  <w:style w:type="paragraph" w:styleId="1009" w:customStyle="1">
    <w:name w:val="Пункт"/>
    <w:basedOn w:val="984"/>
    <w:pPr>
      <w:ind w:left="1134" w:hanging="1134"/>
      <w:jc w:val="both"/>
      <w:spacing w:line="360" w:lineRule="auto"/>
      <w:tabs>
        <w:tab w:val="num" w:pos="1134" w:leader="none"/>
      </w:tabs>
    </w:pPr>
    <w:rPr>
      <w:sz w:val="28"/>
      <w:szCs w:val="20"/>
    </w:rPr>
  </w:style>
  <w:style w:type="paragraph" w:styleId="1010" w:customStyle="1">
    <w:name w:val="ENDLIST"/>
    <w:basedOn w:val="984"/>
    <w:pPr>
      <w:jc w:val="center"/>
      <w:keepLines/>
      <w:spacing w:before="240" w:after="240" w:line="288" w:lineRule="auto"/>
      <w:widowControl w:val="off"/>
    </w:pPr>
    <w:rPr>
      <w:b/>
      <w:caps/>
      <w:lang w:eastAsia="en-US"/>
    </w:rPr>
  </w:style>
  <w:style w:type="paragraph" w:styleId="1011" w:customStyle="1">
    <w:name w:val="АИС_Обычный текст"/>
    <w:link w:val="1012"/>
    <w:qFormat/>
    <w:pPr>
      <w:jc w:val="both"/>
      <w:spacing w:line="360" w:lineRule="auto"/>
    </w:pPr>
    <w:rPr>
      <w:rFonts w:ascii="Times New Roman" w:hAnsi="Times New Roman" w:eastAsia="Times New Roman"/>
      <w:sz w:val="24"/>
      <w:szCs w:val="28"/>
    </w:rPr>
  </w:style>
  <w:style w:type="character" w:styleId="1012" w:customStyle="1">
    <w:name w:val="АИС_Обычный текст Знак"/>
    <w:link w:val="1011"/>
    <w:rPr>
      <w:rFonts w:ascii="Times New Roman" w:hAnsi="Times New Roman" w:eastAsia="Times New Roman"/>
      <w:sz w:val="24"/>
      <w:szCs w:val="28"/>
    </w:rPr>
  </w:style>
  <w:style w:type="character" w:styleId="1013">
    <w:name w:val="FollowedHyperlink"/>
    <w:basedOn w:val="988"/>
    <w:uiPriority w:val="99"/>
    <w:semiHidden/>
    <w:unhideWhenUsed/>
    <w:rPr>
      <w:color w:val="800080" w:themeColor="followedHyperlink"/>
      <w:u w:val="single"/>
    </w:rPr>
  </w:style>
  <w:style w:type="paragraph" w:styleId="1014">
    <w:name w:val="footnote text"/>
    <w:basedOn w:val="984"/>
    <w:link w:val="1015"/>
    <w:uiPriority w:val="99"/>
    <w:semiHidden/>
    <w:unhideWhenUsed/>
    <w:rPr>
      <w:sz w:val="20"/>
      <w:szCs w:val="20"/>
    </w:rPr>
  </w:style>
  <w:style w:type="character" w:styleId="1015" w:customStyle="1">
    <w:name w:val="Текст сноски Знак"/>
    <w:basedOn w:val="988"/>
    <w:link w:val="1014"/>
    <w:uiPriority w:val="99"/>
    <w:semiHidden/>
    <w:rPr>
      <w:rFonts w:ascii="Times New Roman" w:hAnsi="Times New Roman" w:eastAsia="Times New Roman"/>
    </w:rPr>
  </w:style>
  <w:style w:type="character" w:styleId="1016">
    <w:name w:val="footnote reference"/>
    <w:basedOn w:val="988"/>
    <w:uiPriority w:val="99"/>
    <w:semiHidden/>
    <w:unhideWhenUsed/>
    <w:rPr>
      <w:vertAlign w:val="superscript"/>
    </w:rPr>
  </w:style>
  <w:style w:type="paragraph" w:styleId="1017">
    <w:name w:val="Body Text"/>
    <w:basedOn w:val="984"/>
    <w:link w:val="1018"/>
    <w:uiPriority w:val="1"/>
    <w:qFormat/>
    <w:pPr>
      <w:widowControl w:val="off"/>
    </w:pPr>
    <w:rPr>
      <w:lang w:eastAsia="en-US"/>
    </w:rPr>
  </w:style>
  <w:style w:type="character" w:styleId="1018" w:customStyle="1">
    <w:name w:val="Основной текст Знак"/>
    <w:basedOn w:val="988"/>
    <w:link w:val="1017"/>
    <w:uiPriority w:val="1"/>
    <w:rPr>
      <w:rFonts w:ascii="Times New Roman" w:hAnsi="Times New Roman" w:eastAsia="Times New Roman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8C202-DF84-4193-B304-141E28CF2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spb01686</cp:lastModifiedBy>
  <cp:revision>12</cp:revision>
  <dcterms:created xsi:type="dcterms:W3CDTF">2024-05-22T13:09:00Z</dcterms:created>
  <dcterms:modified xsi:type="dcterms:W3CDTF">2026-08-18T10:46:11Z</dcterms:modified>
</cp:coreProperties>
</file>