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footer7.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styles.xml" ContentType="application/vnd.openxmlformats-officedocument.wordprocessingml.styles+xml"/>
  <Override PartName="/word/header6.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header9.xml" ContentType="application/vnd.openxmlformats-officedocument.wordprocessingml.header+xml"/>
  <Override PartName="/word/footer8.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footer9.xml" ContentType="application/vnd.openxmlformats-officedocument.wordprocessingml.footer+xml"/>
  <Override PartName="/word/header2.xml" ContentType="application/vnd.openxmlformats-officedocument.wordprocessingml.header+xml"/>
  <Override PartName="/word/header8.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5.xml" ContentType="application/vnd.openxmlformats-officedocument.wordprocessingml.header+xml"/>
  <Override PartName="/customXml/_rels/item1.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itemProps3.xml" ContentType="application/vnd.openxmlformats-officedocument.customXmlProperties+xml"/>
  <Override PartName="/customXml/item3.xml" ContentType="application/xml"/>
  <Override PartName="/customXml/item4.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1.xml" ContentType="application/xml"/>
  <Override PartName="/customXml/item2.xml" ContentType="application/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numPr>
          <w:ilvl w:val="0"/>
          <w:numId w:val="0"/>
        </w:numPr>
        <w:spacing w:before="0" w:after="0"/>
        <w:ind w:left="0" w:hanging="0"/>
        <w:contextualSpacing/>
        <w:jc w:val="center"/>
        <w:outlineLvl w:val="0"/>
        <w:rPr>
          <w:b/>
          <w:sz w:val="24"/>
          <w:szCs w:val="24"/>
        </w:rPr>
      </w:pPr>
      <w:r>
        <w:rPr>
          <w:b/>
          <w:sz w:val="24"/>
          <w:szCs w:val="24"/>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keepNext w:val="true"/>
        <w:numPr>
          <w:ilvl w:val="0"/>
          <w:numId w:val="0"/>
        </w:numPr>
        <w:spacing w:before="0" w:after="0"/>
        <w:ind w:left="0" w:hanging="0"/>
        <w:contextualSpacing/>
        <w:jc w:val="center"/>
        <w:outlineLvl w:val="0"/>
        <w:rPr>
          <w:b/>
          <w:sz w:val="24"/>
          <w:szCs w:val="24"/>
        </w:rPr>
      </w:pPr>
      <w:r>
        <w:rPr>
          <w:b/>
          <w:sz w:val="24"/>
          <w:szCs w:val="24"/>
        </w:rPr>
      </w:r>
    </w:p>
    <w:p>
      <w:pPr>
        <w:pStyle w:val="Normal"/>
        <w:keepNext w:val="true"/>
        <w:numPr>
          <w:ilvl w:val="0"/>
          <w:numId w:val="0"/>
        </w:numPr>
        <w:spacing w:before="0" w:after="0"/>
        <w:ind w:left="0" w:hanging="0"/>
        <w:contextualSpacing/>
        <w:jc w:val="center"/>
        <w:outlineLvl w:val="0"/>
        <w:rPr>
          <w:b/>
          <w:sz w:val="24"/>
          <w:szCs w:val="24"/>
        </w:rPr>
      </w:pPr>
      <w:r>
        <w:rPr>
          <w:b/>
          <w:sz w:val="24"/>
          <w:szCs w:val="24"/>
        </w:rPr>
      </w:r>
    </w:p>
    <w:p>
      <w:pPr>
        <w:pStyle w:val="Normal"/>
        <w:keepNext w:val="true"/>
        <w:numPr>
          <w:ilvl w:val="0"/>
          <w:numId w:val="0"/>
        </w:numPr>
        <w:spacing w:before="0" w:after="0"/>
        <w:ind w:left="0" w:hanging="0"/>
        <w:contextualSpacing/>
        <w:jc w:val="center"/>
        <w:outlineLvl w:val="0"/>
        <w:rPr>
          <w:b/>
          <w:sz w:val="24"/>
          <w:szCs w:val="24"/>
        </w:rPr>
      </w:pPr>
      <w:r>
        <w:rPr>
          <w:b/>
          <w:sz w:val="24"/>
          <w:szCs w:val="24"/>
        </w:rPr>
      </w:r>
    </w:p>
    <w:p>
      <w:pPr>
        <w:pStyle w:val="Normal"/>
        <w:keepNext w:val="true"/>
        <w:numPr>
          <w:ilvl w:val="0"/>
          <w:numId w:val="0"/>
        </w:numPr>
        <w:spacing w:before="0" w:after="0"/>
        <w:ind w:left="0" w:hanging="0"/>
        <w:contextualSpacing/>
        <w:jc w:val="center"/>
        <w:outlineLvl w:val="0"/>
        <w:rPr>
          <w:b/>
          <w:sz w:val="24"/>
          <w:szCs w:val="24"/>
        </w:rPr>
      </w:pPr>
      <w:r>
        <w:rPr>
          <w:b/>
          <w:sz w:val="24"/>
          <w:szCs w:val="24"/>
        </w:rPr>
      </w:r>
    </w:p>
    <w:p>
      <w:pPr>
        <w:pStyle w:val="Normal"/>
        <w:keepNext w:val="true"/>
        <w:numPr>
          <w:ilvl w:val="0"/>
          <w:numId w:val="0"/>
        </w:numPr>
        <w:spacing w:before="0" w:after="0"/>
        <w:ind w:left="0" w:hanging="0"/>
        <w:contextualSpacing/>
        <w:jc w:val="center"/>
        <w:outlineLvl w:val="0"/>
        <w:rPr>
          <w:b/>
          <w:sz w:val="24"/>
          <w:szCs w:val="24"/>
        </w:rPr>
      </w:pPr>
      <w:r>
        <w:rPr>
          <w:b/>
          <w:sz w:val="24"/>
          <w:szCs w:val="24"/>
        </w:rPr>
      </w:r>
    </w:p>
    <w:p>
      <w:pPr>
        <w:pStyle w:val="Normal"/>
        <w:keepNext w:val="true"/>
        <w:numPr>
          <w:ilvl w:val="0"/>
          <w:numId w:val="0"/>
        </w:numPr>
        <w:spacing w:before="0" w:after="0"/>
        <w:ind w:left="0" w:hanging="0"/>
        <w:contextualSpacing/>
        <w:jc w:val="center"/>
        <w:outlineLvl w:val="0"/>
        <w:rPr>
          <w:b/>
          <w:sz w:val="24"/>
          <w:szCs w:val="24"/>
        </w:rPr>
      </w:pPr>
      <w:r>
        <w:rPr>
          <w:b/>
          <w:sz w:val="24"/>
          <w:szCs w:val="24"/>
        </w:rPr>
      </w:r>
    </w:p>
    <w:p>
      <w:pPr>
        <w:pStyle w:val="Normal"/>
        <w:keepNext w:val="true"/>
        <w:numPr>
          <w:ilvl w:val="0"/>
          <w:numId w:val="0"/>
        </w:numPr>
        <w:spacing w:before="0" w:after="0"/>
        <w:ind w:left="0" w:hanging="0"/>
        <w:contextualSpacing/>
        <w:jc w:val="center"/>
        <w:outlineLvl w:val="0"/>
        <w:rPr>
          <w:b/>
          <w:sz w:val="24"/>
          <w:szCs w:val="24"/>
        </w:rPr>
      </w:pPr>
      <w:r>
        <w:rPr>
          <w:b/>
          <w:sz w:val="24"/>
          <w:szCs w:val="24"/>
        </w:rPr>
      </w:r>
    </w:p>
    <w:p>
      <w:pPr>
        <w:pStyle w:val="Normal"/>
        <w:keepNext w:val="true"/>
        <w:numPr>
          <w:ilvl w:val="0"/>
          <w:numId w:val="0"/>
        </w:numPr>
        <w:spacing w:before="0" w:after="0"/>
        <w:ind w:left="0" w:hanging="0"/>
        <w:contextualSpacing/>
        <w:jc w:val="center"/>
        <w:outlineLvl w:val="0"/>
        <w:rPr>
          <w:b/>
          <w:sz w:val="24"/>
          <w:szCs w:val="24"/>
        </w:rPr>
      </w:pPr>
      <w:r>
        <w:rPr>
          <w:b/>
          <w:sz w:val="24"/>
          <w:szCs w:val="24"/>
        </w:rPr>
      </w:r>
    </w:p>
    <w:p>
      <w:pPr>
        <w:pStyle w:val="Normal"/>
        <w:keepNext w:val="true"/>
        <w:numPr>
          <w:ilvl w:val="0"/>
          <w:numId w:val="0"/>
        </w:numPr>
        <w:spacing w:before="0" w:after="0"/>
        <w:ind w:left="0" w:hanging="0"/>
        <w:contextualSpacing/>
        <w:jc w:val="center"/>
        <w:outlineLvl w:val="0"/>
        <w:rPr>
          <w:b/>
          <w:sz w:val="24"/>
          <w:szCs w:val="24"/>
        </w:rPr>
      </w:pPr>
      <w:r>
        <w:rPr>
          <w:b/>
          <w:sz w:val="24"/>
          <w:szCs w:val="24"/>
        </w:rPr>
      </w:r>
    </w:p>
    <w:p>
      <w:pPr>
        <w:pStyle w:val="Normal"/>
        <w:keepNext w:val="true"/>
        <w:numPr>
          <w:ilvl w:val="0"/>
          <w:numId w:val="0"/>
        </w:numPr>
        <w:spacing w:before="0" w:after="0"/>
        <w:ind w:left="0" w:hanging="0"/>
        <w:contextualSpacing/>
        <w:jc w:val="center"/>
        <w:outlineLvl w:val="0"/>
        <w:rPr>
          <w:b/>
          <w:sz w:val="24"/>
          <w:szCs w:val="24"/>
        </w:rPr>
      </w:pPr>
      <w:r>
        <w:rPr>
          <w:b/>
          <w:sz w:val="24"/>
          <w:szCs w:val="24"/>
        </w:rPr>
      </w:r>
    </w:p>
    <w:p>
      <w:pPr>
        <w:pStyle w:val="Normal"/>
        <w:jc w:val="center"/>
        <w:rPr>
          <w:b/>
          <w:sz w:val="28"/>
          <w:szCs w:val="28"/>
        </w:rPr>
      </w:pPr>
      <w:r>
        <w:rPr>
          <w:b/>
          <w:sz w:val="28"/>
          <w:szCs w:val="28"/>
        </w:rPr>
        <w:t xml:space="preserve">Технические требования </w:t>
      </w:r>
    </w:p>
    <w:p>
      <w:pPr>
        <w:pStyle w:val="Normal"/>
        <w:jc w:val="center"/>
        <w:rPr>
          <w:sz w:val="28"/>
          <w:szCs w:val="28"/>
        </w:rPr>
      </w:pPr>
      <w:bookmarkStart w:id="0" w:name="_Toc18488276"/>
      <w:bookmarkStart w:id="1" w:name="_Toc18488142"/>
      <w:r>
        <w:rPr>
          <w:sz w:val="28"/>
          <w:szCs w:val="28"/>
        </w:rPr>
        <w:t>«</w:t>
      </w:r>
      <w:bookmarkEnd w:id="0"/>
      <w:bookmarkEnd w:id="1"/>
      <w:r>
        <w:rPr>
          <w:sz w:val="28"/>
          <w:szCs w:val="28"/>
        </w:rPr>
        <w:t>ОКПД 2 29.20.21.190 Поставка контейнеров сухогрузных 20 футов (144 шт.), контейнеров сухогрузных 40 футов (9 шт.),</w:t>
      </w:r>
    </w:p>
    <w:p>
      <w:pPr>
        <w:pStyle w:val="Normal"/>
        <w:jc w:val="center"/>
        <w:rPr>
          <w:sz w:val="28"/>
          <w:szCs w:val="28"/>
        </w:rPr>
      </w:pPr>
      <w:r>
        <w:rPr>
          <w:sz w:val="28"/>
          <w:szCs w:val="28"/>
        </w:rPr>
        <w:t>для нужд Филиала ПАО «РусГидро» - «Чебоксарская ГЭС»</w:t>
      </w:r>
    </w:p>
    <w:p>
      <w:pPr>
        <w:pStyle w:val="Heading1"/>
        <w:keepLines/>
        <w:widowControl/>
        <w:tabs>
          <w:tab w:val="clear" w:pos="708"/>
          <w:tab w:val="left" w:pos="1134"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Heading1"/>
        <w:keepLines/>
        <w:widowControl/>
        <w:tabs>
          <w:tab w:val="clear" w:pos="708"/>
          <w:tab w:val="left" w:pos="1134" w:leader="none"/>
        </w:tabs>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contextualSpacing/>
        <w:jc w:val="center"/>
        <w:rPr>
          <w:b/>
          <w:bCs/>
          <w:sz w:val="28"/>
          <w:szCs w:val="28"/>
        </w:rPr>
      </w:pPr>
      <w:r>
        <w:rPr>
          <w:b/>
          <w:bCs/>
          <w:sz w:val="28"/>
          <w:szCs w:val="28"/>
        </w:rPr>
      </w:r>
    </w:p>
    <w:p>
      <w:pPr>
        <w:pStyle w:val="Normal"/>
        <w:spacing w:before="0" w:after="0"/>
        <w:contextualSpacing/>
        <w:jc w:val="center"/>
        <w:rPr>
          <w:b/>
          <w:bCs/>
          <w:sz w:val="28"/>
          <w:szCs w:val="28"/>
        </w:rPr>
      </w:pPr>
      <w:r>
        <w:rPr>
          <w:b/>
          <w:bCs/>
          <w:sz w:val="28"/>
          <w:szCs w:val="28"/>
        </w:rPr>
      </w:r>
    </w:p>
    <w:p>
      <w:pPr>
        <w:pStyle w:val="Normal"/>
        <w:spacing w:before="0" w:after="0"/>
        <w:contextualSpacing/>
        <w:jc w:val="center"/>
        <w:rPr>
          <w:b/>
          <w:bCs/>
          <w:sz w:val="28"/>
          <w:szCs w:val="28"/>
        </w:rPr>
      </w:pPr>
      <w:r>
        <w:rPr>
          <w:b/>
          <w:bCs/>
          <w:sz w:val="28"/>
          <w:szCs w:val="28"/>
        </w:rPr>
      </w:r>
    </w:p>
    <w:p>
      <w:pPr>
        <w:pStyle w:val="Normal"/>
        <w:spacing w:before="0" w:after="0"/>
        <w:contextualSpacing/>
        <w:jc w:val="center"/>
        <w:rPr>
          <w:b/>
          <w:bCs/>
          <w:sz w:val="28"/>
          <w:szCs w:val="28"/>
        </w:rPr>
      </w:pPr>
      <w:r>
        <w:rPr>
          <w:b/>
          <w:bCs/>
          <w:sz w:val="28"/>
          <w:szCs w:val="28"/>
        </w:rPr>
      </w:r>
    </w:p>
    <w:p>
      <w:pPr>
        <w:pStyle w:val="Normal"/>
        <w:spacing w:before="0" w:after="0"/>
        <w:contextualSpacing/>
        <w:jc w:val="center"/>
        <w:rPr>
          <w:b/>
          <w:bCs/>
          <w:sz w:val="28"/>
          <w:szCs w:val="28"/>
        </w:rPr>
      </w:pPr>
      <w:r>
        <w:rPr>
          <w:b/>
          <w:bCs/>
          <w:sz w:val="28"/>
          <w:szCs w:val="28"/>
        </w:rPr>
      </w:r>
    </w:p>
    <w:p>
      <w:pPr>
        <w:pStyle w:val="Normal"/>
        <w:spacing w:before="0" w:after="0"/>
        <w:contextualSpacing/>
        <w:jc w:val="center"/>
        <w:rPr>
          <w:b/>
          <w:bCs/>
          <w:sz w:val="28"/>
          <w:szCs w:val="28"/>
        </w:rPr>
      </w:pPr>
      <w:r>
        <w:rPr>
          <w:b/>
          <w:bCs/>
          <w:sz w:val="28"/>
          <w:szCs w:val="28"/>
        </w:rPr>
      </w:r>
    </w:p>
    <w:p>
      <w:pPr>
        <w:pStyle w:val="Normal"/>
        <w:spacing w:before="0" w:after="0"/>
        <w:contextualSpacing/>
        <w:jc w:val="center"/>
        <w:rPr>
          <w:b/>
          <w:bCs/>
          <w:sz w:val="28"/>
          <w:szCs w:val="28"/>
        </w:rPr>
      </w:pPr>
      <w:r>
        <w:rPr>
          <w:b/>
          <w:bCs/>
          <w:sz w:val="28"/>
          <w:szCs w:val="28"/>
        </w:rPr>
      </w:r>
    </w:p>
    <w:p>
      <w:pPr>
        <w:pStyle w:val="Normal"/>
        <w:spacing w:before="0" w:after="0"/>
        <w:contextualSpacing/>
        <w:jc w:val="center"/>
        <w:rPr>
          <w:b/>
          <w:bCs/>
          <w:sz w:val="28"/>
          <w:szCs w:val="28"/>
        </w:rPr>
      </w:pPr>
      <w:r>
        <w:rPr>
          <w:b/>
          <w:bCs/>
          <w:sz w:val="28"/>
          <w:szCs w:val="28"/>
        </w:rPr>
      </w:r>
    </w:p>
    <w:p>
      <w:pPr>
        <w:pStyle w:val="Normal"/>
        <w:spacing w:before="0" w:after="0"/>
        <w:contextualSpacing/>
        <w:jc w:val="center"/>
        <w:rPr>
          <w:b/>
          <w:bCs/>
          <w:sz w:val="28"/>
          <w:szCs w:val="28"/>
        </w:rPr>
      </w:pPr>
      <w:r>
        <w:rPr>
          <w:b/>
          <w:bCs/>
          <w:sz w:val="28"/>
          <w:szCs w:val="28"/>
        </w:rPr>
      </w:r>
    </w:p>
    <w:p>
      <w:pPr>
        <w:pStyle w:val="Normal"/>
        <w:spacing w:before="0" w:after="0"/>
        <w:contextualSpacing/>
        <w:jc w:val="center"/>
        <w:rPr>
          <w:b/>
          <w:bCs/>
          <w:sz w:val="28"/>
          <w:szCs w:val="28"/>
        </w:rPr>
      </w:pPr>
      <w:r>
        <w:rPr>
          <w:b/>
          <w:bCs/>
          <w:sz w:val="28"/>
          <w:szCs w:val="28"/>
        </w:rPr>
      </w:r>
    </w:p>
    <w:p>
      <w:pPr>
        <w:pStyle w:val="Normal"/>
        <w:spacing w:before="0" w:after="0"/>
        <w:contextualSpacing/>
        <w:jc w:val="center"/>
        <w:rPr>
          <w:b/>
          <w:bCs/>
          <w:sz w:val="28"/>
          <w:szCs w:val="28"/>
        </w:rPr>
      </w:pPr>
      <w:r>
        <w:rPr>
          <w:b/>
          <w:bCs/>
          <w:sz w:val="28"/>
          <w:szCs w:val="28"/>
        </w:rPr>
      </w:r>
    </w:p>
    <w:p>
      <w:pPr>
        <w:pStyle w:val="Normal"/>
        <w:spacing w:before="0" w:after="0"/>
        <w:contextualSpacing/>
        <w:jc w:val="center"/>
        <w:rPr>
          <w:b/>
          <w:bCs/>
          <w:sz w:val="28"/>
          <w:szCs w:val="28"/>
        </w:rPr>
      </w:pPr>
      <w:r>
        <w:rPr>
          <w:b/>
          <w:bCs/>
          <w:sz w:val="28"/>
          <w:szCs w:val="28"/>
        </w:rPr>
      </w:r>
    </w:p>
    <w:p>
      <w:pPr>
        <w:pStyle w:val="Normal"/>
        <w:spacing w:before="0" w:after="0"/>
        <w:contextualSpacing/>
        <w:jc w:val="center"/>
        <w:rPr>
          <w:b/>
          <w:bCs/>
          <w:sz w:val="28"/>
          <w:szCs w:val="28"/>
        </w:rPr>
      </w:pPr>
      <w:r>
        <w:rPr>
          <w:b/>
          <w:bCs/>
          <w:sz w:val="28"/>
          <w:szCs w:val="28"/>
        </w:rPr>
      </w:r>
    </w:p>
    <w:p>
      <w:pPr>
        <w:pStyle w:val="Normal"/>
        <w:spacing w:before="0" w:after="0"/>
        <w:contextualSpacing/>
        <w:jc w:val="center"/>
        <w:rPr>
          <w:b/>
          <w:bCs/>
          <w:sz w:val="28"/>
          <w:szCs w:val="28"/>
        </w:rPr>
      </w:pPr>
      <w:r>
        <w:rPr>
          <w:b/>
          <w:bCs/>
          <w:sz w:val="28"/>
          <w:szCs w:val="28"/>
        </w:rPr>
      </w:r>
    </w:p>
    <w:p>
      <w:pPr>
        <w:pStyle w:val="Normal"/>
        <w:spacing w:before="0" w:after="0"/>
        <w:contextualSpacing/>
        <w:jc w:val="center"/>
        <w:rPr>
          <w:b/>
          <w:bCs/>
          <w:sz w:val="28"/>
          <w:szCs w:val="28"/>
        </w:rPr>
      </w:pPr>
      <w:r>
        <w:rPr>
          <w:b/>
          <w:bCs/>
          <w:sz w:val="28"/>
          <w:szCs w:val="28"/>
        </w:rPr>
      </w:r>
    </w:p>
    <w:p>
      <w:pPr>
        <w:pStyle w:val="Normal"/>
        <w:spacing w:before="0" w:after="0"/>
        <w:contextualSpacing/>
        <w:jc w:val="center"/>
        <w:rPr>
          <w:b/>
          <w:bCs/>
          <w:sz w:val="28"/>
          <w:szCs w:val="28"/>
        </w:rPr>
      </w:pPr>
      <w:r>
        <w:rPr>
          <w:b/>
          <w:bCs/>
          <w:sz w:val="28"/>
          <w:szCs w:val="28"/>
        </w:rPr>
      </w:r>
    </w:p>
    <w:p>
      <w:pPr>
        <w:pStyle w:val="Normal"/>
        <w:spacing w:before="0" w:after="0"/>
        <w:contextualSpacing/>
        <w:jc w:val="center"/>
        <w:rPr>
          <w:b/>
          <w:bCs/>
          <w:sz w:val="28"/>
          <w:szCs w:val="28"/>
        </w:rPr>
      </w:pPr>
      <w:r>
        <w:rPr>
          <w:b/>
          <w:bCs/>
          <w:sz w:val="28"/>
          <w:szCs w:val="28"/>
        </w:rPr>
      </w:r>
    </w:p>
    <w:p>
      <w:pPr>
        <w:pStyle w:val="Normal"/>
        <w:spacing w:before="0" w:after="0"/>
        <w:contextualSpacing/>
        <w:jc w:val="center"/>
        <w:rPr>
          <w:b/>
          <w:bCs/>
          <w:sz w:val="28"/>
          <w:szCs w:val="28"/>
        </w:rPr>
      </w:pPr>
      <w:r>
        <w:rPr>
          <w:b/>
          <w:bCs/>
          <w:sz w:val="28"/>
          <w:szCs w:val="28"/>
        </w:rPr>
      </w:r>
    </w:p>
    <w:p>
      <w:pPr>
        <w:pStyle w:val="Normal"/>
        <w:spacing w:before="0" w:after="0"/>
        <w:contextualSpacing/>
        <w:jc w:val="center"/>
        <w:rPr>
          <w:b/>
          <w:bCs/>
          <w:sz w:val="28"/>
          <w:szCs w:val="28"/>
        </w:rPr>
      </w:pPr>
      <w:r>
        <w:rPr>
          <w:b/>
          <w:bCs/>
          <w:sz w:val="28"/>
          <w:szCs w:val="28"/>
        </w:rPr>
      </w:r>
    </w:p>
    <w:p>
      <w:pPr>
        <w:pStyle w:val="Normal"/>
        <w:widowControl/>
        <w:rPr>
          <w:b/>
          <w:bCs/>
          <w:sz w:val="28"/>
          <w:szCs w:val="28"/>
        </w:rPr>
      </w:pPr>
      <w:r>
        <w:rPr>
          <w:b/>
          <w:bCs/>
          <w:sz w:val="28"/>
          <w:szCs w:val="28"/>
        </w:rPr>
      </w:r>
      <w:r>
        <w:br w:type="page"/>
      </w:r>
    </w:p>
    <w:p>
      <w:pPr>
        <w:pStyle w:val="Normal"/>
        <w:spacing w:before="0" w:after="0"/>
        <w:contextualSpacing/>
        <w:jc w:val="center"/>
        <w:rPr>
          <w:b/>
          <w:bCs/>
          <w:sz w:val="28"/>
          <w:szCs w:val="28"/>
        </w:rPr>
      </w:pPr>
      <w:r>
        <w:rPr>
          <w:b/>
          <w:bCs/>
          <w:sz w:val="28"/>
          <w:szCs w:val="28"/>
        </w:rPr>
        <w:t>СОДЕРЖАНИЕ</w:t>
      </w:r>
    </w:p>
    <w:p>
      <w:pPr>
        <w:pStyle w:val="Normal"/>
        <w:spacing w:before="0" w:after="0"/>
        <w:contextualSpacing/>
        <w:jc w:val="center"/>
        <w:rPr>
          <w:b/>
          <w:bCs/>
          <w:sz w:val="28"/>
          <w:szCs w:val="28"/>
        </w:rPr>
      </w:pPr>
      <w:r>
        <w:rPr>
          <w:b/>
          <w:bCs/>
          <w:sz w:val="28"/>
          <w:szCs w:val="28"/>
        </w:rPr>
      </w:r>
    </w:p>
    <w:tbl>
      <w:tblPr>
        <w:tblW w:w="9854"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72"/>
        <w:gridCol w:w="804"/>
        <w:gridCol w:w="8121"/>
        <w:gridCol w:w="456"/>
      </w:tblGrid>
      <w:tr>
        <w:trPr/>
        <w:tc>
          <w:tcPr>
            <w:tcW w:w="472" w:type="dxa"/>
            <w:tcBorders/>
            <w:shd w:color="auto" w:fill="auto" w:val="clear"/>
          </w:tcPr>
          <w:p>
            <w:pPr>
              <w:pStyle w:val="Normal"/>
              <w:widowControl w:val="false"/>
              <w:rPr>
                <w:b/>
                <w:sz w:val="24"/>
                <w:szCs w:val="24"/>
              </w:rPr>
            </w:pPr>
            <w:r>
              <w:rPr>
                <w:b/>
                <w:sz w:val="24"/>
                <w:szCs w:val="24"/>
              </w:rPr>
              <w:t>1.</w:t>
            </w:r>
          </w:p>
        </w:tc>
        <w:tc>
          <w:tcPr>
            <w:tcW w:w="8925" w:type="dxa"/>
            <w:gridSpan w:val="2"/>
            <w:tcBorders/>
          </w:tcPr>
          <w:p>
            <w:pPr>
              <w:pStyle w:val="Normal"/>
              <w:widowControl w:val="false"/>
              <w:rPr>
                <w:b/>
                <w:sz w:val="24"/>
                <w:szCs w:val="24"/>
                <w:lang w:val="en-US"/>
              </w:rPr>
            </w:pPr>
            <w:r>
              <w:rPr>
                <w:b/>
                <w:sz w:val="24"/>
                <w:szCs w:val="24"/>
              </w:rPr>
              <w:t xml:space="preserve">Общие сведения </w:t>
            </w:r>
            <w:r>
              <w:rPr>
                <w:sz w:val="24"/>
                <w:szCs w:val="24"/>
              </w:rPr>
              <w:t>______________________________________________________</w:t>
            </w:r>
            <w:r>
              <w:rPr>
                <w:sz w:val="24"/>
                <w:szCs w:val="24"/>
                <w:lang w:val="en-US"/>
              </w:rPr>
              <w:t>__</w:t>
            </w:r>
          </w:p>
        </w:tc>
        <w:tc>
          <w:tcPr>
            <w:tcW w:w="456" w:type="dxa"/>
            <w:tcBorders/>
            <w:shd w:color="auto" w:fill="auto" w:val="clear"/>
            <w:vAlign w:val="bottom"/>
          </w:tcPr>
          <w:p>
            <w:pPr>
              <w:pStyle w:val="Normal"/>
              <w:widowControl w:val="false"/>
              <w:rPr>
                <w:sz w:val="24"/>
                <w:szCs w:val="24"/>
                <w:lang w:val="en-US"/>
              </w:rPr>
            </w:pPr>
            <w:r>
              <w:rPr>
                <w:sz w:val="24"/>
                <w:szCs w:val="24"/>
                <w:lang w:val="en-US"/>
              </w:rPr>
              <w:t>3</w:t>
            </w:r>
          </w:p>
        </w:tc>
      </w:tr>
      <w:tr>
        <w:trPr/>
        <w:tc>
          <w:tcPr>
            <w:tcW w:w="472" w:type="dxa"/>
            <w:tcBorders/>
            <w:shd w:color="auto" w:fill="auto" w:val="clear"/>
          </w:tcPr>
          <w:p>
            <w:pPr>
              <w:pStyle w:val="Normal"/>
              <w:widowControl w:val="false"/>
              <w:rPr>
                <w:sz w:val="24"/>
                <w:szCs w:val="24"/>
              </w:rPr>
            </w:pPr>
            <w:r>
              <w:rPr>
                <w:sz w:val="24"/>
                <w:szCs w:val="24"/>
              </w:rPr>
            </w:r>
          </w:p>
        </w:tc>
        <w:tc>
          <w:tcPr>
            <w:tcW w:w="804" w:type="dxa"/>
            <w:tcBorders/>
          </w:tcPr>
          <w:p>
            <w:pPr>
              <w:pStyle w:val="Normal"/>
              <w:widowControl w:val="false"/>
              <w:rPr>
                <w:sz w:val="24"/>
                <w:szCs w:val="24"/>
                <w:lang w:val="en-US"/>
              </w:rPr>
            </w:pPr>
            <w:r>
              <w:rPr>
                <w:sz w:val="24"/>
                <w:szCs w:val="24"/>
                <w:lang w:val="en-US"/>
              </w:rPr>
              <w:t>1.1.</w:t>
            </w:r>
          </w:p>
        </w:tc>
        <w:tc>
          <w:tcPr>
            <w:tcW w:w="8121" w:type="dxa"/>
            <w:tcBorders/>
            <w:shd w:color="auto" w:fill="auto" w:val="clear"/>
          </w:tcPr>
          <w:p>
            <w:pPr>
              <w:pStyle w:val="Normal"/>
              <w:widowControl w:val="false"/>
              <w:rPr>
                <w:sz w:val="24"/>
                <w:szCs w:val="24"/>
              </w:rPr>
            </w:pPr>
            <w:r>
              <w:rPr>
                <w:sz w:val="24"/>
                <w:szCs w:val="24"/>
              </w:rPr>
              <w:t>Обозначения и сокращения __________________</w:t>
            </w:r>
            <w:r>
              <w:rPr>
                <w:sz w:val="24"/>
                <w:szCs w:val="24"/>
                <w:lang w:val="en-US"/>
              </w:rPr>
              <w:t>_________</w:t>
            </w:r>
            <w:r>
              <w:rPr>
                <w:sz w:val="24"/>
                <w:szCs w:val="24"/>
              </w:rPr>
              <w:t>_</w:t>
            </w:r>
            <w:r>
              <w:rPr>
                <w:sz w:val="24"/>
                <w:szCs w:val="24"/>
                <w:lang w:val="en-US"/>
              </w:rPr>
              <w:t>___</w:t>
            </w:r>
            <w:r>
              <w:rPr>
                <w:sz w:val="24"/>
                <w:szCs w:val="24"/>
              </w:rPr>
              <w:t>__________</w:t>
            </w:r>
          </w:p>
        </w:tc>
        <w:tc>
          <w:tcPr>
            <w:tcW w:w="456" w:type="dxa"/>
            <w:tcBorders/>
            <w:shd w:color="auto" w:fill="auto" w:val="clear"/>
            <w:vAlign w:val="bottom"/>
          </w:tcPr>
          <w:p>
            <w:pPr>
              <w:pStyle w:val="Normal"/>
              <w:widowControl w:val="false"/>
              <w:rPr>
                <w:sz w:val="24"/>
                <w:szCs w:val="24"/>
                <w:lang w:val="en-US"/>
              </w:rPr>
            </w:pPr>
            <w:r>
              <w:rPr>
                <w:sz w:val="24"/>
                <w:szCs w:val="24"/>
                <w:lang w:val="en-US"/>
              </w:rPr>
              <w:t>3</w:t>
            </w:r>
          </w:p>
        </w:tc>
      </w:tr>
      <w:tr>
        <w:trPr/>
        <w:tc>
          <w:tcPr>
            <w:tcW w:w="472" w:type="dxa"/>
            <w:tcBorders/>
            <w:shd w:color="auto" w:fill="auto" w:val="clear"/>
          </w:tcPr>
          <w:p>
            <w:pPr>
              <w:pStyle w:val="Normal"/>
              <w:widowControl w:val="false"/>
              <w:rPr>
                <w:sz w:val="24"/>
                <w:szCs w:val="24"/>
              </w:rPr>
            </w:pPr>
            <w:r>
              <w:rPr>
                <w:sz w:val="24"/>
                <w:szCs w:val="24"/>
              </w:rPr>
            </w:r>
          </w:p>
        </w:tc>
        <w:tc>
          <w:tcPr>
            <w:tcW w:w="804" w:type="dxa"/>
            <w:tcBorders/>
          </w:tcPr>
          <w:p>
            <w:pPr>
              <w:pStyle w:val="Normal"/>
              <w:widowControl w:val="false"/>
              <w:rPr>
                <w:sz w:val="24"/>
                <w:szCs w:val="24"/>
                <w:lang w:val="en-US"/>
              </w:rPr>
            </w:pPr>
            <w:r>
              <w:rPr>
                <w:sz w:val="24"/>
                <w:szCs w:val="24"/>
                <w:lang w:val="en-US"/>
              </w:rPr>
              <w:t>1.2.</w:t>
            </w:r>
          </w:p>
        </w:tc>
        <w:tc>
          <w:tcPr>
            <w:tcW w:w="8121" w:type="dxa"/>
            <w:tcBorders/>
            <w:shd w:color="auto" w:fill="auto" w:val="clear"/>
          </w:tcPr>
          <w:p>
            <w:pPr>
              <w:pStyle w:val="Normal"/>
              <w:widowControl w:val="false"/>
              <w:rPr>
                <w:sz w:val="24"/>
                <w:szCs w:val="24"/>
                <w:lang w:val="en-US"/>
              </w:rPr>
            </w:pPr>
            <w:r>
              <w:rPr>
                <w:sz w:val="24"/>
                <w:szCs w:val="24"/>
              </w:rPr>
              <w:t>Наименование поставляемого</w:t>
            </w:r>
            <w:r>
              <w:rPr>
                <w:sz w:val="24"/>
                <w:szCs w:val="24"/>
                <w:lang w:val="en-US"/>
              </w:rPr>
              <w:t xml:space="preserve"> Товара</w:t>
            </w:r>
            <w:r>
              <w:rPr>
                <w:sz w:val="24"/>
                <w:szCs w:val="24"/>
              </w:rPr>
              <w:t xml:space="preserve"> ____________</w:t>
            </w:r>
            <w:r>
              <w:rPr>
                <w:sz w:val="24"/>
                <w:szCs w:val="24"/>
                <w:lang w:val="en-US"/>
              </w:rPr>
              <w:t>___________________</w:t>
            </w:r>
            <w:r>
              <w:rPr>
                <w:sz w:val="24"/>
                <w:szCs w:val="24"/>
              </w:rPr>
              <w:t>_</w:t>
            </w:r>
            <w:r>
              <w:rPr>
                <w:sz w:val="24"/>
                <w:szCs w:val="24"/>
                <w:lang w:val="en-US"/>
              </w:rPr>
              <w:t>_</w:t>
            </w:r>
          </w:p>
        </w:tc>
        <w:tc>
          <w:tcPr>
            <w:tcW w:w="456" w:type="dxa"/>
            <w:tcBorders/>
            <w:shd w:color="auto" w:fill="auto" w:val="clear"/>
            <w:vAlign w:val="bottom"/>
          </w:tcPr>
          <w:p>
            <w:pPr>
              <w:pStyle w:val="Normal"/>
              <w:widowControl w:val="false"/>
              <w:rPr>
                <w:sz w:val="24"/>
                <w:szCs w:val="24"/>
                <w:lang w:val="en-US"/>
              </w:rPr>
            </w:pPr>
            <w:r>
              <w:rPr>
                <w:sz w:val="24"/>
                <w:szCs w:val="24"/>
                <w:lang w:val="en-US"/>
              </w:rPr>
              <w:t>4</w:t>
            </w:r>
          </w:p>
        </w:tc>
      </w:tr>
      <w:tr>
        <w:trPr/>
        <w:tc>
          <w:tcPr>
            <w:tcW w:w="472" w:type="dxa"/>
            <w:tcBorders/>
            <w:shd w:color="auto" w:fill="auto" w:val="clear"/>
          </w:tcPr>
          <w:p>
            <w:pPr>
              <w:pStyle w:val="Normal"/>
              <w:widowControl w:val="false"/>
              <w:rPr>
                <w:sz w:val="24"/>
                <w:szCs w:val="24"/>
              </w:rPr>
            </w:pPr>
            <w:r>
              <w:rPr>
                <w:sz w:val="24"/>
                <w:szCs w:val="24"/>
              </w:rPr>
            </w:r>
          </w:p>
        </w:tc>
        <w:tc>
          <w:tcPr>
            <w:tcW w:w="804" w:type="dxa"/>
            <w:tcBorders/>
          </w:tcPr>
          <w:p>
            <w:pPr>
              <w:pStyle w:val="Normal"/>
              <w:widowControl w:val="false"/>
              <w:rPr>
                <w:sz w:val="24"/>
                <w:szCs w:val="24"/>
                <w:lang w:val="en-US"/>
              </w:rPr>
            </w:pPr>
            <w:r>
              <w:rPr>
                <w:sz w:val="24"/>
                <w:szCs w:val="24"/>
                <w:lang w:val="en-US"/>
              </w:rPr>
              <w:t>1.3.</w:t>
            </w:r>
          </w:p>
        </w:tc>
        <w:tc>
          <w:tcPr>
            <w:tcW w:w="8121" w:type="dxa"/>
            <w:tcBorders/>
            <w:shd w:color="auto" w:fill="auto" w:val="clear"/>
          </w:tcPr>
          <w:p>
            <w:pPr>
              <w:pStyle w:val="Normal"/>
              <w:widowControl w:val="false"/>
              <w:rPr>
                <w:sz w:val="24"/>
                <w:szCs w:val="24"/>
              </w:rPr>
            </w:pPr>
            <w:r>
              <w:rPr>
                <w:sz w:val="24"/>
                <w:szCs w:val="24"/>
              </w:rPr>
              <w:t>Цел</w:t>
            </w:r>
            <w:r>
              <w:rPr>
                <w:sz w:val="24"/>
                <w:szCs w:val="24"/>
                <w:lang w:val="en-US"/>
              </w:rPr>
              <w:t xml:space="preserve">ь использования </w:t>
            </w:r>
            <w:r>
              <w:rPr>
                <w:sz w:val="24"/>
                <w:szCs w:val="24"/>
              </w:rPr>
              <w:t>поставляемого</w:t>
            </w:r>
            <w:r>
              <w:rPr>
                <w:sz w:val="24"/>
                <w:szCs w:val="24"/>
                <w:lang w:val="en-US"/>
              </w:rPr>
              <w:t xml:space="preserve"> Товара </w:t>
            </w:r>
            <w:r>
              <w:rPr>
                <w:sz w:val="24"/>
                <w:szCs w:val="24"/>
              </w:rPr>
              <w:t>_</w:t>
            </w:r>
            <w:r>
              <w:rPr>
                <w:sz w:val="24"/>
                <w:szCs w:val="24"/>
                <w:lang w:val="en-US"/>
              </w:rPr>
              <w:t>_________</w:t>
            </w:r>
            <w:r>
              <w:rPr>
                <w:sz w:val="24"/>
                <w:szCs w:val="24"/>
              </w:rPr>
              <w:t>_________</w:t>
            </w:r>
            <w:r>
              <w:rPr>
                <w:sz w:val="24"/>
                <w:szCs w:val="24"/>
                <w:lang w:val="en-US"/>
              </w:rPr>
              <w:t>___</w:t>
            </w:r>
            <w:r>
              <w:rPr>
                <w:sz w:val="24"/>
                <w:szCs w:val="24"/>
              </w:rPr>
              <w:t>______</w:t>
            </w:r>
          </w:p>
        </w:tc>
        <w:tc>
          <w:tcPr>
            <w:tcW w:w="456" w:type="dxa"/>
            <w:tcBorders/>
            <w:shd w:color="auto" w:fill="auto" w:val="clear"/>
            <w:vAlign w:val="bottom"/>
          </w:tcPr>
          <w:p>
            <w:pPr>
              <w:pStyle w:val="Normal"/>
              <w:widowControl w:val="false"/>
              <w:rPr>
                <w:sz w:val="24"/>
                <w:szCs w:val="24"/>
                <w:lang w:val="en-US"/>
              </w:rPr>
            </w:pPr>
            <w:r>
              <w:rPr>
                <w:sz w:val="24"/>
                <w:szCs w:val="24"/>
                <w:lang w:val="en-US"/>
              </w:rPr>
              <w:t>4</w:t>
            </w:r>
          </w:p>
        </w:tc>
      </w:tr>
      <w:tr>
        <w:trPr/>
        <w:tc>
          <w:tcPr>
            <w:tcW w:w="472" w:type="dxa"/>
            <w:tcBorders/>
            <w:shd w:color="auto" w:fill="auto" w:val="clear"/>
          </w:tcPr>
          <w:p>
            <w:pPr>
              <w:pStyle w:val="Normal"/>
              <w:widowControl w:val="false"/>
              <w:rPr>
                <w:sz w:val="24"/>
                <w:szCs w:val="24"/>
              </w:rPr>
            </w:pPr>
            <w:r>
              <w:rPr>
                <w:sz w:val="24"/>
                <w:szCs w:val="24"/>
              </w:rPr>
            </w:r>
          </w:p>
        </w:tc>
        <w:tc>
          <w:tcPr>
            <w:tcW w:w="804" w:type="dxa"/>
            <w:tcBorders/>
          </w:tcPr>
          <w:p>
            <w:pPr>
              <w:pStyle w:val="Normal"/>
              <w:widowControl w:val="false"/>
              <w:rPr>
                <w:sz w:val="24"/>
                <w:szCs w:val="24"/>
                <w:lang w:val="en-US"/>
              </w:rPr>
            </w:pPr>
            <w:r>
              <w:rPr>
                <w:sz w:val="24"/>
                <w:szCs w:val="24"/>
                <w:lang w:val="en-US"/>
              </w:rPr>
              <w:t>1.4.</w:t>
            </w:r>
          </w:p>
        </w:tc>
        <w:tc>
          <w:tcPr>
            <w:tcW w:w="8121" w:type="dxa"/>
            <w:tcBorders/>
            <w:shd w:color="auto" w:fill="auto" w:val="clear"/>
          </w:tcPr>
          <w:p>
            <w:pPr>
              <w:pStyle w:val="Normal"/>
              <w:widowControl w:val="false"/>
              <w:rPr>
                <w:sz w:val="24"/>
                <w:szCs w:val="24"/>
                <w:lang w:val="en-US"/>
              </w:rPr>
            </w:pPr>
            <w:r>
              <w:rPr>
                <w:sz w:val="24"/>
                <w:szCs w:val="24"/>
              </w:rPr>
              <w:t>Существующее положение</w:t>
            </w:r>
            <w:r>
              <w:rPr>
                <w:sz w:val="24"/>
                <w:szCs w:val="24"/>
                <w:lang w:val="en-US"/>
              </w:rPr>
              <w:t xml:space="preserve"> __________________________________________</w:t>
            </w:r>
          </w:p>
        </w:tc>
        <w:tc>
          <w:tcPr>
            <w:tcW w:w="456" w:type="dxa"/>
            <w:tcBorders/>
            <w:shd w:color="auto" w:fill="auto" w:val="clear"/>
            <w:vAlign w:val="bottom"/>
          </w:tcPr>
          <w:p>
            <w:pPr>
              <w:pStyle w:val="Normal"/>
              <w:widowControl w:val="false"/>
              <w:rPr>
                <w:sz w:val="24"/>
                <w:szCs w:val="24"/>
                <w:lang w:val="en-US"/>
              </w:rPr>
            </w:pPr>
            <w:r>
              <w:rPr>
                <w:sz w:val="24"/>
                <w:szCs w:val="24"/>
                <w:lang w:val="en-US"/>
              </w:rPr>
              <w:t>4</w:t>
            </w:r>
          </w:p>
        </w:tc>
      </w:tr>
      <w:tr>
        <w:trPr/>
        <w:tc>
          <w:tcPr>
            <w:tcW w:w="472" w:type="dxa"/>
            <w:tcBorders/>
            <w:shd w:color="auto" w:fill="auto" w:val="clear"/>
          </w:tcPr>
          <w:p>
            <w:pPr>
              <w:pStyle w:val="Normal"/>
              <w:widowControl w:val="false"/>
              <w:rPr>
                <w:sz w:val="24"/>
                <w:szCs w:val="24"/>
              </w:rPr>
            </w:pPr>
            <w:r>
              <w:rPr>
                <w:sz w:val="24"/>
                <w:szCs w:val="24"/>
              </w:rPr>
            </w:r>
          </w:p>
        </w:tc>
        <w:tc>
          <w:tcPr>
            <w:tcW w:w="804" w:type="dxa"/>
            <w:tcBorders/>
          </w:tcPr>
          <w:p>
            <w:pPr>
              <w:pStyle w:val="Normal"/>
              <w:widowControl w:val="false"/>
              <w:rPr>
                <w:sz w:val="24"/>
                <w:szCs w:val="24"/>
                <w:lang w:val="en-US"/>
              </w:rPr>
            </w:pPr>
            <w:r>
              <w:rPr>
                <w:sz w:val="24"/>
                <w:szCs w:val="24"/>
                <w:lang w:val="en-US"/>
              </w:rPr>
              <w:t>1.5.</w:t>
            </w:r>
          </w:p>
        </w:tc>
        <w:tc>
          <w:tcPr>
            <w:tcW w:w="8121" w:type="dxa"/>
            <w:tcBorders/>
            <w:shd w:color="auto" w:fill="auto" w:val="clear"/>
          </w:tcPr>
          <w:p>
            <w:pPr>
              <w:pStyle w:val="Normal"/>
              <w:widowControl w:val="false"/>
              <w:rPr>
                <w:sz w:val="24"/>
                <w:szCs w:val="24"/>
              </w:rPr>
            </w:pPr>
            <w:r>
              <w:rPr>
                <w:sz w:val="24"/>
                <w:szCs w:val="24"/>
              </w:rPr>
              <w:t>Информация в отношении исполнения договора (в том числе перечень ресурсов, услуг и документов, предоставляемых Покупателем на</w:t>
            </w:r>
            <w:r>
              <w:rPr>
                <w:sz w:val="24"/>
                <w:szCs w:val="24"/>
                <w:lang w:val="en-US"/>
              </w:rPr>
              <w:t> </w:t>
            </w:r>
            <w:r>
              <w:rPr>
                <w:sz w:val="24"/>
                <w:szCs w:val="24"/>
              </w:rPr>
              <w:t>этапе исполнения договора) ______________________________________________</w:t>
            </w:r>
          </w:p>
        </w:tc>
        <w:tc>
          <w:tcPr>
            <w:tcW w:w="456" w:type="dxa"/>
            <w:tcBorders/>
            <w:shd w:color="auto" w:fill="auto" w:val="clear"/>
            <w:vAlign w:val="bottom"/>
          </w:tcPr>
          <w:p>
            <w:pPr>
              <w:pStyle w:val="Normal"/>
              <w:widowControl w:val="false"/>
              <w:rPr>
                <w:sz w:val="24"/>
                <w:szCs w:val="24"/>
                <w:lang w:val="en-US"/>
              </w:rPr>
            </w:pPr>
            <w:r>
              <w:rPr>
                <w:sz w:val="24"/>
                <w:szCs w:val="24"/>
                <w:lang w:val="en-US"/>
              </w:rPr>
              <w:t>4</w:t>
            </w:r>
          </w:p>
        </w:tc>
      </w:tr>
      <w:tr>
        <w:trPr/>
        <w:tc>
          <w:tcPr>
            <w:tcW w:w="472" w:type="dxa"/>
            <w:tcBorders/>
            <w:shd w:color="auto" w:fill="auto" w:val="clear"/>
          </w:tcPr>
          <w:p>
            <w:pPr>
              <w:pStyle w:val="Normal"/>
              <w:widowControl w:val="false"/>
              <w:rPr>
                <w:b/>
                <w:sz w:val="24"/>
                <w:szCs w:val="24"/>
                <w:lang w:val="en-US"/>
              </w:rPr>
            </w:pPr>
            <w:r>
              <w:rPr>
                <w:b/>
                <w:sz w:val="24"/>
                <w:szCs w:val="24"/>
                <w:lang w:val="en-US"/>
              </w:rPr>
              <w:t>2.</w:t>
            </w:r>
          </w:p>
        </w:tc>
        <w:tc>
          <w:tcPr>
            <w:tcW w:w="8925" w:type="dxa"/>
            <w:gridSpan w:val="2"/>
            <w:tcBorders/>
          </w:tcPr>
          <w:p>
            <w:pPr>
              <w:pStyle w:val="Normal"/>
              <w:widowControl w:val="false"/>
              <w:rPr>
                <w:sz w:val="24"/>
                <w:szCs w:val="24"/>
                <w:lang w:val="en-US"/>
              </w:rPr>
            </w:pPr>
            <w:r>
              <w:rPr>
                <w:b/>
                <w:sz w:val="24"/>
                <w:szCs w:val="24"/>
                <w:lang w:val="en-US"/>
              </w:rPr>
              <w:t xml:space="preserve">Требования к Товару </w:t>
            </w:r>
            <w:r>
              <w:rPr>
                <w:sz w:val="24"/>
                <w:szCs w:val="24"/>
                <w:lang w:val="en-US"/>
              </w:rPr>
              <w:t>____________________________________________________</w:t>
            </w:r>
          </w:p>
        </w:tc>
        <w:tc>
          <w:tcPr>
            <w:tcW w:w="456" w:type="dxa"/>
            <w:tcBorders/>
            <w:shd w:color="auto" w:fill="auto" w:val="clear"/>
            <w:vAlign w:val="bottom"/>
          </w:tcPr>
          <w:p>
            <w:pPr>
              <w:pStyle w:val="Normal"/>
              <w:widowControl w:val="false"/>
              <w:rPr>
                <w:sz w:val="24"/>
                <w:szCs w:val="24"/>
                <w:lang w:val="en-US"/>
              </w:rPr>
            </w:pPr>
            <w:r>
              <w:rPr>
                <w:sz w:val="24"/>
                <w:szCs w:val="24"/>
                <w:lang w:val="en-US"/>
              </w:rPr>
              <w:t>4</w:t>
            </w:r>
          </w:p>
        </w:tc>
      </w:tr>
      <w:tr>
        <w:trPr/>
        <w:tc>
          <w:tcPr>
            <w:tcW w:w="472" w:type="dxa"/>
            <w:tcBorders/>
            <w:shd w:color="auto" w:fill="auto" w:val="clear"/>
          </w:tcPr>
          <w:p>
            <w:pPr>
              <w:pStyle w:val="Normal"/>
              <w:widowControl w:val="false"/>
              <w:rPr>
                <w:sz w:val="24"/>
                <w:szCs w:val="24"/>
              </w:rPr>
            </w:pPr>
            <w:r>
              <w:rPr>
                <w:sz w:val="24"/>
                <w:szCs w:val="24"/>
              </w:rPr>
            </w:r>
          </w:p>
        </w:tc>
        <w:tc>
          <w:tcPr>
            <w:tcW w:w="804" w:type="dxa"/>
            <w:tcBorders/>
          </w:tcPr>
          <w:p>
            <w:pPr>
              <w:pStyle w:val="Normal"/>
              <w:widowControl w:val="false"/>
              <w:rPr>
                <w:sz w:val="24"/>
                <w:szCs w:val="24"/>
                <w:lang w:val="en-US"/>
              </w:rPr>
            </w:pPr>
            <w:r>
              <w:rPr>
                <w:sz w:val="24"/>
                <w:szCs w:val="24"/>
                <w:lang w:val="en-US"/>
              </w:rPr>
              <w:t>2.1.</w:t>
            </w:r>
          </w:p>
        </w:tc>
        <w:tc>
          <w:tcPr>
            <w:tcW w:w="8121" w:type="dxa"/>
            <w:tcBorders/>
            <w:shd w:color="auto" w:fill="auto" w:val="clear"/>
          </w:tcPr>
          <w:p>
            <w:pPr>
              <w:pStyle w:val="Normal"/>
              <w:widowControl w:val="false"/>
              <w:rPr>
                <w:sz w:val="24"/>
                <w:szCs w:val="24"/>
              </w:rPr>
            </w:pPr>
            <w:r>
              <w:rPr>
                <w:sz w:val="24"/>
                <w:szCs w:val="24"/>
              </w:rPr>
              <w:t>Требования к объемам и срокам поставки _____________________________</w:t>
            </w:r>
          </w:p>
        </w:tc>
        <w:tc>
          <w:tcPr>
            <w:tcW w:w="456" w:type="dxa"/>
            <w:tcBorders/>
            <w:shd w:color="auto" w:fill="auto" w:val="clear"/>
            <w:vAlign w:val="bottom"/>
          </w:tcPr>
          <w:p>
            <w:pPr>
              <w:pStyle w:val="Normal"/>
              <w:widowControl w:val="false"/>
              <w:rPr>
                <w:sz w:val="24"/>
                <w:szCs w:val="24"/>
                <w:lang w:val="en-US"/>
              </w:rPr>
            </w:pPr>
            <w:r>
              <w:rPr>
                <w:sz w:val="24"/>
                <w:szCs w:val="24"/>
                <w:lang w:val="en-US"/>
              </w:rPr>
              <w:t>4</w:t>
            </w:r>
          </w:p>
        </w:tc>
      </w:tr>
      <w:tr>
        <w:trPr>
          <w:trHeight w:val="306" w:hRule="atLeast"/>
        </w:trPr>
        <w:tc>
          <w:tcPr>
            <w:tcW w:w="472" w:type="dxa"/>
            <w:tcBorders/>
            <w:shd w:color="auto" w:fill="auto" w:val="clear"/>
          </w:tcPr>
          <w:p>
            <w:pPr>
              <w:pStyle w:val="Normal"/>
              <w:widowControl w:val="false"/>
              <w:rPr>
                <w:sz w:val="24"/>
                <w:szCs w:val="24"/>
              </w:rPr>
            </w:pPr>
            <w:r>
              <w:rPr>
                <w:sz w:val="24"/>
                <w:szCs w:val="24"/>
              </w:rPr>
            </w:r>
          </w:p>
        </w:tc>
        <w:tc>
          <w:tcPr>
            <w:tcW w:w="804" w:type="dxa"/>
            <w:tcBorders/>
          </w:tcPr>
          <w:p>
            <w:pPr>
              <w:pStyle w:val="Normal"/>
              <w:widowControl w:val="false"/>
              <w:rPr>
                <w:sz w:val="24"/>
                <w:szCs w:val="24"/>
                <w:lang w:val="en-US"/>
              </w:rPr>
            </w:pPr>
            <w:r>
              <w:rPr>
                <w:sz w:val="24"/>
                <w:szCs w:val="24"/>
                <w:lang w:val="en-US"/>
              </w:rPr>
              <w:t>2.1.1.</w:t>
            </w:r>
          </w:p>
        </w:tc>
        <w:tc>
          <w:tcPr>
            <w:tcW w:w="8121" w:type="dxa"/>
            <w:tcBorders/>
            <w:shd w:color="auto" w:fill="auto" w:val="clear"/>
          </w:tcPr>
          <w:p>
            <w:pPr>
              <w:pStyle w:val="Normal"/>
              <w:widowControl w:val="false"/>
              <w:rPr>
                <w:sz w:val="24"/>
                <w:szCs w:val="24"/>
              </w:rPr>
            </w:pPr>
            <w:r>
              <w:rPr>
                <w:sz w:val="24"/>
                <w:szCs w:val="24"/>
              </w:rPr>
              <w:t>Перечень и объем закупаемого Товара ________________________________</w:t>
            </w:r>
          </w:p>
        </w:tc>
        <w:tc>
          <w:tcPr>
            <w:tcW w:w="456" w:type="dxa"/>
            <w:tcBorders/>
            <w:shd w:color="auto" w:fill="auto" w:val="clear"/>
            <w:vAlign w:val="bottom"/>
          </w:tcPr>
          <w:p>
            <w:pPr>
              <w:pStyle w:val="Normal"/>
              <w:widowControl w:val="false"/>
              <w:rPr>
                <w:sz w:val="24"/>
                <w:szCs w:val="24"/>
                <w:lang w:val="en-US"/>
              </w:rPr>
            </w:pPr>
            <w:r>
              <w:rPr>
                <w:sz w:val="24"/>
                <w:szCs w:val="24"/>
                <w:lang w:val="en-US"/>
              </w:rPr>
              <w:t>4</w:t>
            </w:r>
          </w:p>
        </w:tc>
      </w:tr>
      <w:tr>
        <w:trPr/>
        <w:tc>
          <w:tcPr>
            <w:tcW w:w="472" w:type="dxa"/>
            <w:tcBorders/>
            <w:shd w:color="auto" w:fill="auto" w:val="clear"/>
          </w:tcPr>
          <w:p>
            <w:pPr>
              <w:pStyle w:val="Normal"/>
              <w:widowControl w:val="false"/>
              <w:rPr>
                <w:sz w:val="24"/>
                <w:szCs w:val="24"/>
              </w:rPr>
            </w:pPr>
            <w:r>
              <w:rPr>
                <w:sz w:val="24"/>
                <w:szCs w:val="24"/>
              </w:rPr>
            </w:r>
          </w:p>
        </w:tc>
        <w:tc>
          <w:tcPr>
            <w:tcW w:w="8925" w:type="dxa"/>
            <w:gridSpan w:val="2"/>
            <w:tcBorders/>
          </w:tcPr>
          <w:p>
            <w:pPr>
              <w:pStyle w:val="Normal"/>
              <w:widowControl w:val="false"/>
              <w:rPr>
                <w:sz w:val="24"/>
                <w:szCs w:val="24"/>
              </w:rPr>
            </w:pPr>
            <w:r>
              <w:rPr>
                <w:b/>
                <w:sz w:val="24"/>
                <w:szCs w:val="24"/>
              </w:rPr>
              <w:t xml:space="preserve">Таблица 1. Перечень и объем закупаемого Товара </w:t>
            </w:r>
            <w:r>
              <w:rPr>
                <w:sz w:val="24"/>
                <w:szCs w:val="24"/>
              </w:rPr>
              <w:t>__________________________</w:t>
            </w:r>
          </w:p>
        </w:tc>
        <w:tc>
          <w:tcPr>
            <w:tcW w:w="456" w:type="dxa"/>
            <w:tcBorders/>
            <w:shd w:color="auto" w:fill="auto" w:val="clear"/>
            <w:vAlign w:val="bottom"/>
          </w:tcPr>
          <w:p>
            <w:pPr>
              <w:pStyle w:val="Normal"/>
              <w:widowControl w:val="false"/>
              <w:rPr>
                <w:sz w:val="24"/>
                <w:szCs w:val="24"/>
              </w:rPr>
            </w:pPr>
            <w:r>
              <w:rPr>
                <w:sz w:val="24"/>
                <w:szCs w:val="24"/>
              </w:rPr>
              <w:t>4</w:t>
            </w:r>
          </w:p>
        </w:tc>
      </w:tr>
      <w:tr>
        <w:trPr/>
        <w:tc>
          <w:tcPr>
            <w:tcW w:w="472" w:type="dxa"/>
            <w:tcBorders/>
            <w:shd w:color="auto" w:fill="auto" w:val="clear"/>
          </w:tcPr>
          <w:p>
            <w:pPr>
              <w:pStyle w:val="Normal"/>
              <w:widowControl w:val="false"/>
              <w:rPr>
                <w:sz w:val="24"/>
                <w:szCs w:val="24"/>
              </w:rPr>
            </w:pPr>
            <w:r>
              <w:rPr>
                <w:sz w:val="24"/>
                <w:szCs w:val="24"/>
              </w:rPr>
            </w:r>
          </w:p>
        </w:tc>
        <w:tc>
          <w:tcPr>
            <w:tcW w:w="804" w:type="dxa"/>
            <w:tcBorders/>
          </w:tcPr>
          <w:p>
            <w:pPr>
              <w:pStyle w:val="Normal"/>
              <w:widowControl w:val="false"/>
              <w:rPr>
                <w:sz w:val="24"/>
                <w:szCs w:val="24"/>
              </w:rPr>
            </w:pPr>
            <w:r>
              <w:rPr>
                <w:sz w:val="24"/>
                <w:szCs w:val="24"/>
              </w:rPr>
              <w:t>2.1.2.</w:t>
            </w:r>
          </w:p>
        </w:tc>
        <w:tc>
          <w:tcPr>
            <w:tcW w:w="8121" w:type="dxa"/>
            <w:tcBorders/>
            <w:shd w:color="auto" w:fill="auto" w:val="clear"/>
          </w:tcPr>
          <w:p>
            <w:pPr>
              <w:pStyle w:val="Normal"/>
              <w:widowControl w:val="false"/>
              <w:rPr>
                <w:sz w:val="24"/>
                <w:szCs w:val="24"/>
              </w:rPr>
            </w:pPr>
            <w:r>
              <w:rPr>
                <w:sz w:val="24"/>
                <w:szCs w:val="24"/>
              </w:rPr>
              <w:t>Требования к срокам поставки Товара ________________________________</w:t>
            </w:r>
          </w:p>
        </w:tc>
        <w:tc>
          <w:tcPr>
            <w:tcW w:w="456" w:type="dxa"/>
            <w:tcBorders/>
            <w:shd w:color="auto" w:fill="auto" w:val="clear"/>
            <w:vAlign w:val="bottom"/>
          </w:tcPr>
          <w:p>
            <w:pPr>
              <w:pStyle w:val="Normal"/>
              <w:widowControl w:val="false"/>
              <w:rPr>
                <w:sz w:val="24"/>
                <w:szCs w:val="24"/>
              </w:rPr>
            </w:pPr>
            <w:r>
              <w:rPr>
                <w:sz w:val="24"/>
                <w:szCs w:val="24"/>
              </w:rPr>
              <w:t>5</w:t>
            </w:r>
          </w:p>
        </w:tc>
      </w:tr>
      <w:tr>
        <w:trPr/>
        <w:tc>
          <w:tcPr>
            <w:tcW w:w="472" w:type="dxa"/>
            <w:tcBorders/>
            <w:shd w:color="auto" w:fill="auto" w:val="clear"/>
          </w:tcPr>
          <w:p>
            <w:pPr>
              <w:pStyle w:val="Normal"/>
              <w:widowControl w:val="false"/>
              <w:rPr>
                <w:sz w:val="24"/>
                <w:szCs w:val="24"/>
              </w:rPr>
            </w:pPr>
            <w:r>
              <w:rPr>
                <w:sz w:val="24"/>
                <w:szCs w:val="24"/>
              </w:rPr>
            </w:r>
          </w:p>
        </w:tc>
        <w:tc>
          <w:tcPr>
            <w:tcW w:w="8925" w:type="dxa"/>
            <w:gridSpan w:val="2"/>
            <w:tcBorders/>
          </w:tcPr>
          <w:p>
            <w:pPr>
              <w:pStyle w:val="Normal"/>
              <w:widowControl w:val="false"/>
              <w:rPr>
                <w:sz w:val="24"/>
                <w:szCs w:val="24"/>
              </w:rPr>
            </w:pPr>
            <w:r>
              <w:rPr>
                <w:b/>
                <w:sz w:val="24"/>
                <w:szCs w:val="24"/>
              </w:rPr>
              <w:t>Таблица 2. Требования по срокам поставки Товара _________________________</w:t>
            </w:r>
          </w:p>
        </w:tc>
        <w:tc>
          <w:tcPr>
            <w:tcW w:w="456" w:type="dxa"/>
            <w:tcBorders/>
            <w:shd w:color="auto" w:fill="auto" w:val="clear"/>
            <w:vAlign w:val="bottom"/>
          </w:tcPr>
          <w:p>
            <w:pPr>
              <w:pStyle w:val="Normal"/>
              <w:widowControl w:val="false"/>
              <w:rPr>
                <w:sz w:val="24"/>
                <w:szCs w:val="24"/>
              </w:rPr>
            </w:pPr>
            <w:r>
              <w:rPr>
                <w:sz w:val="24"/>
                <w:szCs w:val="24"/>
              </w:rPr>
              <w:t>5</w:t>
            </w:r>
          </w:p>
        </w:tc>
      </w:tr>
      <w:tr>
        <w:trPr/>
        <w:tc>
          <w:tcPr>
            <w:tcW w:w="472" w:type="dxa"/>
            <w:tcBorders/>
            <w:shd w:color="auto" w:fill="auto" w:val="clear"/>
          </w:tcPr>
          <w:p>
            <w:pPr>
              <w:pStyle w:val="Normal"/>
              <w:widowControl w:val="false"/>
              <w:rPr>
                <w:sz w:val="24"/>
                <w:szCs w:val="24"/>
              </w:rPr>
            </w:pPr>
            <w:r>
              <w:rPr>
                <w:sz w:val="24"/>
                <w:szCs w:val="24"/>
              </w:rPr>
            </w:r>
          </w:p>
        </w:tc>
        <w:tc>
          <w:tcPr>
            <w:tcW w:w="804" w:type="dxa"/>
            <w:tcBorders/>
          </w:tcPr>
          <w:p>
            <w:pPr>
              <w:pStyle w:val="Normal"/>
              <w:widowControl w:val="false"/>
              <w:rPr>
                <w:sz w:val="24"/>
                <w:szCs w:val="24"/>
              </w:rPr>
            </w:pPr>
            <w:r>
              <w:rPr>
                <w:sz w:val="24"/>
                <w:szCs w:val="24"/>
              </w:rPr>
              <w:t>2.2.</w:t>
            </w:r>
          </w:p>
        </w:tc>
        <w:tc>
          <w:tcPr>
            <w:tcW w:w="8121" w:type="dxa"/>
            <w:tcBorders/>
            <w:shd w:color="auto" w:fill="auto" w:val="clear"/>
          </w:tcPr>
          <w:p>
            <w:pPr>
              <w:pStyle w:val="Normal"/>
              <w:widowControl w:val="false"/>
              <w:rPr>
                <w:sz w:val="24"/>
                <w:szCs w:val="24"/>
                <w:lang w:val="en-US"/>
              </w:rPr>
            </w:pPr>
            <w:r>
              <w:rPr>
                <w:sz w:val="24"/>
                <w:szCs w:val="24"/>
              </w:rPr>
              <w:t xml:space="preserve">Требования к качеству </w:t>
            </w:r>
            <w:r>
              <w:rPr>
                <w:sz w:val="24"/>
                <w:szCs w:val="24"/>
                <w:lang w:val="en-US"/>
              </w:rPr>
              <w:t>Товара</w:t>
            </w:r>
            <w:r>
              <w:rPr>
                <w:sz w:val="24"/>
                <w:szCs w:val="24"/>
              </w:rPr>
              <w:t xml:space="preserve"> ____________________________________</w:t>
            </w:r>
            <w:r>
              <w:rPr>
                <w:sz w:val="24"/>
                <w:szCs w:val="24"/>
                <w:lang w:val="en-US"/>
              </w:rPr>
              <w:t>___</w:t>
            </w:r>
          </w:p>
        </w:tc>
        <w:tc>
          <w:tcPr>
            <w:tcW w:w="456" w:type="dxa"/>
            <w:tcBorders/>
            <w:shd w:color="auto" w:fill="auto" w:val="clear"/>
            <w:vAlign w:val="bottom"/>
          </w:tcPr>
          <w:p>
            <w:pPr>
              <w:pStyle w:val="Normal"/>
              <w:widowControl w:val="false"/>
              <w:rPr>
                <w:sz w:val="24"/>
                <w:szCs w:val="24"/>
              </w:rPr>
            </w:pPr>
            <w:r>
              <w:rPr>
                <w:sz w:val="24"/>
                <w:szCs w:val="24"/>
              </w:rPr>
              <w:t>6</w:t>
            </w:r>
          </w:p>
        </w:tc>
      </w:tr>
      <w:tr>
        <w:trPr/>
        <w:tc>
          <w:tcPr>
            <w:tcW w:w="472" w:type="dxa"/>
            <w:tcBorders/>
            <w:shd w:color="auto" w:fill="auto" w:val="clear"/>
          </w:tcPr>
          <w:p>
            <w:pPr>
              <w:pStyle w:val="Normal"/>
              <w:widowControl w:val="false"/>
              <w:rPr>
                <w:sz w:val="24"/>
                <w:szCs w:val="24"/>
              </w:rPr>
            </w:pPr>
            <w:r>
              <w:rPr>
                <w:sz w:val="24"/>
                <w:szCs w:val="24"/>
              </w:rPr>
            </w:r>
          </w:p>
        </w:tc>
        <w:tc>
          <w:tcPr>
            <w:tcW w:w="8925" w:type="dxa"/>
            <w:gridSpan w:val="2"/>
            <w:tcBorders/>
          </w:tcPr>
          <w:p>
            <w:pPr>
              <w:pStyle w:val="Normal"/>
              <w:widowControl w:val="false"/>
              <w:rPr>
                <w:sz w:val="24"/>
                <w:szCs w:val="24"/>
              </w:rPr>
            </w:pPr>
            <w:r>
              <w:rPr>
                <w:b/>
                <w:sz w:val="24"/>
                <w:szCs w:val="24"/>
              </w:rPr>
              <w:t>Таблица 3. Требования к качеству Товара</w:t>
            </w:r>
            <w:r>
              <w:rPr>
                <w:sz w:val="24"/>
                <w:szCs w:val="24"/>
              </w:rPr>
              <w:t xml:space="preserve"> _________________________________</w:t>
            </w:r>
          </w:p>
        </w:tc>
        <w:tc>
          <w:tcPr>
            <w:tcW w:w="456" w:type="dxa"/>
            <w:tcBorders/>
            <w:shd w:color="auto" w:fill="auto" w:val="clear"/>
            <w:vAlign w:val="bottom"/>
          </w:tcPr>
          <w:p>
            <w:pPr>
              <w:pStyle w:val="Normal"/>
              <w:widowControl w:val="false"/>
              <w:rPr>
                <w:sz w:val="24"/>
                <w:szCs w:val="24"/>
                <w:lang w:val="en-US"/>
              </w:rPr>
            </w:pPr>
            <w:r>
              <w:rPr>
                <w:sz w:val="24"/>
                <w:szCs w:val="24"/>
                <w:lang w:val="en-US"/>
              </w:rPr>
              <w:t>6</w:t>
            </w:r>
          </w:p>
        </w:tc>
      </w:tr>
      <w:tr>
        <w:trPr>
          <w:trHeight w:val="340" w:hRule="atLeast"/>
        </w:trPr>
        <w:tc>
          <w:tcPr>
            <w:tcW w:w="472" w:type="dxa"/>
            <w:tcBorders/>
            <w:shd w:color="auto" w:fill="auto" w:val="clear"/>
            <w:vAlign w:val="center"/>
          </w:tcPr>
          <w:p>
            <w:pPr>
              <w:pStyle w:val="Normal"/>
              <w:widowControl w:val="false"/>
              <w:rPr>
                <w:b/>
                <w:sz w:val="24"/>
                <w:szCs w:val="24"/>
                <w:lang w:val="en-US"/>
              </w:rPr>
            </w:pPr>
            <w:r>
              <w:rPr>
                <w:b/>
                <w:sz w:val="24"/>
                <w:szCs w:val="24"/>
                <w:lang w:val="en-US"/>
              </w:rPr>
              <w:t>3.</w:t>
            </w:r>
          </w:p>
        </w:tc>
        <w:tc>
          <w:tcPr>
            <w:tcW w:w="8925" w:type="dxa"/>
            <w:gridSpan w:val="2"/>
            <w:tcBorders/>
            <w:vAlign w:val="center"/>
          </w:tcPr>
          <w:p>
            <w:pPr>
              <w:pStyle w:val="Normal"/>
              <w:widowControl w:val="false"/>
              <w:rPr>
                <w:b/>
                <w:sz w:val="24"/>
                <w:szCs w:val="24"/>
              </w:rPr>
            </w:pPr>
            <w:r>
              <w:rPr>
                <w:b/>
                <w:sz w:val="24"/>
                <w:szCs w:val="24"/>
              </w:rPr>
              <w:t>Требования к документации по ценообразованию на этапе закупки___________</w:t>
            </w:r>
          </w:p>
        </w:tc>
        <w:tc>
          <w:tcPr>
            <w:tcW w:w="456" w:type="dxa"/>
            <w:tcBorders/>
            <w:shd w:color="auto" w:fill="auto" w:val="clear"/>
            <w:vAlign w:val="bottom"/>
          </w:tcPr>
          <w:p>
            <w:pPr>
              <w:pStyle w:val="Normal"/>
              <w:widowControl w:val="false"/>
              <w:rPr>
                <w:sz w:val="24"/>
                <w:szCs w:val="24"/>
                <w:lang w:val="en-US"/>
              </w:rPr>
            </w:pPr>
            <w:r>
              <w:rPr>
                <w:sz w:val="24"/>
                <w:szCs w:val="24"/>
                <w:lang w:val="en-US"/>
              </w:rPr>
              <w:t>13</w:t>
            </w:r>
          </w:p>
        </w:tc>
      </w:tr>
      <w:tr>
        <w:trPr>
          <w:trHeight w:val="340" w:hRule="atLeast"/>
        </w:trPr>
        <w:tc>
          <w:tcPr>
            <w:tcW w:w="472" w:type="dxa"/>
            <w:tcBorders/>
            <w:shd w:color="auto" w:fill="auto" w:val="clear"/>
          </w:tcPr>
          <w:p>
            <w:pPr>
              <w:pStyle w:val="Normal"/>
              <w:widowControl w:val="false"/>
              <w:rPr>
                <w:b/>
                <w:sz w:val="24"/>
                <w:szCs w:val="24"/>
                <w:lang w:val="en-US"/>
              </w:rPr>
            </w:pPr>
            <w:r>
              <w:rPr>
                <w:b/>
                <w:sz w:val="24"/>
                <w:szCs w:val="24"/>
                <w:lang w:val="en-US"/>
              </w:rPr>
              <w:t xml:space="preserve">4. </w:t>
            </w:r>
          </w:p>
        </w:tc>
        <w:tc>
          <w:tcPr>
            <w:tcW w:w="8925" w:type="dxa"/>
            <w:gridSpan w:val="2"/>
            <w:tcBorders/>
          </w:tcPr>
          <w:p>
            <w:pPr>
              <w:pStyle w:val="Normal"/>
              <w:widowControl w:val="false"/>
              <w:jc w:val="both"/>
              <w:rPr>
                <w:b/>
                <w:sz w:val="24"/>
                <w:szCs w:val="24"/>
              </w:rPr>
            </w:pPr>
            <w:r>
              <w:rPr>
                <w:b/>
                <w:sz w:val="24"/>
                <w:szCs w:val="24"/>
                <w:lang w:val="en-US"/>
              </w:rPr>
              <w:t>Приложения</w:t>
            </w:r>
            <w:r>
              <w:rPr>
                <w:sz w:val="24"/>
                <w:szCs w:val="24"/>
                <w:lang w:val="en-US"/>
              </w:rPr>
              <w:t xml:space="preserve"> ____________________________________________________________</w:t>
            </w:r>
          </w:p>
        </w:tc>
        <w:tc>
          <w:tcPr>
            <w:tcW w:w="456" w:type="dxa"/>
            <w:tcBorders/>
            <w:shd w:color="auto" w:fill="auto" w:val="clear"/>
            <w:vAlign w:val="bottom"/>
          </w:tcPr>
          <w:p>
            <w:pPr>
              <w:pStyle w:val="Normal"/>
              <w:widowControl w:val="false"/>
              <w:rPr>
                <w:sz w:val="24"/>
                <w:szCs w:val="24"/>
                <w:lang w:val="en-US"/>
              </w:rPr>
            </w:pPr>
            <w:r>
              <w:rPr>
                <w:sz w:val="24"/>
                <w:szCs w:val="24"/>
                <w:lang w:val="en-US"/>
              </w:rPr>
              <w:t>13</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sectPr>
          <w:headerReference w:type="default" r:id="rId2"/>
          <w:footerReference w:type="default" r:id="rId3"/>
          <w:type w:val="nextPage"/>
          <w:pgSz w:w="11906" w:h="16838"/>
          <w:pgMar w:left="1134" w:right="567" w:gutter="0" w:header="0" w:top="709" w:footer="0" w:bottom="1701"/>
          <w:pgNumType w:fmt="decimal"/>
          <w:formProt w:val="false"/>
          <w:textDirection w:val="lrTb"/>
          <w:docGrid w:type="default" w:linePitch="272" w:charSpace="0"/>
        </w:sectPr>
        <w:pStyle w:val="Normal"/>
        <w:rPr/>
      </w:pPr>
      <w:r>
        <w:rPr/>
      </w:r>
    </w:p>
    <w:p>
      <w:pPr>
        <w:pStyle w:val="Normal"/>
        <w:rPr/>
      </w:pPr>
      <w:r>
        <w:rPr/>
      </w:r>
    </w:p>
    <w:p>
      <w:pPr>
        <w:pStyle w:val="Normal"/>
        <w:widowControl/>
        <w:numPr>
          <w:ilvl w:val="0"/>
          <w:numId w:val="3"/>
        </w:numPr>
        <w:tabs>
          <w:tab w:val="clear" w:pos="708"/>
          <w:tab w:val="left" w:pos="709" w:leader="none"/>
        </w:tabs>
        <w:ind w:left="0" w:hanging="0"/>
        <w:rPr>
          <w:b/>
          <w:sz w:val="24"/>
          <w:szCs w:val="28"/>
          <w:lang w:val="en-US"/>
        </w:rPr>
      </w:pPr>
      <w:r>
        <w:rPr>
          <w:b/>
          <w:sz w:val="24"/>
          <w:szCs w:val="28"/>
          <w:lang w:val="en-US"/>
        </w:rPr>
        <w:t>Общие сведения</w:t>
      </w:r>
    </w:p>
    <w:p>
      <w:pPr>
        <w:pStyle w:val="Normal"/>
        <w:widowControl/>
        <w:numPr>
          <w:ilvl w:val="1"/>
          <w:numId w:val="3"/>
        </w:numPr>
        <w:spacing w:before="0" w:after="120"/>
        <w:ind w:left="709" w:hanging="709"/>
        <w:rPr>
          <w:sz w:val="24"/>
          <w:szCs w:val="28"/>
        </w:rPr>
      </w:pPr>
      <w:r>
        <w:rPr>
          <w:b/>
          <w:sz w:val="24"/>
          <w:szCs w:val="28"/>
        </w:rPr>
        <w:t>Обозначения и сокращения</w:t>
      </w:r>
    </w:p>
    <w:tbl>
      <w:tblPr>
        <w:tblW w:w="10136" w:type="dxa"/>
        <w:jc w:val="left"/>
        <w:tblInd w:w="-5" w:type="dxa"/>
        <w:tblLayout w:type="fixed"/>
        <w:tblCellMar>
          <w:top w:w="0" w:type="dxa"/>
          <w:left w:w="108" w:type="dxa"/>
          <w:bottom w:w="0" w:type="dxa"/>
          <w:right w:w="108" w:type="dxa"/>
        </w:tblCellMar>
        <w:tblLook w:noVBand="1" w:val="04a0" w:noHBand="0" w:lastColumn="0" w:firstColumn="1" w:lastRow="0" w:firstRow="1"/>
      </w:tblPr>
      <w:tblGrid>
        <w:gridCol w:w="2552"/>
        <w:gridCol w:w="7583"/>
      </w:tblGrid>
      <w:tr>
        <w:trPr/>
        <w:tc>
          <w:tcPr>
            <w:tcW w:w="25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8"/>
              </w:rPr>
            </w:pPr>
            <w:r>
              <w:rPr>
                <w:sz w:val="24"/>
                <w:szCs w:val="28"/>
              </w:rPr>
              <w:t>ГЭС</w:t>
            </w:r>
          </w:p>
        </w:tc>
        <w:tc>
          <w:tcPr>
            <w:tcW w:w="758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8"/>
              </w:rPr>
            </w:pPr>
            <w:r>
              <w:rPr>
                <w:sz w:val="24"/>
                <w:szCs w:val="28"/>
              </w:rPr>
              <w:t>гидроэлектрическая станция</w:t>
            </w:r>
          </w:p>
        </w:tc>
      </w:tr>
      <w:tr>
        <w:trPr/>
        <w:tc>
          <w:tcPr>
            <w:tcW w:w="25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8"/>
                <w:lang w:val="en-US"/>
              </w:rPr>
            </w:pPr>
            <w:r>
              <w:rPr>
                <w:sz w:val="24"/>
                <w:szCs w:val="28"/>
                <w:lang w:val="en-US"/>
              </w:rPr>
              <w:t>ОРУ</w:t>
            </w:r>
          </w:p>
        </w:tc>
        <w:tc>
          <w:tcPr>
            <w:tcW w:w="758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8"/>
                <w:lang w:val="en-US"/>
              </w:rPr>
            </w:pPr>
            <w:r>
              <w:rPr>
                <w:sz w:val="24"/>
                <w:szCs w:val="28"/>
                <w:lang w:val="en-US"/>
              </w:rPr>
              <w:t>открытое распределительное устройство</w:t>
            </w:r>
          </w:p>
        </w:tc>
      </w:tr>
      <w:tr>
        <w:trPr/>
        <w:tc>
          <w:tcPr>
            <w:tcW w:w="25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8"/>
                <w:lang w:val="en-US"/>
              </w:rPr>
            </w:pPr>
            <w:r>
              <w:rPr>
                <w:sz w:val="24"/>
                <w:szCs w:val="28"/>
                <w:lang w:val="en-US"/>
              </w:rPr>
              <w:t>ТТ</w:t>
            </w:r>
          </w:p>
        </w:tc>
        <w:tc>
          <w:tcPr>
            <w:tcW w:w="758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8"/>
                <w:lang w:val="en-US"/>
              </w:rPr>
            </w:pPr>
            <w:r>
              <w:rPr>
                <w:sz w:val="24"/>
                <w:szCs w:val="28"/>
                <w:lang w:val="en-US"/>
              </w:rPr>
              <w:t>те</w:t>
            </w:r>
            <w:r>
              <w:rPr>
                <w:sz w:val="24"/>
                <w:szCs w:val="28"/>
              </w:rPr>
              <w:t>хническ</w:t>
            </w:r>
            <w:r>
              <w:rPr>
                <w:sz w:val="24"/>
                <w:szCs w:val="28"/>
                <w:lang w:val="en-US"/>
              </w:rPr>
              <w:t>ие требования</w:t>
            </w:r>
          </w:p>
        </w:tc>
      </w:tr>
      <w:tr>
        <w:trPr/>
        <w:tc>
          <w:tcPr>
            <w:tcW w:w="25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8"/>
                <w:lang w:val="en-US"/>
              </w:rPr>
            </w:pPr>
            <w:r>
              <w:rPr>
                <w:sz w:val="24"/>
                <w:szCs w:val="28"/>
              </w:rPr>
              <w:t>Филиал</w:t>
            </w:r>
            <w:r>
              <w:rPr>
                <w:sz w:val="24"/>
                <w:szCs w:val="28"/>
                <w:lang w:val="en-US"/>
              </w:rPr>
              <w:t xml:space="preserve"> (Покупатель)</w:t>
            </w:r>
          </w:p>
        </w:tc>
        <w:tc>
          <w:tcPr>
            <w:tcW w:w="758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8"/>
              </w:rPr>
            </w:pPr>
            <w:r>
              <w:rPr>
                <w:sz w:val="24"/>
                <w:szCs w:val="28"/>
              </w:rPr>
              <w:t>Филиал ПАО «РусГидро» - «Чебоксарская ГЭС»</w:t>
            </w:r>
          </w:p>
        </w:tc>
      </w:tr>
    </w:tbl>
    <w:p>
      <w:pPr>
        <w:sectPr>
          <w:headerReference w:type="default" r:id="rId4"/>
          <w:headerReference w:type="first" r:id="rId5"/>
          <w:footerReference w:type="default" r:id="rId6"/>
          <w:footerReference w:type="first" r:id="rId7"/>
          <w:type w:val="nextPage"/>
          <w:pgSz w:w="11906" w:h="16838"/>
          <w:pgMar w:left="1134" w:right="567" w:gutter="0" w:header="0" w:top="709" w:footer="0" w:bottom="1701"/>
          <w:pgNumType w:fmt="decimal"/>
          <w:formProt w:val="false"/>
          <w:textDirection w:val="lrTb"/>
          <w:docGrid w:type="default" w:linePitch="272" w:charSpace="0"/>
        </w:sectPr>
      </w:pPr>
    </w:p>
    <w:p>
      <w:pPr>
        <w:pStyle w:val="Heading1"/>
        <w:keepNext w:val="false"/>
        <w:numPr>
          <w:ilvl w:val="1"/>
          <w:numId w:val="3"/>
        </w:numPr>
        <w:spacing w:before="0" w:after="0"/>
        <w:ind w:left="0" w:firstLine="709"/>
        <w:jc w:val="both"/>
        <w:rPr>
          <w:rFonts w:ascii="Times New Roman" w:hAnsi="Times New Roman" w:cs="Times New Roman"/>
          <w:sz w:val="24"/>
          <w:szCs w:val="24"/>
        </w:rPr>
      </w:pPr>
      <w:r>
        <w:rPr>
          <w:rFonts w:cs="Times New Roman" w:ascii="Times New Roman" w:hAnsi="Times New Roman"/>
          <w:sz w:val="24"/>
          <w:szCs w:val="24"/>
        </w:rPr>
        <w:t>Наименование поставляемого</w:t>
      </w:r>
      <w:r>
        <w:rPr>
          <w:rFonts w:cs="Times New Roman" w:ascii="Times New Roman" w:hAnsi="Times New Roman"/>
          <w:sz w:val="24"/>
          <w:szCs w:val="24"/>
          <w:lang w:val="en-US"/>
        </w:rPr>
        <w:t xml:space="preserve"> Товара</w:t>
      </w:r>
    </w:p>
    <w:p>
      <w:pPr>
        <w:pStyle w:val="Heading1"/>
        <w:spacing w:before="0" w:after="0"/>
        <w:ind w:firstLine="709"/>
        <w:jc w:val="both"/>
        <w:rPr>
          <w:rFonts w:ascii="Times New Roman" w:hAnsi="Times New Roman" w:cs="Times New Roman"/>
          <w:b w:val="false"/>
          <w:bCs w:val="false"/>
          <w:sz w:val="24"/>
          <w:szCs w:val="24"/>
        </w:rPr>
      </w:pPr>
      <w:r>
        <w:rPr>
          <w:rFonts w:cs="Times New Roman" w:ascii="Times New Roman" w:hAnsi="Times New Roman"/>
          <w:b w:val="false"/>
          <w:bCs w:val="false"/>
          <w:sz w:val="24"/>
          <w:szCs w:val="24"/>
        </w:rPr>
        <w:t>Контейнеры сухогрузные 20 футов (144 шт.), контейнеры сухогрузные 40 футов (9 шт.), для нужд Филиала ПАО «РусГидро» - «Чебоксарская ГЭС»</w:t>
      </w:r>
      <w:r>
        <w:rPr>
          <w:rFonts w:cs="Times New Roman" w:ascii="Times New Roman" w:hAnsi="Times New Roman"/>
          <w:b w:val="false"/>
          <w:bCs w:val="false"/>
          <w:kern w:val="0"/>
          <w:sz w:val="24"/>
          <w:szCs w:val="24"/>
        </w:rPr>
        <w:t xml:space="preserve"> </w:t>
      </w:r>
      <w:r>
        <w:rPr>
          <w:rFonts w:cs="Times New Roman" w:ascii="Times New Roman" w:hAnsi="Times New Roman"/>
          <w:b w:val="false"/>
          <w:kern w:val="0"/>
          <w:sz w:val="24"/>
          <w:szCs w:val="24"/>
        </w:rPr>
        <w:t>(далее – Товар).</w:t>
      </w:r>
    </w:p>
    <w:p>
      <w:pPr>
        <w:pStyle w:val="Normal"/>
        <w:rPr/>
      </w:pPr>
      <w:r>
        <w:rPr/>
      </w:r>
    </w:p>
    <w:p>
      <w:pPr>
        <w:pStyle w:val="Heading1"/>
        <w:keepNext w:val="false"/>
        <w:numPr>
          <w:ilvl w:val="1"/>
          <w:numId w:val="3"/>
        </w:numPr>
        <w:spacing w:before="0" w:after="0"/>
        <w:ind w:left="0" w:firstLine="709"/>
        <w:jc w:val="both"/>
        <w:rPr>
          <w:rFonts w:ascii="Times New Roman" w:hAnsi="Times New Roman" w:cs="Times New Roman"/>
          <w:sz w:val="24"/>
          <w:szCs w:val="24"/>
          <w:lang w:val="en-US"/>
        </w:rPr>
      </w:pPr>
      <w:r>
        <w:rPr>
          <w:rFonts w:cs="Times New Roman" w:ascii="Times New Roman" w:hAnsi="Times New Roman"/>
          <w:sz w:val="24"/>
          <w:szCs w:val="24"/>
          <w:lang w:val="en-US"/>
        </w:rPr>
        <w:t xml:space="preserve">Цель использования </w:t>
      </w:r>
      <w:r>
        <w:rPr>
          <w:rFonts w:cs="Times New Roman" w:ascii="Times New Roman" w:hAnsi="Times New Roman"/>
          <w:sz w:val="24"/>
          <w:szCs w:val="24"/>
        </w:rPr>
        <w:t>поставляемого</w:t>
      </w:r>
      <w:r>
        <w:rPr>
          <w:rFonts w:cs="Times New Roman" w:ascii="Times New Roman" w:hAnsi="Times New Roman"/>
          <w:sz w:val="24"/>
          <w:szCs w:val="24"/>
          <w:lang w:val="en-US"/>
        </w:rPr>
        <w:t xml:space="preserve"> Товара</w:t>
      </w:r>
    </w:p>
    <w:p>
      <w:pPr>
        <w:pStyle w:val="Normal"/>
        <w:ind w:firstLine="709"/>
        <w:jc w:val="both"/>
        <w:rPr>
          <w:sz w:val="24"/>
          <w:szCs w:val="24"/>
        </w:rPr>
      </w:pPr>
      <w:r>
        <w:rPr>
          <w:sz w:val="24"/>
          <w:szCs w:val="24"/>
        </w:rPr>
        <w:t>Стандартизированные сухогрузные контейнеры, бывшие в эксплуатации, поставляются для собственных нужд Филиала ПАО «РусГидро» - «Чебоксарская ГЭС» с целью организации защитных сооружений.</w:t>
      </w:r>
    </w:p>
    <w:p>
      <w:pPr>
        <w:pStyle w:val="Normal"/>
        <w:ind w:firstLine="709"/>
        <w:jc w:val="both"/>
        <w:rPr>
          <w:sz w:val="24"/>
          <w:szCs w:val="24"/>
        </w:rPr>
      </w:pPr>
      <w:r>
        <w:rPr>
          <w:sz w:val="24"/>
          <w:szCs w:val="24"/>
        </w:rPr>
      </w:r>
    </w:p>
    <w:p>
      <w:pPr>
        <w:pStyle w:val="Normal"/>
        <w:widowControl/>
        <w:numPr>
          <w:ilvl w:val="1"/>
          <w:numId w:val="3"/>
        </w:numPr>
        <w:ind w:left="0" w:firstLine="709"/>
        <w:jc w:val="both"/>
        <w:rPr>
          <w:sz w:val="24"/>
          <w:szCs w:val="24"/>
        </w:rPr>
      </w:pPr>
      <w:r>
        <w:rPr>
          <w:b/>
          <w:sz w:val="24"/>
          <w:szCs w:val="24"/>
        </w:rPr>
        <w:t>Существующее положение</w:t>
      </w:r>
    </w:p>
    <w:p>
      <w:pPr>
        <w:pStyle w:val="Normal"/>
        <w:ind w:firstLine="709"/>
        <w:jc w:val="both"/>
        <w:rPr>
          <w:sz w:val="24"/>
          <w:szCs w:val="24"/>
        </w:rPr>
      </w:pPr>
      <w:r>
        <w:rPr>
          <w:sz w:val="24"/>
          <w:szCs w:val="24"/>
        </w:rPr>
        <w:t>В настоящий момент на Филиале ПАО «РусГидро» - «Чебоксарская ГЭС» существующие защитные сооружения не достаточно эффективны.</w:t>
      </w:r>
    </w:p>
    <w:p>
      <w:pPr>
        <w:pStyle w:val="Normal"/>
        <w:ind w:firstLine="709"/>
        <w:jc w:val="both"/>
        <w:rPr>
          <w:sz w:val="24"/>
          <w:szCs w:val="24"/>
        </w:rPr>
      </w:pPr>
      <w:r>
        <w:rPr>
          <w:sz w:val="24"/>
          <w:szCs w:val="24"/>
        </w:rPr>
      </w:r>
    </w:p>
    <w:p>
      <w:pPr>
        <w:pStyle w:val="Style30"/>
        <w:numPr>
          <w:ilvl w:val="1"/>
          <w:numId w:val="3"/>
        </w:numPr>
        <w:tabs>
          <w:tab w:val="clear" w:pos="708"/>
          <w:tab w:val="left" w:pos="709" w:leader="none"/>
        </w:tabs>
        <w:ind w:left="0" w:firstLine="709"/>
        <w:jc w:val="both"/>
        <w:rPr>
          <w:b/>
          <w:sz w:val="24"/>
          <w:szCs w:val="24"/>
          <w:lang w:eastAsia="en-US"/>
        </w:rPr>
      </w:pPr>
      <w:r>
        <w:rPr>
          <w:b/>
          <w:sz w:val="24"/>
          <w:szCs w:val="24"/>
        </w:rPr>
        <w:t>Информация в отношении исполнения договора (в том числе перечень ресурсов, услуг и документов, предоставляемых Покупателем на</w:t>
      </w:r>
      <w:r>
        <w:rPr>
          <w:b/>
          <w:sz w:val="24"/>
          <w:szCs w:val="24"/>
          <w:lang w:val="en-US"/>
        </w:rPr>
        <w:t> </w:t>
      </w:r>
      <w:r>
        <w:rPr>
          <w:b/>
          <w:sz w:val="24"/>
          <w:szCs w:val="24"/>
        </w:rPr>
        <w:t>этапе исполнения договора)</w:t>
      </w:r>
    </w:p>
    <w:p>
      <w:pPr>
        <w:pStyle w:val="Style30"/>
        <w:tabs>
          <w:tab w:val="clear" w:pos="708"/>
          <w:tab w:val="left" w:pos="1418" w:leader="none"/>
        </w:tabs>
        <w:ind w:left="142" w:firstLine="567"/>
        <w:jc w:val="both"/>
        <w:rPr>
          <w:sz w:val="24"/>
          <w:szCs w:val="24"/>
          <w:lang w:eastAsia="en-US"/>
        </w:rPr>
      </w:pPr>
      <w:r>
        <w:rPr>
          <w:sz w:val="24"/>
          <w:szCs w:val="24"/>
          <w:lang w:eastAsia="en-US"/>
        </w:rPr>
        <w:t>1.5.1.</w:t>
        <w:tab/>
        <w:t>Допуск на объект Покупателя осуществляется согласно Регламенту допуска персонала подрядных организаций на объекты ПАО «РусГидро» (Приложение 1 к настоящим ТТ).</w:t>
      </w:r>
    </w:p>
    <w:p>
      <w:pPr>
        <w:pStyle w:val="Style30"/>
        <w:tabs>
          <w:tab w:val="clear" w:pos="708"/>
          <w:tab w:val="left" w:pos="1418" w:leader="none"/>
        </w:tabs>
        <w:ind w:left="142" w:firstLine="567"/>
        <w:jc w:val="both"/>
        <w:rPr>
          <w:sz w:val="24"/>
          <w:szCs w:val="24"/>
          <w:lang w:eastAsia="en-US"/>
        </w:rPr>
      </w:pPr>
      <w:r>
        <w:rPr>
          <w:sz w:val="24"/>
          <w:szCs w:val="24"/>
          <w:lang w:eastAsia="en-US"/>
        </w:rPr>
        <w:t>1.5.2.</w:t>
        <w:tab/>
        <w:t>В целях своевременного выявления лиц, представляющих потенциальную угрозу функционированию объектов энергетики ПАО «РусГидро», для допуска на территорию Филиала Поставщик обязан дополнительно предоставить за 30 рабочих дней до начала проведения входного контроля Товара следующие документы на своих работников, направляемых для осуществления входного контроля поставляемого Товара в Филиал:</w:t>
      </w:r>
    </w:p>
    <w:p>
      <w:pPr>
        <w:pStyle w:val="Style30"/>
        <w:numPr>
          <w:ilvl w:val="0"/>
          <w:numId w:val="4"/>
        </w:numPr>
        <w:tabs>
          <w:tab w:val="clear" w:pos="708"/>
          <w:tab w:val="left" w:pos="1134" w:leader="none"/>
        </w:tabs>
        <w:ind w:left="170" w:firstLine="680"/>
        <w:jc w:val="both"/>
        <w:rPr>
          <w:sz w:val="24"/>
          <w:szCs w:val="24"/>
          <w:lang w:eastAsia="en-US"/>
        </w:rPr>
      </w:pPr>
      <w:r>
        <w:rPr>
          <w:sz w:val="24"/>
          <w:szCs w:val="24"/>
          <w:lang w:eastAsia="en-US"/>
        </w:rPr>
        <w:t>сведения, подтверждающие принадлежность направляемых лиц к организации (копии трудового договора или копии трудовых книжек, или копии приказов о приёме на работу);</w:t>
      </w:r>
    </w:p>
    <w:p>
      <w:pPr>
        <w:pStyle w:val="Style30"/>
        <w:numPr>
          <w:ilvl w:val="0"/>
          <w:numId w:val="4"/>
        </w:numPr>
        <w:tabs>
          <w:tab w:val="clear" w:pos="708"/>
          <w:tab w:val="left" w:pos="1134" w:leader="none"/>
        </w:tabs>
        <w:ind w:left="170" w:firstLine="680"/>
        <w:jc w:val="both"/>
        <w:rPr>
          <w:sz w:val="24"/>
          <w:szCs w:val="24"/>
          <w:lang w:eastAsia="en-US"/>
        </w:rPr>
      </w:pPr>
      <w:r>
        <w:rPr>
          <w:sz w:val="24"/>
          <w:szCs w:val="24"/>
          <w:lang w:eastAsia="en-US"/>
        </w:rPr>
        <w:t>копию страниц паспорта;</w:t>
      </w:r>
    </w:p>
    <w:p>
      <w:pPr>
        <w:pStyle w:val="Style30"/>
        <w:numPr>
          <w:ilvl w:val="0"/>
          <w:numId w:val="4"/>
        </w:numPr>
        <w:tabs>
          <w:tab w:val="clear" w:pos="708"/>
          <w:tab w:val="left" w:pos="1134" w:leader="none"/>
        </w:tabs>
        <w:ind w:left="170" w:firstLine="680"/>
        <w:jc w:val="both"/>
        <w:rPr>
          <w:sz w:val="24"/>
          <w:szCs w:val="24"/>
          <w:lang w:eastAsia="en-US"/>
        </w:rPr>
      </w:pPr>
      <w:r>
        <w:rPr>
          <w:sz w:val="24"/>
          <w:szCs w:val="24"/>
          <w:lang w:eastAsia="en-US"/>
        </w:rPr>
        <w:t>справку об отсутствии судимости;</w:t>
      </w:r>
    </w:p>
    <w:p>
      <w:pPr>
        <w:pStyle w:val="Style30"/>
        <w:numPr>
          <w:ilvl w:val="0"/>
          <w:numId w:val="4"/>
        </w:numPr>
        <w:tabs>
          <w:tab w:val="clear" w:pos="708"/>
          <w:tab w:val="left" w:pos="1134" w:leader="none"/>
        </w:tabs>
        <w:ind w:left="170" w:firstLine="680"/>
        <w:jc w:val="both"/>
        <w:rPr>
          <w:sz w:val="24"/>
          <w:szCs w:val="24"/>
          <w:lang w:eastAsia="en-US"/>
        </w:rPr>
      </w:pPr>
      <w:r>
        <w:rPr>
          <w:sz w:val="24"/>
          <w:szCs w:val="24"/>
          <w:lang w:eastAsia="en-US"/>
        </w:rPr>
        <w:t>заполненную анкету и согласие на обработку персональных данных (Приложение 2 к настоящим ТТ).</w:t>
      </w:r>
    </w:p>
    <w:p>
      <w:pPr>
        <w:pStyle w:val="Style30"/>
        <w:tabs>
          <w:tab w:val="clear" w:pos="708"/>
          <w:tab w:val="left" w:pos="1418" w:leader="none"/>
        </w:tabs>
        <w:ind w:left="142" w:firstLine="567"/>
        <w:jc w:val="both"/>
        <w:rPr>
          <w:sz w:val="24"/>
          <w:szCs w:val="24"/>
          <w:lang w:eastAsia="en-US"/>
        </w:rPr>
      </w:pPr>
      <w:r>
        <w:rPr>
          <w:sz w:val="24"/>
          <w:szCs w:val="24"/>
          <w:lang w:eastAsia="en-US"/>
        </w:rPr>
        <w:t>1.5.3.</w:t>
        <w:tab/>
        <w:t>В дополнение к пунктам 1.5.1 и 1.5.2 настоящего раздела допуск на территорию Филиала осуществляется с учетом местной эпидемиологической обстановки, рекомендаций территориального органа Роспотребнадзора и регионального органа государственного управления, о чем Покупатель заблаговременно уведомляет Поставщика до начала проведения входного контроля поставляемого Товара (в случае изменения эпидемиологической обстановки).</w:t>
      </w:r>
    </w:p>
    <w:p>
      <w:pPr>
        <w:pStyle w:val="Heading1"/>
        <w:keepLines/>
        <w:widowControl/>
        <w:tabs>
          <w:tab w:val="clear" w:pos="708"/>
          <w:tab w:val="left" w:pos="1134" w:leader="none"/>
        </w:tabs>
        <w:spacing w:lineRule="auto" w:line="276" w:before="0" w:after="0"/>
        <w:ind w:right="141" w:hanging="0"/>
        <w:jc w:val="both"/>
        <w:rPr>
          <w:rFonts w:ascii="Times New Roman" w:hAnsi="Times New Roman" w:cs="Times New Roman"/>
          <w:sz w:val="24"/>
          <w:szCs w:val="24"/>
        </w:rPr>
      </w:pPr>
      <w:r>
        <w:rPr>
          <w:rFonts w:cs="Times New Roman" w:ascii="Times New Roman" w:hAnsi="Times New Roman"/>
          <w:sz w:val="24"/>
          <w:szCs w:val="24"/>
        </w:rPr>
      </w:r>
    </w:p>
    <w:p>
      <w:pPr>
        <w:pStyle w:val="Heading1"/>
        <w:keepLines/>
        <w:widowControl/>
        <w:numPr>
          <w:ilvl w:val="0"/>
          <w:numId w:val="3"/>
        </w:numPr>
        <w:tabs>
          <w:tab w:val="clear" w:pos="708"/>
          <w:tab w:val="left" w:pos="709" w:leader="none"/>
          <w:tab w:val="left" w:pos="851" w:leader="none"/>
        </w:tabs>
        <w:spacing w:lineRule="auto" w:line="276" w:before="0" w:after="0"/>
        <w:ind w:left="0" w:firstLine="567"/>
        <w:jc w:val="both"/>
        <w:rPr>
          <w:rFonts w:ascii="Times New Roman" w:hAnsi="Times New Roman" w:cs="Times New Roman"/>
          <w:sz w:val="24"/>
          <w:szCs w:val="24"/>
          <w:lang w:val="en-US"/>
        </w:rPr>
      </w:pPr>
      <w:bookmarkStart w:id="2" w:name="_Toc119312497"/>
      <w:r>
        <w:rPr>
          <w:rFonts w:cs="Times New Roman" w:ascii="Times New Roman" w:hAnsi="Times New Roman"/>
          <w:sz w:val="24"/>
          <w:szCs w:val="24"/>
        </w:rPr>
        <w:t xml:space="preserve">Требования к </w:t>
      </w:r>
      <w:bookmarkEnd w:id="2"/>
      <w:r>
        <w:rPr>
          <w:rFonts w:cs="Times New Roman" w:ascii="Times New Roman" w:hAnsi="Times New Roman"/>
          <w:sz w:val="24"/>
          <w:szCs w:val="24"/>
          <w:lang w:val="en-US"/>
        </w:rPr>
        <w:t>Товару</w:t>
      </w:r>
    </w:p>
    <w:p>
      <w:pPr>
        <w:pStyle w:val="ListParagraph"/>
        <w:numPr>
          <w:ilvl w:val="1"/>
          <w:numId w:val="3"/>
        </w:numPr>
        <w:tabs>
          <w:tab w:val="clear" w:pos="708"/>
          <w:tab w:val="left" w:pos="993" w:leader="none"/>
        </w:tabs>
        <w:ind w:left="0" w:firstLine="567"/>
        <w:rPr>
          <w:sz w:val="24"/>
          <w:szCs w:val="24"/>
        </w:rPr>
      </w:pPr>
      <w:r>
        <w:rPr>
          <w:b/>
          <w:sz w:val="24"/>
          <w:szCs w:val="24"/>
        </w:rPr>
        <w:t>Требования к объемам и срокам поставки</w:t>
      </w:r>
    </w:p>
    <w:p>
      <w:pPr>
        <w:pStyle w:val="ListParagraph"/>
        <w:numPr>
          <w:ilvl w:val="2"/>
          <w:numId w:val="3"/>
        </w:numPr>
        <w:tabs>
          <w:tab w:val="clear" w:pos="708"/>
          <w:tab w:val="left" w:pos="1276" w:leader="none"/>
        </w:tabs>
        <w:ind w:left="0" w:right="-13" w:firstLine="567"/>
        <w:jc w:val="both"/>
        <w:rPr>
          <w:sz w:val="24"/>
          <w:szCs w:val="24"/>
        </w:rPr>
      </w:pPr>
      <w:r>
        <w:rPr>
          <w:sz w:val="24"/>
          <w:szCs w:val="24"/>
        </w:rPr>
        <w:t>Перечень и объем поставляемого Товара должен соответствовать таблице 1 настоящих ТТ.</w:t>
      </w:r>
    </w:p>
    <w:p>
      <w:pPr>
        <w:pStyle w:val="Normal"/>
        <w:tabs>
          <w:tab w:val="clear" w:pos="708"/>
          <w:tab w:val="left" w:pos="993" w:leader="none"/>
        </w:tabs>
        <w:ind w:firstLine="567"/>
        <w:rPr>
          <w:sz w:val="24"/>
          <w:szCs w:val="24"/>
        </w:rPr>
      </w:pPr>
      <w:r>
        <w:rPr>
          <w:sz w:val="24"/>
          <w:szCs w:val="24"/>
        </w:rPr>
      </w:r>
    </w:p>
    <w:p>
      <w:pPr>
        <w:pStyle w:val="Style30"/>
        <w:numPr>
          <w:ilvl w:val="0"/>
          <w:numId w:val="0"/>
        </w:numPr>
        <w:spacing w:before="0" w:after="120"/>
        <w:ind w:left="0" w:hanging="0"/>
        <w:outlineLvl w:val="0"/>
        <w:rPr>
          <w:b/>
          <w:sz w:val="24"/>
          <w:szCs w:val="24"/>
        </w:rPr>
      </w:pPr>
      <w:r>
        <w:rPr>
          <w:b/>
          <w:sz w:val="24"/>
          <w:szCs w:val="24"/>
        </w:rPr>
        <w:t>Таблица 1. Перечень и объем закупаемого Товара</w:t>
      </w:r>
    </w:p>
    <w:tbl>
      <w:tblPr>
        <w:tblW w:w="10200" w:type="dxa"/>
        <w:jc w:val="left"/>
        <w:tblInd w:w="-5" w:type="dxa"/>
        <w:tblLayout w:type="fixed"/>
        <w:tblCellMar>
          <w:top w:w="0" w:type="dxa"/>
          <w:left w:w="108" w:type="dxa"/>
          <w:bottom w:w="0" w:type="dxa"/>
          <w:right w:w="108" w:type="dxa"/>
        </w:tblCellMar>
        <w:tblLook w:noVBand="0" w:val="0000" w:noHBand="0" w:lastColumn="0" w:firstColumn="0" w:lastRow="0" w:firstRow="0"/>
      </w:tblPr>
      <w:tblGrid>
        <w:gridCol w:w="498"/>
        <w:gridCol w:w="5733"/>
        <w:gridCol w:w="1357"/>
        <w:gridCol w:w="1073"/>
        <w:gridCol w:w="1539"/>
      </w:tblGrid>
      <w:tr>
        <w:trPr>
          <w:trHeight w:val="868"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ind w:left="-112" w:right="-100" w:hanging="0"/>
              <w:jc w:val="center"/>
              <w:rPr>
                <w:sz w:val="24"/>
                <w:szCs w:val="24"/>
              </w:rPr>
            </w:pPr>
            <w:r>
              <w:rPr>
                <w:sz w:val="24"/>
                <w:szCs w:val="24"/>
              </w:rPr>
              <w:t>№</w:t>
            </w:r>
          </w:p>
          <w:p>
            <w:pPr>
              <w:pStyle w:val="Normal"/>
              <w:keepNext w:val="true"/>
              <w:widowControl w:val="false"/>
              <w:ind w:left="-112" w:right="-100" w:hanging="0"/>
              <w:jc w:val="center"/>
              <w:rPr>
                <w:sz w:val="24"/>
                <w:szCs w:val="24"/>
              </w:rPr>
            </w:pPr>
            <w:r>
              <w:rPr>
                <w:sz w:val="24"/>
                <w:szCs w:val="24"/>
              </w:rPr>
              <w:t>п/п</w:t>
            </w:r>
          </w:p>
        </w:tc>
        <w:tc>
          <w:tcPr>
            <w:tcW w:w="5733"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lang w:val="en-US"/>
              </w:rPr>
            </w:pPr>
            <w:r>
              <w:rPr>
                <w:sz w:val="24"/>
                <w:szCs w:val="24"/>
              </w:rPr>
              <w:t xml:space="preserve">Наименование </w:t>
            </w:r>
            <w:r>
              <w:rPr>
                <w:sz w:val="24"/>
                <w:szCs w:val="24"/>
                <w:lang w:val="en-US"/>
              </w:rPr>
              <w:t>Товара</w:t>
            </w:r>
          </w:p>
        </w:tc>
        <w:tc>
          <w:tcPr>
            <w:tcW w:w="1357"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Единица измерения</w:t>
            </w:r>
          </w:p>
        </w:tc>
        <w:tc>
          <w:tcPr>
            <w:tcW w:w="1073" w:type="dxa"/>
            <w:tcBorders>
              <w:top w:val="single" w:sz="4" w:space="0" w:color="000000"/>
              <w:left w:val="single" w:sz="4" w:space="0" w:color="000000"/>
              <w:bottom w:val="single" w:sz="4" w:space="0" w:color="000000"/>
            </w:tcBorders>
            <w:vAlign w:val="center"/>
          </w:tcPr>
          <w:p>
            <w:pPr>
              <w:pStyle w:val="Normal"/>
              <w:keepNext w:val="true"/>
              <w:widowControl w:val="false"/>
              <w:jc w:val="center"/>
              <w:rPr>
                <w:sz w:val="24"/>
                <w:szCs w:val="24"/>
              </w:rPr>
            </w:pPr>
            <w:r>
              <w:rPr>
                <w:sz w:val="24"/>
                <w:szCs w:val="24"/>
              </w:rPr>
              <w:t>Коли-чество</w:t>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Код классифи-катора ОФ</w:t>
            </w:r>
          </w:p>
        </w:tc>
      </w:tr>
      <w:tr>
        <w:trPr/>
        <w:tc>
          <w:tcPr>
            <w:tcW w:w="4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1</w:t>
            </w:r>
          </w:p>
        </w:tc>
        <w:tc>
          <w:tcPr>
            <w:tcW w:w="5733"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center"/>
              <w:rPr>
                <w:sz w:val="24"/>
                <w:szCs w:val="24"/>
              </w:rPr>
            </w:pPr>
            <w:r>
              <w:rPr>
                <w:sz w:val="24"/>
                <w:szCs w:val="24"/>
              </w:rPr>
              <w:t>2</w:t>
            </w:r>
          </w:p>
        </w:tc>
        <w:tc>
          <w:tcPr>
            <w:tcW w:w="135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3</w:t>
            </w:r>
          </w:p>
        </w:tc>
        <w:tc>
          <w:tcPr>
            <w:tcW w:w="1073" w:type="dxa"/>
            <w:tcBorders>
              <w:top w:val="single" w:sz="4" w:space="0" w:color="000000"/>
              <w:left w:val="single" w:sz="4" w:space="0" w:color="000000"/>
              <w:bottom w:val="single" w:sz="4" w:space="0" w:color="000000"/>
            </w:tcBorders>
          </w:tcPr>
          <w:p>
            <w:pPr>
              <w:pStyle w:val="Normal"/>
              <w:widowControl w:val="false"/>
              <w:jc w:val="center"/>
              <w:rPr>
                <w:sz w:val="24"/>
                <w:szCs w:val="24"/>
              </w:rPr>
            </w:pPr>
            <w:r>
              <w:rPr>
                <w:sz w:val="24"/>
                <w:szCs w:val="24"/>
              </w:rPr>
              <w:t>4</w:t>
            </w:r>
          </w:p>
        </w:tc>
        <w:tc>
          <w:tcPr>
            <w:tcW w:w="15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r>
          </w:p>
        </w:tc>
      </w:tr>
      <w:tr>
        <w:trPr>
          <w:trHeight w:val="193"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12" w:right="-112" w:hanging="0"/>
              <w:contextualSpacing/>
              <w:jc w:val="center"/>
              <w:rPr>
                <w:b/>
                <w:iCs/>
                <w:sz w:val="24"/>
                <w:szCs w:val="24"/>
                <w:lang w:val="en-US"/>
              </w:rPr>
            </w:pPr>
            <w:r>
              <w:rPr>
                <w:b/>
                <w:iCs/>
                <w:sz w:val="24"/>
                <w:szCs w:val="24"/>
                <w:lang w:val="en-US"/>
              </w:rPr>
              <w:t>1</w:t>
            </w:r>
          </w:p>
        </w:tc>
        <w:tc>
          <w:tcPr>
            <w:tcW w:w="8163" w:type="dxa"/>
            <w:gridSpan w:val="3"/>
            <w:tcBorders>
              <w:top w:val="single" w:sz="4" w:space="0" w:color="000000"/>
              <w:left w:val="single" w:sz="4" w:space="0" w:color="000000"/>
              <w:bottom w:val="single" w:sz="4" w:space="0" w:color="000000"/>
            </w:tcBorders>
            <w:vAlign w:val="center"/>
          </w:tcPr>
          <w:p>
            <w:pPr>
              <w:pStyle w:val="Normal"/>
              <w:widowControl w:val="false"/>
              <w:rPr>
                <w:iCs/>
                <w:sz w:val="24"/>
                <w:szCs w:val="24"/>
                <w:lang w:val="en-US"/>
              </w:rPr>
            </w:pPr>
            <w:r>
              <w:rPr>
                <w:b/>
                <w:iCs/>
                <w:sz w:val="24"/>
                <w:szCs w:val="24"/>
                <w:lang w:val="en-US"/>
              </w:rPr>
              <w:t>Партия № 1:</w:t>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iCs/>
                <w:sz w:val="24"/>
                <w:szCs w:val="24"/>
                <w:lang w:val="en-US"/>
              </w:rPr>
            </w:pPr>
            <w:r>
              <w:rPr>
                <w:iCs/>
                <w:sz w:val="24"/>
                <w:szCs w:val="24"/>
                <w:lang w:val="en-US"/>
              </w:rPr>
            </w:r>
          </w:p>
        </w:tc>
      </w:tr>
      <w:tr>
        <w:trPr>
          <w:trHeight w:val="613"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12" w:right="-112" w:hanging="0"/>
              <w:contextualSpacing/>
              <w:jc w:val="center"/>
              <w:rPr>
                <w:iCs/>
                <w:sz w:val="24"/>
                <w:szCs w:val="24"/>
                <w:lang w:val="en-US"/>
              </w:rPr>
            </w:pPr>
            <w:r>
              <w:rPr>
                <w:iCs/>
                <w:sz w:val="24"/>
                <w:szCs w:val="24"/>
                <w:lang w:val="en-US"/>
              </w:rPr>
              <w:t>1.1</w:t>
            </w:r>
          </w:p>
        </w:tc>
        <w:tc>
          <w:tcPr>
            <w:tcW w:w="57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both"/>
              <w:rPr>
                <w:iCs/>
                <w:sz w:val="24"/>
                <w:szCs w:val="24"/>
              </w:rPr>
            </w:pPr>
            <w:r>
              <w:rPr>
                <w:iCs/>
                <w:sz w:val="24"/>
                <w:szCs w:val="24"/>
              </w:rPr>
              <w:t xml:space="preserve">Контейнер сухогрузный </w:t>
            </w:r>
            <w:r>
              <w:rPr>
                <w:sz w:val="24"/>
                <w:szCs w:val="24"/>
              </w:rPr>
              <w:t>(</w:t>
            </w:r>
            <w:r>
              <w:rPr>
                <w:bCs/>
                <w:sz w:val="24"/>
                <w:szCs w:val="24"/>
              </w:rPr>
              <w:t>типа Dry Cu</w:t>
            </w:r>
            <w:r>
              <w:rPr>
                <w:sz w:val="24"/>
                <w:szCs w:val="24"/>
              </w:rPr>
              <w:t>be</w:t>
            </w:r>
            <w:r>
              <w:rPr>
                <w:bCs/>
                <w:sz w:val="24"/>
                <w:szCs w:val="24"/>
              </w:rPr>
              <w:t>), 20-ти футовый</w:t>
            </w:r>
          </w:p>
        </w:tc>
        <w:tc>
          <w:tcPr>
            <w:tcW w:w="13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Cs/>
                <w:sz w:val="24"/>
                <w:szCs w:val="24"/>
                <w:lang w:val="en-US"/>
              </w:rPr>
            </w:pPr>
            <w:r>
              <w:rPr>
                <w:iCs/>
                <w:sz w:val="24"/>
                <w:szCs w:val="24"/>
                <w:lang w:val="en-US"/>
              </w:rPr>
              <w:t>шт.</w:t>
            </w:r>
          </w:p>
        </w:tc>
        <w:tc>
          <w:tcPr>
            <w:tcW w:w="1073" w:type="dxa"/>
            <w:tcBorders>
              <w:top w:val="single" w:sz="4" w:space="0" w:color="000000"/>
              <w:left w:val="single" w:sz="4" w:space="0" w:color="000000"/>
              <w:bottom w:val="single" w:sz="4" w:space="0" w:color="000000"/>
            </w:tcBorders>
            <w:vAlign w:val="center"/>
          </w:tcPr>
          <w:p>
            <w:pPr>
              <w:pStyle w:val="Normal"/>
              <w:widowControl w:val="false"/>
              <w:jc w:val="center"/>
              <w:rPr>
                <w:iCs/>
                <w:sz w:val="24"/>
                <w:szCs w:val="24"/>
                <w:lang w:val="en-US"/>
              </w:rPr>
            </w:pPr>
            <w:r>
              <w:rPr>
                <w:iCs/>
                <w:sz w:val="24"/>
                <w:szCs w:val="24"/>
                <w:lang w:val="en-US"/>
              </w:rPr>
              <w:t>102</w:t>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Cs/>
                <w:sz w:val="24"/>
                <w:szCs w:val="24"/>
                <w:lang w:val="en-US"/>
              </w:rPr>
            </w:pPr>
            <w:r>
              <w:rPr>
                <w:iCs/>
                <w:sz w:val="24"/>
                <w:szCs w:val="24"/>
                <w:lang w:val="en-US"/>
              </w:rPr>
              <w:t>8170104</w:t>
            </w:r>
          </w:p>
        </w:tc>
      </w:tr>
      <w:tr>
        <w:trPr>
          <w:trHeight w:val="155"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12" w:right="-112" w:hanging="0"/>
              <w:contextualSpacing/>
              <w:jc w:val="center"/>
              <w:rPr>
                <w:b/>
                <w:iCs/>
                <w:sz w:val="24"/>
                <w:szCs w:val="24"/>
                <w:lang w:val="en-US"/>
              </w:rPr>
            </w:pPr>
            <w:r>
              <w:rPr>
                <w:b/>
                <w:iCs/>
                <w:sz w:val="24"/>
                <w:szCs w:val="24"/>
                <w:lang w:val="en-US"/>
              </w:rPr>
              <w:t>2</w:t>
            </w:r>
          </w:p>
        </w:tc>
        <w:tc>
          <w:tcPr>
            <w:tcW w:w="8163" w:type="dxa"/>
            <w:gridSpan w:val="3"/>
            <w:tcBorders>
              <w:top w:val="single" w:sz="4" w:space="0" w:color="000000"/>
              <w:left w:val="single" w:sz="4" w:space="0" w:color="000000"/>
              <w:bottom w:val="single" w:sz="4" w:space="0" w:color="000000"/>
            </w:tcBorders>
            <w:vAlign w:val="center"/>
          </w:tcPr>
          <w:p>
            <w:pPr>
              <w:pStyle w:val="Normal"/>
              <w:widowControl w:val="false"/>
              <w:rPr>
                <w:iCs/>
                <w:sz w:val="24"/>
                <w:szCs w:val="24"/>
                <w:lang w:val="en-US"/>
              </w:rPr>
            </w:pPr>
            <w:r>
              <w:rPr>
                <w:b/>
                <w:iCs/>
                <w:sz w:val="24"/>
                <w:szCs w:val="24"/>
                <w:lang w:val="en-US"/>
              </w:rPr>
              <w:t>Партия №2:</w:t>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iCs/>
                <w:sz w:val="24"/>
                <w:szCs w:val="24"/>
                <w:lang w:val="en-US"/>
              </w:rPr>
            </w:pPr>
            <w:r>
              <w:rPr>
                <w:iCs/>
                <w:sz w:val="24"/>
                <w:szCs w:val="24"/>
                <w:lang w:val="en-US"/>
              </w:rPr>
            </w:r>
          </w:p>
        </w:tc>
      </w:tr>
      <w:tr>
        <w:trPr>
          <w:trHeight w:val="613"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12" w:right="-112" w:hanging="0"/>
              <w:contextualSpacing/>
              <w:jc w:val="center"/>
              <w:rPr>
                <w:iCs/>
                <w:sz w:val="24"/>
                <w:szCs w:val="24"/>
                <w:lang w:val="en-US"/>
              </w:rPr>
            </w:pPr>
            <w:r>
              <w:rPr>
                <w:iCs/>
                <w:sz w:val="24"/>
                <w:szCs w:val="24"/>
                <w:lang w:val="en-US"/>
              </w:rPr>
              <w:t>2.1</w:t>
            </w:r>
          </w:p>
        </w:tc>
        <w:tc>
          <w:tcPr>
            <w:tcW w:w="57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rPr>
                <w:iCs/>
                <w:sz w:val="24"/>
                <w:szCs w:val="24"/>
              </w:rPr>
            </w:pPr>
            <w:r>
              <w:rPr>
                <w:iCs/>
                <w:sz w:val="24"/>
                <w:szCs w:val="24"/>
              </w:rPr>
              <w:t xml:space="preserve">Контейнер сухогрузный </w:t>
            </w:r>
            <w:r>
              <w:rPr>
                <w:sz w:val="24"/>
                <w:szCs w:val="24"/>
              </w:rPr>
              <w:t>(</w:t>
            </w:r>
            <w:r>
              <w:rPr>
                <w:bCs/>
                <w:sz w:val="24"/>
                <w:szCs w:val="24"/>
              </w:rPr>
              <w:t>типа Dry Cu</w:t>
            </w:r>
            <w:r>
              <w:rPr>
                <w:sz w:val="24"/>
                <w:szCs w:val="24"/>
              </w:rPr>
              <w:t>be</w:t>
            </w:r>
            <w:r>
              <w:rPr>
                <w:bCs/>
                <w:sz w:val="24"/>
                <w:szCs w:val="24"/>
              </w:rPr>
              <w:t>), 20-ти футовый</w:t>
            </w:r>
          </w:p>
        </w:tc>
        <w:tc>
          <w:tcPr>
            <w:tcW w:w="13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Cs/>
                <w:sz w:val="24"/>
                <w:szCs w:val="24"/>
                <w:lang w:val="en-US"/>
              </w:rPr>
            </w:pPr>
            <w:r>
              <w:rPr>
                <w:iCs/>
                <w:sz w:val="24"/>
                <w:szCs w:val="24"/>
                <w:lang w:val="en-US"/>
              </w:rPr>
              <w:t>шт.</w:t>
            </w:r>
          </w:p>
        </w:tc>
        <w:tc>
          <w:tcPr>
            <w:tcW w:w="1073" w:type="dxa"/>
            <w:tcBorders>
              <w:top w:val="single" w:sz="4" w:space="0" w:color="000000"/>
              <w:left w:val="single" w:sz="4" w:space="0" w:color="000000"/>
              <w:bottom w:val="single" w:sz="4" w:space="0" w:color="000000"/>
            </w:tcBorders>
            <w:vAlign w:val="center"/>
          </w:tcPr>
          <w:p>
            <w:pPr>
              <w:pStyle w:val="Normal"/>
              <w:widowControl w:val="false"/>
              <w:jc w:val="center"/>
              <w:rPr>
                <w:iCs/>
                <w:sz w:val="24"/>
                <w:szCs w:val="24"/>
                <w:lang w:val="en-US"/>
              </w:rPr>
            </w:pPr>
            <w:r>
              <w:rPr>
                <w:iCs/>
                <w:sz w:val="24"/>
                <w:szCs w:val="24"/>
                <w:lang w:val="en-US"/>
              </w:rPr>
              <w:t>42</w:t>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Cs/>
                <w:sz w:val="24"/>
                <w:szCs w:val="24"/>
                <w:lang w:val="en-US"/>
              </w:rPr>
            </w:pPr>
            <w:r>
              <w:rPr>
                <w:iCs/>
                <w:sz w:val="24"/>
                <w:szCs w:val="24"/>
                <w:lang w:val="en-US"/>
              </w:rPr>
              <w:t>8170104</w:t>
            </w:r>
          </w:p>
        </w:tc>
      </w:tr>
      <w:tr>
        <w:trPr>
          <w:trHeight w:val="613"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12" w:right="-112" w:hanging="0"/>
              <w:contextualSpacing/>
              <w:jc w:val="center"/>
              <w:rPr>
                <w:iCs/>
                <w:sz w:val="24"/>
                <w:szCs w:val="24"/>
                <w:lang w:val="en-US"/>
              </w:rPr>
            </w:pPr>
            <w:r>
              <w:rPr>
                <w:iCs/>
                <w:sz w:val="24"/>
                <w:szCs w:val="24"/>
                <w:lang w:val="en-US"/>
              </w:rPr>
              <w:t>2.2</w:t>
            </w:r>
          </w:p>
        </w:tc>
        <w:tc>
          <w:tcPr>
            <w:tcW w:w="5733" w:type="dxa"/>
            <w:tcBorders>
              <w:top w:val="single" w:sz="4" w:space="0" w:color="000000"/>
              <w:left w:val="single" w:sz="4" w:space="0" w:color="000000"/>
              <w:bottom w:val="single" w:sz="4" w:space="0" w:color="000000"/>
              <w:right w:val="single" w:sz="4" w:space="0" w:color="000000"/>
            </w:tcBorders>
            <w:vAlign w:val="center"/>
          </w:tcPr>
          <w:p>
            <w:pPr>
              <w:pStyle w:val="Heading1"/>
              <w:widowControl w:val="false"/>
              <w:spacing w:before="0" w:after="0"/>
              <w:jc w:val="both"/>
              <w:rPr>
                <w:rFonts w:ascii="Times New Roman" w:hAnsi="Times New Roman" w:cs="Times New Roman"/>
                <w:b w:val="false"/>
                <w:kern w:val="0"/>
                <w:sz w:val="24"/>
                <w:szCs w:val="24"/>
              </w:rPr>
            </w:pPr>
            <w:r>
              <w:rPr>
                <w:rFonts w:cs="Times New Roman" w:ascii="Times New Roman" w:hAnsi="Times New Roman"/>
                <w:b w:val="false"/>
                <w:kern w:val="0"/>
                <w:sz w:val="24"/>
                <w:szCs w:val="24"/>
              </w:rPr>
              <w:t>Контейнер сухогрузный (типа Dry Cube), 40-ка футовый</w:t>
            </w:r>
          </w:p>
        </w:tc>
        <w:tc>
          <w:tcPr>
            <w:tcW w:w="13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Cs/>
                <w:sz w:val="24"/>
                <w:szCs w:val="24"/>
                <w:lang w:val="en-US"/>
              </w:rPr>
            </w:pPr>
            <w:r>
              <w:rPr>
                <w:iCs/>
                <w:sz w:val="24"/>
                <w:szCs w:val="24"/>
                <w:lang w:val="en-US"/>
              </w:rPr>
              <w:t>шт.</w:t>
            </w:r>
          </w:p>
        </w:tc>
        <w:tc>
          <w:tcPr>
            <w:tcW w:w="1073" w:type="dxa"/>
            <w:tcBorders>
              <w:top w:val="single" w:sz="4" w:space="0" w:color="000000"/>
              <w:left w:val="single" w:sz="4" w:space="0" w:color="000000"/>
              <w:bottom w:val="single" w:sz="4" w:space="0" w:color="000000"/>
            </w:tcBorders>
            <w:vAlign w:val="center"/>
          </w:tcPr>
          <w:p>
            <w:pPr>
              <w:pStyle w:val="Normal"/>
              <w:widowControl w:val="false"/>
              <w:jc w:val="center"/>
              <w:rPr>
                <w:iCs/>
                <w:sz w:val="24"/>
                <w:szCs w:val="24"/>
                <w:lang w:val="en-US"/>
              </w:rPr>
            </w:pPr>
            <w:r>
              <w:rPr>
                <w:iCs/>
                <w:sz w:val="24"/>
                <w:szCs w:val="24"/>
                <w:lang w:val="en-US"/>
              </w:rPr>
              <w:t>9</w:t>
            </w:r>
          </w:p>
        </w:tc>
        <w:tc>
          <w:tcPr>
            <w:tcW w:w="15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Cs/>
                <w:sz w:val="24"/>
                <w:szCs w:val="24"/>
                <w:lang w:val="en-US"/>
              </w:rPr>
            </w:pPr>
            <w:r>
              <w:rPr>
                <w:iCs/>
                <w:sz w:val="24"/>
                <w:szCs w:val="24"/>
                <w:lang w:val="en-US"/>
              </w:rPr>
              <w:t>8170104</w:t>
            </w:r>
          </w:p>
        </w:tc>
      </w:tr>
    </w:tbl>
    <w:p>
      <w:pPr>
        <w:pStyle w:val="Style30"/>
        <w:numPr>
          <w:ilvl w:val="0"/>
          <w:numId w:val="0"/>
        </w:numPr>
        <w:ind w:left="0" w:hanging="0"/>
        <w:outlineLvl w:val="0"/>
        <w:rPr>
          <w:b/>
          <w:sz w:val="24"/>
          <w:szCs w:val="24"/>
        </w:rPr>
      </w:pPr>
      <w:r>
        <w:rPr>
          <w:b/>
          <w:sz w:val="24"/>
          <w:szCs w:val="24"/>
        </w:rPr>
      </w:r>
    </w:p>
    <w:p>
      <w:pPr>
        <w:pStyle w:val="ListParagraph"/>
        <w:numPr>
          <w:ilvl w:val="2"/>
          <w:numId w:val="3"/>
        </w:numPr>
        <w:tabs>
          <w:tab w:val="clear" w:pos="708"/>
          <w:tab w:val="left" w:pos="1276" w:leader="none"/>
        </w:tabs>
        <w:ind w:left="0" w:firstLine="567"/>
        <w:jc w:val="both"/>
        <w:rPr>
          <w:sz w:val="24"/>
          <w:szCs w:val="24"/>
        </w:rPr>
      </w:pPr>
      <w:r>
        <w:rPr>
          <w:sz w:val="24"/>
          <w:szCs w:val="24"/>
        </w:rPr>
        <w:t>Требования к срокам поставки Товара должны соответствовать таблице 2 настоящих ТТ.</w:t>
      </w:r>
    </w:p>
    <w:p>
      <w:pPr>
        <w:pStyle w:val="Normal"/>
        <w:ind w:firstLine="567"/>
        <w:rPr>
          <w:sz w:val="24"/>
          <w:szCs w:val="24"/>
        </w:rPr>
      </w:pPr>
      <w:r>
        <w:rPr>
          <w:sz w:val="24"/>
          <w:szCs w:val="24"/>
        </w:rPr>
      </w:r>
    </w:p>
    <w:p>
      <w:pPr>
        <w:pStyle w:val="Style30"/>
        <w:numPr>
          <w:ilvl w:val="0"/>
          <w:numId w:val="0"/>
        </w:numPr>
        <w:spacing w:before="0" w:after="120"/>
        <w:ind w:left="0" w:hanging="0"/>
        <w:outlineLvl w:val="0"/>
        <w:rPr>
          <w:b/>
          <w:sz w:val="24"/>
          <w:szCs w:val="24"/>
        </w:rPr>
      </w:pPr>
      <w:r>
        <w:rPr>
          <w:b/>
          <w:sz w:val="24"/>
          <w:szCs w:val="24"/>
        </w:rPr>
        <w:t>Таблица 2. Требования по срокам поставки Товара</w:t>
      </w:r>
    </w:p>
    <w:p>
      <w:pPr>
        <w:sectPr>
          <w:headerReference w:type="default" r:id="rId8"/>
          <w:headerReference w:type="first" r:id="rId9"/>
          <w:footerReference w:type="default" r:id="rId10"/>
          <w:footerReference w:type="first" r:id="rId11"/>
          <w:type w:val="nextPage"/>
          <w:pgSz w:w="11906" w:h="16838"/>
          <w:pgMar w:left="1134" w:right="567" w:gutter="0" w:header="0" w:top="709" w:footer="0" w:bottom="1701"/>
          <w:pgNumType w:fmt="decimal"/>
          <w:formProt w:val="false"/>
          <w:titlePg/>
          <w:textDirection w:val="lrTb"/>
          <w:docGrid w:type="default" w:linePitch="100" w:charSpace="0"/>
        </w:sectPr>
      </w:pPr>
    </w:p>
    <w:tbl>
      <w:tblPr>
        <w:tblW w:w="10233" w:type="dxa"/>
        <w:jc w:val="left"/>
        <w:tblInd w:w="-5" w:type="dxa"/>
        <w:tblLayout w:type="fixed"/>
        <w:tblCellMar>
          <w:top w:w="0" w:type="dxa"/>
          <w:left w:w="108" w:type="dxa"/>
          <w:bottom w:w="0" w:type="dxa"/>
          <w:right w:w="108" w:type="dxa"/>
        </w:tblCellMar>
        <w:tblLook w:noVBand="0" w:val="0000" w:noHBand="0" w:lastColumn="0" w:firstColumn="0" w:lastRow="0" w:firstRow="0"/>
      </w:tblPr>
      <w:tblGrid>
        <w:gridCol w:w="680"/>
        <w:gridCol w:w="4706"/>
        <w:gridCol w:w="2410"/>
        <w:gridCol w:w="2436"/>
      </w:tblGrid>
      <w:tr>
        <w:trPr>
          <w:trHeight w:val="868" w:hRule="atLeast"/>
        </w:trPr>
        <w:tc>
          <w:tcPr>
            <w:tcW w:w="680"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ind w:left="-112" w:right="-100" w:hanging="0"/>
              <w:jc w:val="center"/>
              <w:rPr>
                <w:sz w:val="22"/>
                <w:szCs w:val="22"/>
              </w:rPr>
            </w:pPr>
            <w:r>
              <w:rPr>
                <w:sz w:val="22"/>
                <w:szCs w:val="22"/>
              </w:rPr>
              <w:t>№</w:t>
            </w:r>
          </w:p>
          <w:p>
            <w:pPr>
              <w:pStyle w:val="Normal"/>
              <w:keepNext w:val="true"/>
              <w:widowControl w:val="false"/>
              <w:ind w:left="-112" w:right="-100" w:hanging="0"/>
              <w:jc w:val="center"/>
              <w:rPr>
                <w:sz w:val="22"/>
                <w:szCs w:val="22"/>
              </w:rPr>
            </w:pPr>
            <w:r>
              <w:rPr>
                <w:sz w:val="22"/>
                <w:szCs w:val="22"/>
              </w:rPr>
              <w:t>п/п</w:t>
            </w:r>
          </w:p>
        </w:tc>
        <w:tc>
          <w:tcPr>
            <w:tcW w:w="470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2"/>
                <w:szCs w:val="22"/>
                <w:lang w:val="en-US"/>
              </w:rPr>
            </w:pPr>
            <w:r>
              <w:rPr>
                <w:sz w:val="24"/>
                <w:szCs w:val="24"/>
              </w:rPr>
              <w:t xml:space="preserve">Наименование </w:t>
            </w:r>
            <w:r>
              <w:rPr>
                <w:sz w:val="24"/>
                <w:szCs w:val="24"/>
                <w:lang w:val="en-US"/>
              </w:rPr>
              <w:t>Товара</w:t>
            </w:r>
            <w:r>
              <w:rPr>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2"/>
                <w:szCs w:val="22"/>
              </w:rPr>
            </w:pPr>
            <w:r>
              <w:rPr>
                <w:sz w:val="24"/>
                <w:szCs w:val="24"/>
              </w:rPr>
              <w:t>Требования к началу срока поставки Товара</w:t>
            </w:r>
          </w:p>
        </w:tc>
        <w:tc>
          <w:tcPr>
            <w:tcW w:w="243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2"/>
                <w:szCs w:val="22"/>
              </w:rPr>
            </w:pPr>
            <w:r>
              <w:rPr>
                <w:sz w:val="24"/>
                <w:szCs w:val="24"/>
              </w:rPr>
              <w:t>Требования к окончанию срока поставки Товара</w:t>
            </w:r>
          </w:p>
        </w:tc>
      </w:tr>
      <w:tr>
        <w:trPr/>
        <w:tc>
          <w:tcPr>
            <w:tcW w:w="68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1</w:t>
            </w:r>
          </w:p>
        </w:tc>
        <w:tc>
          <w:tcPr>
            <w:tcW w:w="4706"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center"/>
              <w:rPr>
                <w:sz w:val="24"/>
                <w:szCs w:val="24"/>
              </w:rPr>
            </w:pPr>
            <w:r>
              <w:rPr>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3</w:t>
            </w:r>
          </w:p>
        </w:tc>
        <w:tc>
          <w:tcPr>
            <w:tcW w:w="24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4</w:t>
            </w:r>
          </w:p>
        </w:tc>
      </w:tr>
      <w:tr>
        <w:trPr>
          <w:trHeight w:val="613" w:hRule="atLeast"/>
        </w:trPr>
        <w:tc>
          <w:tcPr>
            <w:tcW w:w="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12" w:right="-112" w:hanging="0"/>
              <w:contextualSpacing/>
              <w:jc w:val="center"/>
              <w:rPr>
                <w:iCs/>
                <w:sz w:val="24"/>
                <w:szCs w:val="24"/>
                <w:lang w:val="en-US"/>
              </w:rPr>
            </w:pPr>
            <w:r>
              <w:rPr>
                <w:iCs/>
                <w:sz w:val="24"/>
                <w:szCs w:val="24"/>
                <w:lang w:val="en-US"/>
              </w:rPr>
              <w:t>1</w:t>
            </w:r>
          </w:p>
        </w:tc>
        <w:tc>
          <w:tcPr>
            <w:tcW w:w="4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both"/>
              <w:rPr>
                <w:b/>
                <w:iCs/>
                <w:sz w:val="24"/>
                <w:szCs w:val="24"/>
              </w:rPr>
            </w:pPr>
            <w:r>
              <w:rPr>
                <w:b/>
                <w:iCs/>
                <w:sz w:val="24"/>
                <w:szCs w:val="24"/>
              </w:rPr>
              <w:t xml:space="preserve">Партия №1 </w:t>
            </w:r>
          </w:p>
          <w:p>
            <w:pPr>
              <w:pStyle w:val="Normal"/>
              <w:widowControl w:val="false"/>
              <w:spacing w:before="0" w:after="0"/>
              <w:contextualSpacing/>
              <w:jc w:val="both"/>
              <w:rPr>
                <w:iCs/>
                <w:sz w:val="24"/>
                <w:szCs w:val="24"/>
              </w:rPr>
            </w:pPr>
            <w:r>
              <w:rPr>
                <w:iCs/>
                <w:sz w:val="24"/>
                <w:szCs w:val="24"/>
              </w:rPr>
              <w:t>в составе:</w:t>
            </w:r>
          </w:p>
          <w:p>
            <w:pPr>
              <w:pStyle w:val="ListParagraph"/>
              <w:widowControl w:val="false"/>
              <w:numPr>
                <w:ilvl w:val="0"/>
                <w:numId w:val="14"/>
              </w:numPr>
              <w:ind w:left="487" w:hanging="487"/>
              <w:jc w:val="both"/>
              <w:rPr>
                <w:iCs/>
                <w:sz w:val="24"/>
                <w:szCs w:val="24"/>
              </w:rPr>
            </w:pPr>
            <w:r>
              <w:rPr>
                <w:iCs/>
                <w:sz w:val="24"/>
                <w:szCs w:val="24"/>
              </w:rPr>
              <w:t xml:space="preserve">контейнер сухогрузный </w:t>
            </w:r>
            <w:r>
              <w:rPr>
                <w:sz w:val="24"/>
                <w:szCs w:val="24"/>
              </w:rPr>
              <w:t>(</w:t>
            </w:r>
            <w:r>
              <w:rPr>
                <w:bCs/>
                <w:sz w:val="24"/>
                <w:szCs w:val="24"/>
              </w:rPr>
              <w:t>типа Dry Cu</w:t>
            </w:r>
            <w:r>
              <w:rPr>
                <w:sz w:val="24"/>
                <w:szCs w:val="24"/>
              </w:rPr>
              <w:t>be</w:t>
            </w:r>
            <w:r>
              <w:rPr>
                <w:bCs/>
                <w:sz w:val="24"/>
                <w:szCs w:val="24"/>
              </w:rPr>
              <w:t>), 20-ти футовый – 102 шт.</w:t>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Cs/>
                <w:sz w:val="24"/>
                <w:szCs w:val="24"/>
              </w:rPr>
            </w:pPr>
            <w:r>
              <w:rPr>
                <w:sz w:val="24"/>
                <w:szCs w:val="24"/>
              </w:rPr>
              <w:t>с даты, следующей за датой заключения Договора</w:t>
            </w:r>
          </w:p>
        </w:tc>
        <w:tc>
          <w:tcPr>
            <w:tcW w:w="24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iCs/>
                <w:sz w:val="24"/>
                <w:szCs w:val="24"/>
                <w:shd w:fill="auto" w:val="clear"/>
              </w:rPr>
              <w:t>в течение 30 рабочих дней после даты заключения договора</w:t>
            </w:r>
          </w:p>
        </w:tc>
      </w:tr>
      <w:tr>
        <w:trPr>
          <w:trHeight w:val="613" w:hRule="atLeast"/>
        </w:trPr>
        <w:tc>
          <w:tcPr>
            <w:tcW w:w="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112" w:right="-112" w:hanging="0"/>
              <w:contextualSpacing/>
              <w:jc w:val="center"/>
              <w:rPr>
                <w:iCs/>
                <w:sz w:val="24"/>
                <w:szCs w:val="24"/>
              </w:rPr>
            </w:pPr>
            <w:r>
              <w:rPr>
                <w:iCs/>
                <w:sz w:val="24"/>
                <w:szCs w:val="24"/>
              </w:rPr>
              <w:t>2</w:t>
            </w:r>
          </w:p>
        </w:tc>
        <w:tc>
          <w:tcPr>
            <w:tcW w:w="4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both"/>
              <w:rPr>
                <w:b/>
                <w:iCs/>
                <w:sz w:val="24"/>
                <w:szCs w:val="24"/>
              </w:rPr>
            </w:pPr>
            <w:r>
              <w:rPr>
                <w:b/>
                <w:iCs/>
                <w:sz w:val="24"/>
                <w:szCs w:val="24"/>
              </w:rPr>
              <w:t>Партия №2</w:t>
            </w:r>
          </w:p>
          <w:p>
            <w:pPr>
              <w:pStyle w:val="Normal"/>
              <w:widowControl w:val="false"/>
              <w:spacing w:before="0" w:after="0"/>
              <w:contextualSpacing/>
              <w:jc w:val="both"/>
              <w:rPr>
                <w:iCs/>
                <w:sz w:val="24"/>
                <w:szCs w:val="24"/>
              </w:rPr>
            </w:pPr>
            <w:r>
              <w:rPr>
                <w:iCs/>
                <w:sz w:val="24"/>
                <w:szCs w:val="24"/>
              </w:rPr>
              <w:t>в составе:</w:t>
            </w:r>
          </w:p>
          <w:p>
            <w:pPr>
              <w:pStyle w:val="ListParagraph"/>
              <w:widowControl w:val="false"/>
              <w:numPr>
                <w:ilvl w:val="0"/>
                <w:numId w:val="14"/>
              </w:numPr>
              <w:ind w:left="487" w:hanging="487"/>
              <w:jc w:val="both"/>
              <w:rPr>
                <w:iCs/>
                <w:sz w:val="24"/>
                <w:szCs w:val="24"/>
              </w:rPr>
            </w:pPr>
            <w:r>
              <w:rPr>
                <w:iCs/>
                <w:sz w:val="24"/>
                <w:szCs w:val="24"/>
              </w:rPr>
              <w:t xml:space="preserve">контейнер сухогрузный </w:t>
            </w:r>
            <w:r>
              <w:rPr>
                <w:sz w:val="24"/>
                <w:szCs w:val="24"/>
              </w:rPr>
              <w:t>(</w:t>
            </w:r>
            <w:r>
              <w:rPr>
                <w:bCs/>
                <w:sz w:val="24"/>
                <w:szCs w:val="24"/>
              </w:rPr>
              <w:t>типа Dry Cu</w:t>
            </w:r>
            <w:r>
              <w:rPr>
                <w:sz w:val="24"/>
                <w:szCs w:val="24"/>
              </w:rPr>
              <w:t>be</w:t>
            </w:r>
            <w:r>
              <w:rPr>
                <w:bCs/>
                <w:sz w:val="24"/>
                <w:szCs w:val="24"/>
              </w:rPr>
              <w:t>), 20-ти футовый – 42 шт.;</w:t>
            </w:r>
          </w:p>
          <w:p>
            <w:pPr>
              <w:pStyle w:val="ListParagraph"/>
              <w:widowControl w:val="false"/>
              <w:numPr>
                <w:ilvl w:val="0"/>
                <w:numId w:val="14"/>
              </w:numPr>
              <w:ind w:left="487" w:hanging="487"/>
              <w:jc w:val="both"/>
              <w:rPr>
                <w:iCs/>
                <w:sz w:val="24"/>
                <w:szCs w:val="24"/>
              </w:rPr>
            </w:pPr>
            <w:r>
              <w:rPr>
                <w:sz w:val="24"/>
                <w:szCs w:val="24"/>
              </w:rPr>
              <w:t>контейнер сухогрузный (типа Dry Cube), 40-ка футовый – 9 шт.</w:t>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Cs/>
                <w:sz w:val="24"/>
                <w:szCs w:val="24"/>
              </w:rPr>
            </w:pPr>
            <w:r>
              <w:rPr>
                <w:sz w:val="24"/>
                <w:szCs w:val="24"/>
              </w:rPr>
              <w:t>с даты, следующей за датой заключения Договора</w:t>
            </w:r>
          </w:p>
        </w:tc>
        <w:tc>
          <w:tcPr>
            <w:tcW w:w="24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iCs/>
                <w:sz w:val="24"/>
                <w:szCs w:val="24"/>
                <w:shd w:fill="auto" w:val="clear"/>
              </w:rPr>
              <w:t>в течение 30 рабочих дней после даты заключения договора</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sectPr>
          <w:type w:val="continuous"/>
          <w:pgSz w:w="11906" w:h="16838"/>
          <w:pgMar w:left="1134" w:right="567" w:gutter="0" w:header="0" w:top="709" w:footer="0" w:bottom="1701"/>
          <w:formProt w:val="false"/>
          <w:textDirection w:val="lrTb"/>
          <w:docGrid w:type="default" w:linePitch="100" w:charSpace="0"/>
        </w:sectPr>
      </w:pPr>
    </w:p>
    <w:p>
      <w:pPr>
        <w:pStyle w:val="Heading1"/>
        <w:keepLines/>
        <w:widowControl/>
        <w:numPr>
          <w:ilvl w:val="1"/>
          <w:numId w:val="3"/>
        </w:numPr>
        <w:tabs>
          <w:tab w:val="clear" w:pos="708"/>
          <w:tab w:val="left" w:pos="851" w:leader="none"/>
        </w:tabs>
        <w:spacing w:lineRule="auto" w:line="276" w:before="0" w:after="0"/>
        <w:ind w:left="0" w:firstLine="709"/>
        <w:jc w:val="both"/>
        <w:rPr>
          <w:rFonts w:ascii="Times New Roman" w:hAnsi="Times New Roman" w:cs="Times New Roman"/>
          <w:sz w:val="24"/>
          <w:szCs w:val="24"/>
        </w:rPr>
      </w:pPr>
      <w:r>
        <w:rPr>
          <w:rFonts w:cs="Times New Roman" w:ascii="Times New Roman" w:hAnsi="Times New Roman"/>
          <w:sz w:val="24"/>
          <w:szCs w:val="24"/>
        </w:rPr>
        <w:t xml:space="preserve">Требования к качеству </w:t>
      </w:r>
      <w:r>
        <w:rPr>
          <w:rFonts w:cs="Times New Roman" w:ascii="Times New Roman" w:hAnsi="Times New Roman"/>
          <w:sz w:val="24"/>
          <w:szCs w:val="24"/>
          <w:lang w:val="en-US"/>
        </w:rPr>
        <w:t>Товара</w:t>
      </w:r>
    </w:p>
    <w:p>
      <w:pPr>
        <w:pStyle w:val="ListParagraph"/>
        <w:numPr>
          <w:ilvl w:val="2"/>
          <w:numId w:val="3"/>
        </w:numPr>
        <w:tabs>
          <w:tab w:val="clear" w:pos="708"/>
          <w:tab w:val="left" w:pos="1418" w:leader="none"/>
        </w:tabs>
        <w:ind w:left="0" w:firstLine="709"/>
        <w:jc w:val="both"/>
        <w:rPr>
          <w:sz w:val="24"/>
          <w:szCs w:val="24"/>
        </w:rPr>
      </w:pPr>
      <w:r>
        <w:rPr>
          <w:sz w:val="24"/>
          <w:szCs w:val="24"/>
        </w:rPr>
        <w:t>Требования к качеству Товара должны соответствовать таблице 3 настоящих ТТ.</w:t>
      </w:r>
    </w:p>
    <w:p>
      <w:pPr>
        <w:pStyle w:val="ListParagraph"/>
        <w:numPr>
          <w:ilvl w:val="2"/>
          <w:numId w:val="3"/>
        </w:numPr>
        <w:tabs>
          <w:tab w:val="clear" w:pos="708"/>
          <w:tab w:val="left" w:pos="1418" w:leader="none"/>
        </w:tabs>
        <w:ind w:left="0" w:firstLine="709"/>
        <w:jc w:val="both"/>
        <w:rPr>
          <w:sz w:val="24"/>
          <w:szCs w:val="24"/>
        </w:rPr>
      </w:pPr>
      <w:r>
        <w:rPr>
          <w:sz w:val="24"/>
          <w:szCs w:val="24"/>
        </w:rPr>
        <w:t>Участник должен подтвердить объемы и сроки поставки Товара, указанные в таблицах 1 и 2, а также представить техническое предложение в формате таблицы 3 настоящих ТТ. В техническом предложении Участник должен заполнить столбцы 4, 5, 6 таблицы 3 на соответствие требованиям Покупателя, указанными в столбце 3 вышеуказанной таблицы. Неисполнение данных требований будет служить основанием для отклонения заявки Участника.</w:t>
      </w:r>
    </w:p>
    <w:p>
      <w:pPr>
        <w:pStyle w:val="ListParagraph"/>
        <w:tabs>
          <w:tab w:val="clear" w:pos="708"/>
          <w:tab w:val="left" w:pos="1418" w:leader="none"/>
        </w:tabs>
        <w:ind w:left="709" w:hanging="0"/>
        <w:rPr>
          <w:sz w:val="24"/>
          <w:szCs w:val="24"/>
        </w:rPr>
      </w:pPr>
      <w:r>
        <w:rPr>
          <w:sz w:val="24"/>
          <w:szCs w:val="24"/>
        </w:rPr>
      </w:r>
    </w:p>
    <w:p>
      <w:pPr>
        <w:pStyle w:val="Style30"/>
        <w:numPr>
          <w:ilvl w:val="0"/>
          <w:numId w:val="0"/>
        </w:numPr>
        <w:spacing w:before="0" w:after="120"/>
        <w:ind w:left="0" w:hanging="0"/>
        <w:outlineLvl w:val="0"/>
        <w:rPr>
          <w:b/>
          <w:sz w:val="24"/>
          <w:szCs w:val="24"/>
        </w:rPr>
      </w:pPr>
      <w:r>
        <w:rPr>
          <w:b/>
          <w:sz w:val="24"/>
          <w:szCs w:val="24"/>
        </w:rPr>
        <w:t>Таблица 3. Требования к качеству Товара</w:t>
      </w:r>
    </w:p>
    <w:tbl>
      <w:tblPr>
        <w:tblW w:w="5000" w:type="pct"/>
        <w:jc w:val="left"/>
        <w:tblInd w:w="-5" w:type="dxa"/>
        <w:tblLayout w:type="fixed"/>
        <w:tblCellMar>
          <w:top w:w="0" w:type="dxa"/>
          <w:left w:w="108" w:type="dxa"/>
          <w:bottom w:w="0" w:type="dxa"/>
          <w:right w:w="108" w:type="dxa"/>
        </w:tblCellMar>
        <w:tblLook w:noVBand="0" w:val="0000" w:noHBand="0" w:lastColumn="0" w:firstColumn="0" w:lastRow="0" w:firstRow="0"/>
      </w:tblPr>
      <w:tblGrid>
        <w:gridCol w:w="790"/>
        <w:gridCol w:w="3036"/>
        <w:gridCol w:w="5205"/>
        <w:gridCol w:w="1807"/>
        <w:gridCol w:w="1890"/>
        <w:gridCol w:w="1699"/>
      </w:tblGrid>
      <w:tr>
        <w:trPr/>
        <w:tc>
          <w:tcPr>
            <w:tcW w:w="79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37" w:hanging="0"/>
              <w:jc w:val="center"/>
              <w:rPr>
                <w:sz w:val="24"/>
                <w:szCs w:val="28"/>
              </w:rPr>
            </w:pPr>
            <w:r>
              <w:rPr>
                <w:sz w:val="24"/>
                <w:szCs w:val="28"/>
              </w:rPr>
              <w:t>№</w:t>
            </w:r>
          </w:p>
          <w:p>
            <w:pPr>
              <w:pStyle w:val="Normal"/>
              <w:widowControl w:val="false"/>
              <w:ind w:right="-67" w:firstLine="12"/>
              <w:jc w:val="center"/>
              <w:rPr>
                <w:sz w:val="24"/>
                <w:szCs w:val="28"/>
              </w:rPr>
            </w:pPr>
            <w:r>
              <w:rPr>
                <w:sz w:val="24"/>
                <w:szCs w:val="28"/>
              </w:rPr>
              <w:t>п/п</w:t>
            </w:r>
          </w:p>
        </w:tc>
        <w:tc>
          <w:tcPr>
            <w:tcW w:w="303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8"/>
              </w:rPr>
            </w:pPr>
            <w:r>
              <w:rPr>
                <w:sz w:val="24"/>
                <w:szCs w:val="28"/>
              </w:rPr>
              <w:t>Наименование параметра</w:t>
            </w:r>
          </w:p>
        </w:tc>
        <w:tc>
          <w:tcPr>
            <w:tcW w:w="520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8"/>
              </w:rPr>
            </w:pPr>
            <w:r>
              <w:rPr>
                <w:sz w:val="24"/>
                <w:szCs w:val="28"/>
              </w:rPr>
              <w:t xml:space="preserve">Требование </w:t>
            </w:r>
            <w:r>
              <w:rPr>
                <w:sz w:val="24"/>
                <w:szCs w:val="28"/>
                <w:lang w:val="en-US"/>
              </w:rPr>
              <w:t>Покупателя</w:t>
            </w:r>
          </w:p>
        </w:tc>
        <w:tc>
          <w:tcPr>
            <w:tcW w:w="369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8"/>
              </w:rPr>
            </w:pPr>
            <w:r>
              <w:rPr>
                <w:sz w:val="24"/>
                <w:szCs w:val="28"/>
              </w:rPr>
              <w:t>Способ подтверждения участником соответствия требованиям</w:t>
            </w:r>
          </w:p>
        </w:tc>
        <w:tc>
          <w:tcPr>
            <w:tcW w:w="169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8"/>
              </w:rPr>
            </w:pPr>
            <w:r>
              <w:rPr>
                <w:sz w:val="24"/>
                <w:szCs w:val="28"/>
              </w:rPr>
              <w:t>Предложение участника по характеристикам и параметрам</w:t>
            </w:r>
          </w:p>
        </w:tc>
      </w:tr>
      <w:tr>
        <w:trPr/>
        <w:tc>
          <w:tcPr>
            <w:tcW w:w="79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67" w:firstLine="12"/>
              <w:jc w:val="center"/>
              <w:rPr>
                <w:sz w:val="24"/>
                <w:szCs w:val="28"/>
              </w:rPr>
            </w:pPr>
            <w:r>
              <w:rPr>
                <w:sz w:val="24"/>
                <w:szCs w:val="28"/>
              </w:rPr>
            </w:r>
          </w:p>
        </w:tc>
        <w:tc>
          <w:tcPr>
            <w:tcW w:w="303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8"/>
              </w:rPr>
            </w:pPr>
            <w:r>
              <w:rPr>
                <w:sz w:val="24"/>
                <w:szCs w:val="28"/>
              </w:rPr>
            </w:r>
          </w:p>
        </w:tc>
        <w:tc>
          <w:tcPr>
            <w:tcW w:w="520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8"/>
              </w:rPr>
            </w:pPr>
            <w:r>
              <w:rPr>
                <w:sz w:val="24"/>
                <w:szCs w:val="28"/>
              </w:rPr>
            </w:r>
          </w:p>
        </w:tc>
        <w:tc>
          <w:tcPr>
            <w:tcW w:w="18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8"/>
              </w:rPr>
            </w:pPr>
            <w:r>
              <w:rPr>
                <w:sz w:val="24"/>
                <w:szCs w:val="28"/>
              </w:rPr>
              <w:t>Согласие с требованием/ указание характеристик</w:t>
            </w:r>
          </w:p>
        </w:tc>
        <w:tc>
          <w:tcPr>
            <w:tcW w:w="18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8"/>
              </w:rPr>
            </w:pPr>
            <w:r>
              <w:rPr>
                <w:sz w:val="24"/>
                <w:szCs w:val="28"/>
              </w:rPr>
              <w:t>Предоставление подтверждающего документа или иной способ подтверждения</w:t>
            </w:r>
          </w:p>
        </w:tc>
        <w:tc>
          <w:tcPr>
            <w:tcW w:w="16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8"/>
              </w:rPr>
            </w:pPr>
            <w:r>
              <w:rPr>
                <w:sz w:val="24"/>
                <w:szCs w:val="28"/>
              </w:rPr>
            </w:r>
          </w:p>
        </w:tc>
      </w:tr>
      <w:tr>
        <w:trPr/>
        <w:tc>
          <w:tcPr>
            <w:tcW w:w="7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67" w:firstLine="12"/>
              <w:jc w:val="center"/>
              <w:rPr>
                <w:sz w:val="24"/>
                <w:szCs w:val="28"/>
                <w:lang w:val="en-US"/>
              </w:rPr>
            </w:pPr>
            <w:r>
              <w:rPr>
                <w:sz w:val="24"/>
                <w:szCs w:val="28"/>
                <w:lang w:val="en-US"/>
              </w:rPr>
              <w:t>1</w:t>
            </w:r>
          </w:p>
        </w:tc>
        <w:tc>
          <w:tcPr>
            <w:tcW w:w="30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8"/>
                <w:lang w:val="en-US"/>
              </w:rPr>
            </w:pPr>
            <w:r>
              <w:rPr>
                <w:sz w:val="24"/>
                <w:szCs w:val="28"/>
                <w:lang w:val="en-US"/>
              </w:rPr>
              <w:t>2</w:t>
            </w:r>
          </w:p>
        </w:tc>
        <w:tc>
          <w:tcPr>
            <w:tcW w:w="52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8"/>
                <w:lang w:val="en-US"/>
              </w:rPr>
            </w:pPr>
            <w:r>
              <w:rPr>
                <w:sz w:val="24"/>
                <w:szCs w:val="28"/>
                <w:lang w:val="en-US"/>
              </w:rPr>
              <w:t>3</w:t>
            </w:r>
          </w:p>
        </w:tc>
        <w:tc>
          <w:tcPr>
            <w:tcW w:w="18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8"/>
                <w:lang w:val="en-US"/>
              </w:rPr>
            </w:pPr>
            <w:r>
              <w:rPr>
                <w:sz w:val="24"/>
                <w:szCs w:val="28"/>
                <w:lang w:val="en-US"/>
              </w:rPr>
              <w:t>4</w:t>
            </w:r>
          </w:p>
        </w:tc>
        <w:tc>
          <w:tcPr>
            <w:tcW w:w="18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8"/>
                <w:lang w:val="en-US"/>
              </w:rPr>
            </w:pPr>
            <w:r>
              <w:rPr>
                <w:sz w:val="24"/>
                <w:szCs w:val="28"/>
                <w:lang w:val="en-US"/>
              </w:rPr>
              <w:t>5</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8"/>
                <w:lang w:val="en-US"/>
              </w:rPr>
            </w:pPr>
            <w:r>
              <w:rPr>
                <w:sz w:val="24"/>
                <w:szCs w:val="28"/>
                <w:lang w:val="en-US"/>
              </w:rPr>
              <w:t>6</w:t>
            </w:r>
          </w:p>
        </w:tc>
      </w:tr>
      <w:tr>
        <w:trPr>
          <w:trHeight w:val="311" w:hRule="atLeast"/>
          <w:cantSplit w:val="true"/>
        </w:trPr>
        <w:tc>
          <w:tcPr>
            <w:tcW w:w="7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8"/>
                <w:lang w:val="en-US"/>
              </w:rPr>
            </w:pPr>
            <w:r>
              <w:rPr>
                <w:b/>
                <w:sz w:val="24"/>
                <w:szCs w:val="28"/>
                <w:lang w:val="en-US"/>
              </w:rPr>
              <w:t>1</w:t>
            </w:r>
          </w:p>
        </w:tc>
        <w:tc>
          <w:tcPr>
            <w:tcW w:w="1363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both"/>
              <w:rPr>
                <w:b/>
                <w:sz w:val="24"/>
                <w:szCs w:val="28"/>
              </w:rPr>
            </w:pPr>
            <w:r>
              <w:rPr>
                <w:b/>
                <w:sz w:val="24"/>
                <w:szCs w:val="28"/>
              </w:rPr>
              <w:t>Требования к техническим, конструктивным и функциональным характеристикам</w:t>
            </w:r>
          </w:p>
        </w:tc>
      </w:tr>
      <w:tr>
        <w:trPr/>
        <w:tc>
          <w:tcPr>
            <w:tcW w:w="7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8"/>
                <w:lang w:val="en-US"/>
              </w:rPr>
            </w:pPr>
            <w:r>
              <w:rPr>
                <w:sz w:val="24"/>
                <w:szCs w:val="28"/>
                <w:lang w:val="en-US"/>
              </w:rPr>
              <w:t>1.1</w:t>
            </w:r>
          </w:p>
        </w:tc>
        <w:tc>
          <w:tcPr>
            <w:tcW w:w="303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8"/>
              </w:rPr>
            </w:pPr>
            <w:r>
              <w:rPr>
                <w:iCs/>
                <w:sz w:val="24"/>
                <w:szCs w:val="24"/>
              </w:rPr>
              <w:t xml:space="preserve">Контейнер сухогрузный </w:t>
            </w:r>
            <w:r>
              <w:rPr>
                <w:sz w:val="24"/>
                <w:szCs w:val="24"/>
              </w:rPr>
              <w:t>(</w:t>
            </w:r>
            <w:r>
              <w:rPr>
                <w:bCs/>
                <w:sz w:val="24"/>
                <w:szCs w:val="24"/>
              </w:rPr>
              <w:t>типа Dry Cu</w:t>
            </w:r>
            <w:r>
              <w:rPr>
                <w:sz w:val="24"/>
                <w:szCs w:val="24"/>
              </w:rPr>
              <w:t>be</w:t>
            </w:r>
            <w:r>
              <w:rPr>
                <w:bCs/>
                <w:sz w:val="24"/>
                <w:szCs w:val="24"/>
              </w:rPr>
              <w:t>), 20-ти футовый, б/у</w:t>
            </w:r>
          </w:p>
        </w:tc>
        <w:tc>
          <w:tcPr>
            <w:tcW w:w="520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6"/>
              </w:numPr>
              <w:suppressAutoHyphens w:val="false"/>
              <w:jc w:val="both"/>
              <w:rPr>
                <w:sz w:val="24"/>
                <w:szCs w:val="24"/>
                <w:lang w:eastAsia="x-none"/>
              </w:rPr>
            </w:pPr>
            <w:r>
              <w:rPr>
                <w:sz w:val="24"/>
                <w:szCs w:val="24"/>
                <w:lang w:eastAsia="x-none"/>
              </w:rPr>
              <w:t xml:space="preserve">Тип контейнера </w:t>
            </w:r>
            <w:r>
              <w:rPr>
                <w:sz w:val="24"/>
                <w:szCs w:val="24"/>
              </w:rPr>
              <w:t>по ГОСТ Р 53350-2009 (</w:t>
            </w:r>
            <w:r>
              <w:rPr>
                <w:sz w:val="24"/>
                <w:szCs w:val="24"/>
                <w:lang w:val="en-US"/>
              </w:rPr>
              <w:t>ISO</w:t>
            </w:r>
            <w:r>
              <w:rPr>
                <w:sz w:val="24"/>
                <w:szCs w:val="24"/>
              </w:rPr>
              <w:t xml:space="preserve"> 668:1995)</w:t>
            </w:r>
            <w:r>
              <w:rPr>
                <w:sz w:val="24"/>
                <w:szCs w:val="24"/>
                <w:lang w:eastAsia="x-none"/>
              </w:rPr>
              <w:t>: 1</w:t>
            </w:r>
            <w:r>
              <w:rPr>
                <w:sz w:val="24"/>
                <w:szCs w:val="24"/>
                <w:lang w:val="en-US" w:eastAsia="x-none"/>
              </w:rPr>
              <w:t>CC</w:t>
            </w:r>
            <w:r>
              <w:rPr>
                <w:sz w:val="24"/>
                <w:szCs w:val="24"/>
                <w:lang w:eastAsia="x-none"/>
              </w:rPr>
              <w:t xml:space="preserve"> (</w:t>
            </w:r>
            <w:r>
              <w:rPr>
                <w:bCs/>
                <w:sz w:val="24"/>
                <w:szCs w:val="24"/>
              </w:rPr>
              <w:t>Dry Cu</w:t>
            </w:r>
            <w:r>
              <w:rPr>
                <w:sz w:val="24"/>
                <w:szCs w:val="24"/>
              </w:rPr>
              <w:t>be)</w:t>
            </w:r>
            <w:r>
              <w:rPr>
                <w:sz w:val="24"/>
                <w:szCs w:val="24"/>
                <w:lang w:eastAsia="x-none"/>
              </w:rPr>
              <w:t>;</w:t>
            </w:r>
          </w:p>
          <w:p>
            <w:pPr>
              <w:pStyle w:val="ListParagraph"/>
              <w:widowControl w:val="false"/>
              <w:numPr>
                <w:ilvl w:val="3"/>
                <w:numId w:val="6"/>
              </w:numPr>
              <w:suppressAutoHyphens w:val="false"/>
              <w:jc w:val="both"/>
              <w:rPr>
                <w:sz w:val="24"/>
                <w:szCs w:val="24"/>
                <w:lang w:eastAsia="x-none"/>
              </w:rPr>
            </w:pPr>
            <w:r>
              <w:rPr>
                <w:sz w:val="24"/>
                <w:szCs w:val="24"/>
                <w:lang w:eastAsia="x-none"/>
              </w:rPr>
              <w:t>Назначение контейнера по ГОСТ Р 51876-2008 (</w:t>
            </w:r>
            <w:r>
              <w:rPr>
                <w:sz w:val="24"/>
                <w:szCs w:val="24"/>
                <w:lang w:val="en-US" w:eastAsia="x-none"/>
              </w:rPr>
              <w:t>ISO</w:t>
            </w:r>
            <w:r>
              <w:rPr>
                <w:sz w:val="24"/>
                <w:szCs w:val="24"/>
                <w:lang w:eastAsia="x-none"/>
              </w:rPr>
              <w:t xml:space="preserve"> 1496-1:1990): общего назначения (GP);</w:t>
            </w:r>
          </w:p>
          <w:p>
            <w:pPr>
              <w:pStyle w:val="ListParagraph"/>
              <w:widowControl w:val="false"/>
              <w:numPr>
                <w:ilvl w:val="3"/>
                <w:numId w:val="6"/>
              </w:numPr>
              <w:suppressAutoHyphens w:val="false"/>
              <w:jc w:val="both"/>
              <w:rPr>
                <w:sz w:val="24"/>
                <w:szCs w:val="24"/>
                <w:lang w:eastAsia="x-none"/>
              </w:rPr>
            </w:pPr>
            <w:r>
              <w:rPr>
                <w:sz w:val="24"/>
                <w:szCs w:val="24"/>
                <w:lang w:eastAsia="x-none"/>
              </w:rPr>
              <w:t>Вид контейнера по ГОСТ Р 51876-2008 (</w:t>
            </w:r>
            <w:r>
              <w:rPr>
                <w:sz w:val="24"/>
                <w:szCs w:val="24"/>
                <w:lang w:val="en-US" w:eastAsia="x-none"/>
              </w:rPr>
              <w:t>ISO</w:t>
            </w:r>
            <w:r>
              <w:rPr>
                <w:sz w:val="24"/>
                <w:szCs w:val="24"/>
                <w:lang w:eastAsia="x-none"/>
              </w:rPr>
              <w:t xml:space="preserve"> 1496-1:1990): закрытый с открывающимся одним или обоими торцами;</w:t>
            </w:r>
          </w:p>
          <w:p>
            <w:pPr>
              <w:pStyle w:val="ListParagraph"/>
              <w:widowControl w:val="false"/>
              <w:numPr>
                <w:ilvl w:val="3"/>
                <w:numId w:val="6"/>
              </w:numPr>
              <w:suppressAutoHyphens w:val="false"/>
              <w:jc w:val="both"/>
              <w:rPr>
                <w:sz w:val="24"/>
                <w:szCs w:val="24"/>
                <w:lang w:eastAsia="x-none"/>
              </w:rPr>
            </w:pPr>
            <w:r>
              <w:rPr>
                <w:sz w:val="24"/>
                <w:szCs w:val="24"/>
                <w:lang w:eastAsia="x-none"/>
              </w:rPr>
              <w:t xml:space="preserve">Внешние размеры контейнера (д×ш×в) </w:t>
            </w:r>
            <w:r>
              <w:rPr>
                <w:sz w:val="24"/>
                <w:szCs w:val="24"/>
              </w:rPr>
              <w:t>по ГОСТ Р 53350-2009 (</w:t>
            </w:r>
            <w:r>
              <w:rPr>
                <w:sz w:val="24"/>
                <w:szCs w:val="24"/>
                <w:lang w:val="en-US"/>
              </w:rPr>
              <w:t>ISO</w:t>
            </w:r>
            <w:r>
              <w:rPr>
                <w:sz w:val="24"/>
                <w:szCs w:val="24"/>
              </w:rPr>
              <w:t xml:space="preserve"> 668:1995)</w:t>
            </w:r>
            <w:r>
              <w:rPr>
                <w:sz w:val="24"/>
                <w:szCs w:val="24"/>
                <w:lang w:eastAsia="x-none"/>
              </w:rPr>
              <w:t>: 6058×2438×2591 мм;</w:t>
            </w:r>
          </w:p>
          <w:p>
            <w:pPr>
              <w:pStyle w:val="ListParagraph"/>
              <w:widowControl w:val="false"/>
              <w:numPr>
                <w:ilvl w:val="3"/>
                <w:numId w:val="6"/>
              </w:numPr>
              <w:suppressAutoHyphens w:val="false"/>
              <w:jc w:val="both"/>
              <w:rPr>
                <w:sz w:val="24"/>
                <w:szCs w:val="24"/>
                <w:lang w:eastAsia="x-none"/>
              </w:rPr>
            </w:pPr>
            <w:r>
              <w:rPr>
                <w:sz w:val="24"/>
                <w:szCs w:val="24"/>
                <w:lang w:eastAsia="x-none"/>
              </w:rPr>
              <w:t xml:space="preserve">Масса брутто </w:t>
            </w:r>
            <w:r>
              <w:rPr>
                <w:sz w:val="24"/>
                <w:szCs w:val="24"/>
              </w:rPr>
              <w:t>по ГОСТ Р 53350-2009 (</w:t>
            </w:r>
            <w:r>
              <w:rPr>
                <w:sz w:val="24"/>
                <w:szCs w:val="24"/>
                <w:lang w:val="en-US"/>
              </w:rPr>
              <w:t>ISO</w:t>
            </w:r>
            <w:r>
              <w:rPr>
                <w:sz w:val="24"/>
                <w:szCs w:val="24"/>
              </w:rPr>
              <w:t xml:space="preserve"> 668:1995)</w:t>
            </w:r>
            <w:r>
              <w:rPr>
                <w:sz w:val="24"/>
                <w:szCs w:val="24"/>
                <w:lang w:eastAsia="x-none"/>
              </w:rPr>
              <w:t>: не менее 30000 кг;</w:t>
            </w:r>
          </w:p>
          <w:p>
            <w:pPr>
              <w:pStyle w:val="ListParagraph"/>
              <w:widowControl w:val="false"/>
              <w:numPr>
                <w:ilvl w:val="3"/>
                <w:numId w:val="6"/>
              </w:numPr>
              <w:suppressAutoHyphens w:val="false"/>
              <w:jc w:val="both"/>
              <w:rPr>
                <w:sz w:val="24"/>
                <w:szCs w:val="24"/>
                <w:lang w:eastAsia="x-none"/>
              </w:rPr>
            </w:pPr>
            <w:r>
              <w:rPr>
                <w:sz w:val="24"/>
                <w:szCs w:val="24"/>
                <w:lang w:eastAsia="x-none"/>
              </w:rPr>
              <w:t>Масса нетто (пустого контейнера): не более 2500 кг;</w:t>
            </w:r>
          </w:p>
          <w:p>
            <w:pPr>
              <w:pStyle w:val="ListParagraph"/>
              <w:widowControl w:val="false"/>
              <w:numPr>
                <w:ilvl w:val="3"/>
                <w:numId w:val="6"/>
              </w:numPr>
              <w:suppressAutoHyphens w:val="false"/>
              <w:jc w:val="both"/>
              <w:rPr>
                <w:sz w:val="24"/>
                <w:szCs w:val="24"/>
                <w:lang w:eastAsia="x-none"/>
              </w:rPr>
            </w:pPr>
            <w:r>
              <w:rPr>
                <w:sz w:val="24"/>
                <w:szCs w:val="24"/>
                <w:lang w:eastAsia="x-none"/>
              </w:rPr>
              <w:t>Размещение угловых фитингов: в соответствии с ГОСТ 51891-2008 (</w:t>
            </w:r>
            <w:r>
              <w:rPr>
                <w:sz w:val="24"/>
                <w:szCs w:val="24"/>
                <w:lang w:val="en-US" w:eastAsia="x-none"/>
              </w:rPr>
              <w:t>ISO</w:t>
            </w:r>
            <w:r>
              <w:rPr>
                <w:sz w:val="24"/>
                <w:szCs w:val="24"/>
                <w:lang w:eastAsia="x-none"/>
              </w:rPr>
              <w:t xml:space="preserve"> 1161:1984);</w:t>
            </w:r>
          </w:p>
          <w:p>
            <w:pPr>
              <w:pStyle w:val="ListParagraph"/>
              <w:widowControl w:val="false"/>
              <w:numPr>
                <w:ilvl w:val="3"/>
                <w:numId w:val="6"/>
              </w:numPr>
              <w:suppressAutoHyphens w:val="false"/>
              <w:jc w:val="both"/>
              <w:rPr>
                <w:sz w:val="24"/>
                <w:szCs w:val="24"/>
                <w:lang w:eastAsia="x-none"/>
              </w:rPr>
            </w:pPr>
            <w:r>
              <w:rPr>
                <w:sz w:val="24"/>
                <w:szCs w:val="24"/>
                <w:lang w:eastAsia="x-none"/>
              </w:rPr>
              <w:t>Возможность штабелирования по ГОСТ Р 51876-2008 (</w:t>
            </w:r>
            <w:r>
              <w:rPr>
                <w:sz w:val="24"/>
                <w:szCs w:val="24"/>
                <w:lang w:val="en-US" w:eastAsia="x-none"/>
              </w:rPr>
              <w:t>ISO</w:t>
            </w:r>
            <w:r>
              <w:rPr>
                <w:sz w:val="24"/>
                <w:szCs w:val="24"/>
                <w:lang w:eastAsia="x-none"/>
              </w:rPr>
              <w:t xml:space="preserve"> 1496-1:1990): не менее 3-х ярусов (с полезной нагрузкой), с установкой на фитинги;</w:t>
            </w:r>
          </w:p>
          <w:p>
            <w:pPr>
              <w:pStyle w:val="ListParagraph"/>
              <w:widowControl w:val="false"/>
              <w:numPr>
                <w:ilvl w:val="3"/>
                <w:numId w:val="6"/>
              </w:numPr>
              <w:suppressAutoHyphens w:val="false"/>
              <w:jc w:val="both"/>
              <w:rPr>
                <w:sz w:val="24"/>
                <w:szCs w:val="24"/>
                <w:lang w:eastAsia="x-none"/>
              </w:rPr>
            </w:pPr>
            <w:r>
              <w:rPr>
                <w:sz w:val="24"/>
                <w:szCs w:val="24"/>
                <w:lang w:eastAsia="x-none"/>
              </w:rPr>
              <w:t>Материал пола: фанера (или аналог плоского покрытия).</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i/>
                <w:i/>
                <w:sz w:val="24"/>
                <w:szCs w:val="28"/>
                <w:lang w:val="en-US"/>
              </w:rPr>
            </w:pPr>
            <w:r>
              <w:rPr>
                <w:i/>
                <w:sz w:val="24"/>
                <w:szCs w:val="28"/>
              </w:rPr>
              <w:t>Согласие с требованием</w:t>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sz w:val="24"/>
                <w:szCs w:val="28"/>
                <w:lang w:val="en-US"/>
              </w:rPr>
            </w:pPr>
            <w:r>
              <w:rPr>
                <w:bCs/>
                <w:i/>
                <w:sz w:val="24"/>
                <w:szCs w:val="28"/>
                <w:lang w:val="en-US"/>
              </w:rPr>
              <w:t>-</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sz w:val="24"/>
                <w:szCs w:val="28"/>
              </w:rPr>
            </w:pPr>
            <w:r>
              <w:rPr>
                <w:bCs/>
                <w:sz w:val="24"/>
                <w:szCs w:val="28"/>
              </w:rPr>
            </w:r>
          </w:p>
        </w:tc>
      </w:tr>
      <w:tr>
        <w:trPr/>
        <w:tc>
          <w:tcPr>
            <w:tcW w:w="7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8"/>
              </w:rPr>
            </w:pPr>
            <w:r>
              <w:rPr>
                <w:sz w:val="24"/>
                <w:szCs w:val="28"/>
              </w:rPr>
              <w:t>1.2</w:t>
            </w:r>
          </w:p>
        </w:tc>
        <w:tc>
          <w:tcPr>
            <w:tcW w:w="303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sz w:val="24"/>
                <w:szCs w:val="24"/>
              </w:rPr>
            </w:pPr>
            <w:r>
              <w:rPr>
                <w:iCs/>
                <w:sz w:val="24"/>
                <w:szCs w:val="24"/>
              </w:rPr>
              <w:t xml:space="preserve">Контейнер сухогрузный </w:t>
            </w:r>
            <w:r>
              <w:rPr>
                <w:sz w:val="24"/>
                <w:szCs w:val="24"/>
              </w:rPr>
              <w:t>(</w:t>
            </w:r>
            <w:r>
              <w:rPr>
                <w:bCs/>
                <w:sz w:val="24"/>
                <w:szCs w:val="24"/>
              </w:rPr>
              <w:t>типа Dry Cu</w:t>
            </w:r>
            <w:r>
              <w:rPr>
                <w:sz w:val="24"/>
                <w:szCs w:val="24"/>
              </w:rPr>
              <w:t>be</w:t>
            </w:r>
            <w:r>
              <w:rPr>
                <w:bCs/>
                <w:sz w:val="24"/>
                <w:szCs w:val="24"/>
              </w:rPr>
              <w:t>), 40-ка футовый, б/у</w:t>
            </w:r>
          </w:p>
        </w:tc>
        <w:tc>
          <w:tcPr>
            <w:tcW w:w="520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15"/>
              </w:numPr>
              <w:suppressAutoHyphens w:val="false"/>
              <w:ind w:left="746" w:hanging="746"/>
              <w:jc w:val="both"/>
              <w:rPr>
                <w:sz w:val="24"/>
                <w:szCs w:val="24"/>
                <w:lang w:eastAsia="x-none"/>
              </w:rPr>
            </w:pPr>
            <w:r>
              <w:rPr>
                <w:sz w:val="24"/>
                <w:szCs w:val="24"/>
                <w:lang w:eastAsia="x-none"/>
              </w:rPr>
              <w:t xml:space="preserve">Тип контейнера </w:t>
            </w:r>
            <w:r>
              <w:rPr>
                <w:sz w:val="24"/>
                <w:szCs w:val="24"/>
              </w:rPr>
              <w:t>по ГОСТ Р 53350-2009 (</w:t>
            </w:r>
            <w:r>
              <w:rPr>
                <w:sz w:val="24"/>
                <w:szCs w:val="24"/>
                <w:lang w:val="en-US"/>
              </w:rPr>
              <w:t>ISO</w:t>
            </w:r>
            <w:r>
              <w:rPr>
                <w:sz w:val="24"/>
                <w:szCs w:val="24"/>
              </w:rPr>
              <w:t xml:space="preserve"> 668:1995)</w:t>
            </w:r>
            <w:r>
              <w:rPr>
                <w:sz w:val="24"/>
                <w:szCs w:val="24"/>
                <w:lang w:eastAsia="x-none"/>
              </w:rPr>
              <w:t>: 1АА (</w:t>
            </w:r>
            <w:r>
              <w:rPr>
                <w:bCs/>
                <w:sz w:val="24"/>
                <w:szCs w:val="24"/>
              </w:rPr>
              <w:t>Dry Cu</w:t>
            </w:r>
            <w:r>
              <w:rPr>
                <w:sz w:val="24"/>
                <w:szCs w:val="24"/>
              </w:rPr>
              <w:t>be)</w:t>
            </w:r>
            <w:r>
              <w:rPr>
                <w:sz w:val="24"/>
                <w:szCs w:val="24"/>
                <w:lang w:eastAsia="x-none"/>
              </w:rPr>
              <w:t>;</w:t>
            </w:r>
          </w:p>
          <w:p>
            <w:pPr>
              <w:pStyle w:val="ListParagraph"/>
              <w:widowControl w:val="false"/>
              <w:numPr>
                <w:ilvl w:val="0"/>
                <w:numId w:val="15"/>
              </w:numPr>
              <w:suppressAutoHyphens w:val="false"/>
              <w:ind w:left="746" w:hanging="746"/>
              <w:jc w:val="both"/>
              <w:rPr>
                <w:sz w:val="24"/>
                <w:szCs w:val="24"/>
                <w:lang w:eastAsia="x-none"/>
              </w:rPr>
            </w:pPr>
            <w:r>
              <w:rPr>
                <w:sz w:val="24"/>
                <w:szCs w:val="24"/>
                <w:lang w:eastAsia="x-none"/>
              </w:rPr>
              <w:t>Назначение контейнера по ГОСТ Р 51876-2008 (</w:t>
            </w:r>
            <w:r>
              <w:rPr>
                <w:sz w:val="24"/>
                <w:szCs w:val="24"/>
                <w:lang w:val="en-US" w:eastAsia="x-none"/>
              </w:rPr>
              <w:t>ISO</w:t>
            </w:r>
            <w:r>
              <w:rPr>
                <w:sz w:val="24"/>
                <w:szCs w:val="24"/>
                <w:lang w:eastAsia="x-none"/>
              </w:rPr>
              <w:t xml:space="preserve"> 1496-1:1990): общего назначения (GP);</w:t>
            </w:r>
          </w:p>
          <w:p>
            <w:pPr>
              <w:pStyle w:val="ListParagraph"/>
              <w:widowControl w:val="false"/>
              <w:numPr>
                <w:ilvl w:val="0"/>
                <w:numId w:val="15"/>
              </w:numPr>
              <w:suppressAutoHyphens w:val="false"/>
              <w:ind w:left="746" w:hanging="746"/>
              <w:jc w:val="both"/>
              <w:rPr>
                <w:sz w:val="24"/>
                <w:szCs w:val="24"/>
                <w:lang w:eastAsia="x-none"/>
              </w:rPr>
            </w:pPr>
            <w:r>
              <w:rPr>
                <w:sz w:val="24"/>
                <w:szCs w:val="24"/>
                <w:lang w:eastAsia="x-none"/>
              </w:rPr>
              <w:t>Вид контейнера по ГОСТ Р 51876-2008 (</w:t>
            </w:r>
            <w:r>
              <w:rPr>
                <w:sz w:val="24"/>
                <w:szCs w:val="24"/>
                <w:lang w:val="en-US" w:eastAsia="x-none"/>
              </w:rPr>
              <w:t>ISO</w:t>
            </w:r>
            <w:r>
              <w:rPr>
                <w:sz w:val="24"/>
                <w:szCs w:val="24"/>
                <w:lang w:eastAsia="x-none"/>
              </w:rPr>
              <w:t xml:space="preserve"> 1496-1:1990): закрытый с открывающимся одним или обоими торцами;</w:t>
            </w:r>
          </w:p>
          <w:p>
            <w:pPr>
              <w:pStyle w:val="ListParagraph"/>
              <w:widowControl w:val="false"/>
              <w:numPr>
                <w:ilvl w:val="0"/>
                <w:numId w:val="15"/>
              </w:numPr>
              <w:suppressAutoHyphens w:val="false"/>
              <w:ind w:left="746" w:hanging="746"/>
              <w:jc w:val="both"/>
              <w:rPr>
                <w:sz w:val="24"/>
                <w:szCs w:val="24"/>
                <w:lang w:eastAsia="x-none"/>
              </w:rPr>
            </w:pPr>
            <w:r>
              <w:rPr>
                <w:sz w:val="24"/>
                <w:szCs w:val="24"/>
                <w:lang w:eastAsia="x-none"/>
              </w:rPr>
              <w:t xml:space="preserve">Внешние размеры контейнера (д×ш×в) </w:t>
            </w:r>
            <w:r>
              <w:rPr>
                <w:sz w:val="24"/>
                <w:szCs w:val="24"/>
              </w:rPr>
              <w:t>по ГОСТ Р 53350-2009 (</w:t>
            </w:r>
            <w:r>
              <w:rPr>
                <w:sz w:val="24"/>
                <w:szCs w:val="24"/>
                <w:lang w:val="en-US"/>
              </w:rPr>
              <w:t>ISO</w:t>
            </w:r>
            <w:r>
              <w:rPr>
                <w:sz w:val="24"/>
                <w:szCs w:val="24"/>
              </w:rPr>
              <w:t xml:space="preserve"> 668:1995)</w:t>
            </w:r>
            <w:r>
              <w:rPr>
                <w:sz w:val="24"/>
                <w:szCs w:val="24"/>
                <w:lang w:eastAsia="x-none"/>
              </w:rPr>
              <w:t>: 12192×2438×2591 мм;</w:t>
            </w:r>
          </w:p>
          <w:p>
            <w:pPr>
              <w:pStyle w:val="ListParagraph"/>
              <w:widowControl w:val="false"/>
              <w:numPr>
                <w:ilvl w:val="0"/>
                <w:numId w:val="15"/>
              </w:numPr>
              <w:suppressAutoHyphens w:val="false"/>
              <w:ind w:left="746" w:hanging="746"/>
              <w:jc w:val="both"/>
              <w:rPr>
                <w:sz w:val="24"/>
                <w:szCs w:val="24"/>
                <w:lang w:eastAsia="x-none"/>
              </w:rPr>
            </w:pPr>
            <w:r>
              <w:rPr>
                <w:sz w:val="24"/>
                <w:szCs w:val="24"/>
                <w:lang w:eastAsia="x-none"/>
              </w:rPr>
              <w:t xml:space="preserve">Масса брутто </w:t>
            </w:r>
            <w:r>
              <w:rPr>
                <w:sz w:val="24"/>
                <w:szCs w:val="24"/>
              </w:rPr>
              <w:t>по ГОСТ Р 53350-2009 (</w:t>
            </w:r>
            <w:r>
              <w:rPr>
                <w:sz w:val="24"/>
                <w:szCs w:val="24"/>
                <w:lang w:val="en-US"/>
              </w:rPr>
              <w:t>ISO</w:t>
            </w:r>
            <w:r>
              <w:rPr>
                <w:sz w:val="24"/>
                <w:szCs w:val="24"/>
              </w:rPr>
              <w:t xml:space="preserve"> 668:1995)</w:t>
            </w:r>
            <w:r>
              <w:rPr>
                <w:sz w:val="24"/>
                <w:szCs w:val="24"/>
                <w:lang w:eastAsia="x-none"/>
              </w:rPr>
              <w:t>: не менее 30000 кг;</w:t>
            </w:r>
          </w:p>
          <w:p>
            <w:pPr>
              <w:pStyle w:val="ListParagraph"/>
              <w:widowControl w:val="false"/>
              <w:numPr>
                <w:ilvl w:val="0"/>
                <w:numId w:val="15"/>
              </w:numPr>
              <w:suppressAutoHyphens w:val="false"/>
              <w:ind w:left="746" w:hanging="746"/>
              <w:jc w:val="both"/>
              <w:rPr>
                <w:sz w:val="24"/>
                <w:szCs w:val="24"/>
                <w:lang w:eastAsia="x-none"/>
              </w:rPr>
            </w:pPr>
            <w:r>
              <w:rPr>
                <w:sz w:val="24"/>
                <w:szCs w:val="24"/>
                <w:lang w:eastAsia="x-none"/>
              </w:rPr>
              <w:t>Масса нетто (пустого контейнера): не более 4000 кг;</w:t>
            </w:r>
          </w:p>
          <w:p>
            <w:pPr>
              <w:pStyle w:val="ListParagraph"/>
              <w:widowControl w:val="false"/>
              <w:numPr>
                <w:ilvl w:val="0"/>
                <w:numId w:val="15"/>
              </w:numPr>
              <w:suppressAutoHyphens w:val="false"/>
              <w:ind w:left="746" w:hanging="746"/>
              <w:jc w:val="both"/>
              <w:rPr>
                <w:sz w:val="24"/>
                <w:szCs w:val="24"/>
                <w:lang w:eastAsia="x-none"/>
              </w:rPr>
            </w:pPr>
            <w:r>
              <w:rPr>
                <w:sz w:val="24"/>
                <w:szCs w:val="24"/>
                <w:lang w:eastAsia="x-none"/>
              </w:rPr>
              <w:t>Размещение угловых фитингов: в соответствии с ГОСТ 51891-2008 (</w:t>
            </w:r>
            <w:r>
              <w:rPr>
                <w:sz w:val="24"/>
                <w:szCs w:val="24"/>
                <w:lang w:val="en-US" w:eastAsia="x-none"/>
              </w:rPr>
              <w:t>ISO</w:t>
            </w:r>
            <w:r>
              <w:rPr>
                <w:sz w:val="24"/>
                <w:szCs w:val="24"/>
                <w:lang w:eastAsia="x-none"/>
              </w:rPr>
              <w:t xml:space="preserve"> 1161:1984);</w:t>
            </w:r>
          </w:p>
          <w:p>
            <w:pPr>
              <w:pStyle w:val="ListParagraph"/>
              <w:widowControl w:val="false"/>
              <w:numPr>
                <w:ilvl w:val="0"/>
                <w:numId w:val="15"/>
              </w:numPr>
              <w:suppressAutoHyphens w:val="false"/>
              <w:ind w:left="746" w:hanging="746"/>
              <w:jc w:val="both"/>
              <w:rPr>
                <w:sz w:val="24"/>
                <w:szCs w:val="24"/>
                <w:lang w:eastAsia="x-none"/>
              </w:rPr>
            </w:pPr>
            <w:r>
              <w:rPr>
                <w:sz w:val="24"/>
                <w:szCs w:val="24"/>
                <w:lang w:eastAsia="x-none"/>
              </w:rPr>
              <w:t>Возможность штабелирования по ГОСТ Р 51876-2008 (</w:t>
            </w:r>
            <w:r>
              <w:rPr>
                <w:sz w:val="24"/>
                <w:szCs w:val="24"/>
                <w:lang w:val="en-US" w:eastAsia="x-none"/>
              </w:rPr>
              <w:t>ISO</w:t>
            </w:r>
            <w:r>
              <w:rPr>
                <w:sz w:val="24"/>
                <w:szCs w:val="24"/>
                <w:lang w:eastAsia="x-none"/>
              </w:rPr>
              <w:t xml:space="preserve"> 1496-1:1990): не менее 3-х ярусов (с полезной нагрузкой), с установкой на фитинги;</w:t>
            </w:r>
          </w:p>
          <w:p>
            <w:pPr>
              <w:pStyle w:val="ListParagraph"/>
              <w:widowControl w:val="false"/>
              <w:numPr>
                <w:ilvl w:val="0"/>
                <w:numId w:val="15"/>
              </w:numPr>
              <w:suppressAutoHyphens w:val="false"/>
              <w:ind w:left="746" w:hanging="746"/>
              <w:jc w:val="both"/>
              <w:rPr>
                <w:sz w:val="24"/>
                <w:szCs w:val="24"/>
                <w:lang w:eastAsia="x-none"/>
              </w:rPr>
            </w:pPr>
            <w:r>
              <w:rPr>
                <w:sz w:val="24"/>
                <w:szCs w:val="24"/>
                <w:lang w:eastAsia="x-none"/>
              </w:rPr>
              <w:t>Материал пола: фанера (или аналог плоского покрытия).</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i/>
                <w:i/>
                <w:sz w:val="24"/>
                <w:szCs w:val="28"/>
                <w:lang w:val="en-US"/>
              </w:rPr>
            </w:pPr>
            <w:r>
              <w:rPr>
                <w:i/>
                <w:sz w:val="24"/>
                <w:szCs w:val="28"/>
              </w:rPr>
              <w:t>Согласие с требованием</w:t>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sz w:val="24"/>
                <w:szCs w:val="28"/>
                <w:lang w:val="en-US"/>
              </w:rPr>
            </w:pPr>
            <w:r>
              <w:rPr>
                <w:bCs/>
                <w:i/>
                <w:sz w:val="24"/>
                <w:szCs w:val="28"/>
                <w:lang w:val="en-US"/>
              </w:rPr>
              <w:t>-</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sz w:val="24"/>
                <w:szCs w:val="28"/>
              </w:rPr>
            </w:pPr>
            <w:r>
              <w:rPr>
                <w:bCs/>
                <w:sz w:val="24"/>
                <w:szCs w:val="28"/>
              </w:rPr>
            </w:r>
          </w:p>
        </w:tc>
      </w:tr>
      <w:tr>
        <w:trPr/>
        <w:tc>
          <w:tcPr>
            <w:tcW w:w="7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8"/>
                <w:lang w:val="en-US"/>
              </w:rPr>
            </w:pPr>
            <w:r>
              <w:rPr>
                <w:sz w:val="24"/>
                <w:szCs w:val="28"/>
                <w:lang w:val="en-US"/>
              </w:rPr>
              <w:t>1.3</w:t>
            </w:r>
          </w:p>
        </w:tc>
        <w:tc>
          <w:tcPr>
            <w:tcW w:w="303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iCs/>
                <w:sz w:val="24"/>
                <w:szCs w:val="24"/>
              </w:rPr>
            </w:pPr>
            <w:r>
              <w:rPr>
                <w:iCs/>
                <w:sz w:val="24"/>
                <w:szCs w:val="24"/>
              </w:rPr>
              <w:t>Требования к защитно-декоративному покрытию Товара</w:t>
            </w:r>
          </w:p>
        </w:tc>
        <w:tc>
          <w:tcPr>
            <w:tcW w:w="52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sz w:val="24"/>
                <w:szCs w:val="24"/>
                <w:lang w:eastAsia="x-none"/>
              </w:rPr>
            </w:pPr>
            <w:r>
              <w:rPr>
                <w:sz w:val="24"/>
                <w:szCs w:val="24"/>
                <w:lang w:eastAsia="x-none"/>
              </w:rPr>
              <w:t>1.3.1. Товар должен иметь защитно-декоративное покрытие с учетом требований п. 2 таблицы 3 настоящих ТТ.</w:t>
            </w:r>
          </w:p>
          <w:p>
            <w:pPr>
              <w:pStyle w:val="Normal"/>
              <w:widowControl w:val="false"/>
              <w:suppressAutoHyphens w:val="false"/>
              <w:jc w:val="both"/>
              <w:rPr>
                <w:sz w:val="24"/>
                <w:szCs w:val="24"/>
                <w:lang w:eastAsia="x-none"/>
              </w:rPr>
            </w:pPr>
            <w:r>
              <w:rPr>
                <w:sz w:val="24"/>
                <w:szCs w:val="24"/>
                <w:lang w:eastAsia="x-none"/>
              </w:rPr>
              <w:t>1.3.2. Цвет покрытия - не регламентируется (предпочтительно одинаковый цвет контейнеров в одной партии поставки согласно таблице 1 настоящих ТТ).</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i/>
                <w:i/>
                <w:sz w:val="24"/>
                <w:szCs w:val="28"/>
              </w:rPr>
            </w:pPr>
            <w:r>
              <w:rPr>
                <w:i/>
                <w:sz w:val="24"/>
                <w:szCs w:val="24"/>
              </w:rPr>
              <w:t>Согласие с требованием</w:t>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sz w:val="24"/>
                <w:szCs w:val="28"/>
              </w:rPr>
            </w:pPr>
            <w:r>
              <w:rPr>
                <w:bCs/>
                <w:sz w:val="24"/>
                <w:szCs w:val="28"/>
              </w:rPr>
              <w:t>-</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sz w:val="24"/>
                <w:szCs w:val="28"/>
              </w:rPr>
            </w:pPr>
            <w:r>
              <w:rPr>
                <w:bCs/>
                <w:sz w:val="24"/>
                <w:szCs w:val="28"/>
              </w:rPr>
            </w:r>
          </w:p>
        </w:tc>
      </w:tr>
      <w:tr>
        <w:trPr/>
        <w:tc>
          <w:tcPr>
            <w:tcW w:w="7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8"/>
              </w:rPr>
            </w:pPr>
            <w:r>
              <w:rPr>
                <w:b/>
                <w:sz w:val="24"/>
                <w:szCs w:val="28"/>
              </w:rPr>
              <w:t>2</w:t>
            </w:r>
          </w:p>
        </w:tc>
        <w:tc>
          <w:tcPr>
            <w:tcW w:w="1363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both"/>
              <w:rPr>
                <w:b/>
                <w:sz w:val="24"/>
                <w:szCs w:val="24"/>
              </w:rPr>
            </w:pPr>
            <w:r>
              <w:rPr>
                <w:b/>
                <w:bCs/>
                <w:sz w:val="24"/>
                <w:szCs w:val="24"/>
              </w:rPr>
              <w:t>Требования к экономическим параметрам поставляемого Товара:</w:t>
            </w:r>
          </w:p>
        </w:tc>
      </w:tr>
      <w:tr>
        <w:trPr>
          <w:trHeight w:val="189" w:hRule="atLeast"/>
        </w:trPr>
        <w:tc>
          <w:tcPr>
            <w:tcW w:w="7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8"/>
              </w:rPr>
            </w:pPr>
            <w:r>
              <w:rPr>
                <w:sz w:val="24"/>
                <w:szCs w:val="28"/>
              </w:rPr>
              <w:t>2.1</w:t>
            </w:r>
          </w:p>
        </w:tc>
        <w:tc>
          <w:tcPr>
            <w:tcW w:w="303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sz w:val="24"/>
                <w:szCs w:val="28"/>
                <w:lang w:val="en-US"/>
              </w:rPr>
            </w:pPr>
            <w:bookmarkStart w:id="3" w:name="_Toc18488155"/>
            <w:bookmarkStart w:id="4" w:name="_Toc18488290"/>
            <w:r>
              <w:rPr>
                <w:sz w:val="24"/>
                <w:szCs w:val="24"/>
              </w:rPr>
              <w:t>Год изготовления</w:t>
            </w:r>
            <w:bookmarkEnd w:id="3"/>
            <w:bookmarkEnd w:id="4"/>
          </w:p>
        </w:tc>
        <w:tc>
          <w:tcPr>
            <w:tcW w:w="520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lang w:eastAsia="x-none"/>
              </w:rPr>
            </w:pPr>
            <w:r>
              <w:rPr>
                <w:sz w:val="24"/>
                <w:szCs w:val="24"/>
                <w:lang w:eastAsia="x-none"/>
              </w:rPr>
              <w:t xml:space="preserve">2.1.1. Допускается поставка </w:t>
            </w:r>
            <w:r>
              <w:rPr>
                <w:sz w:val="24"/>
                <w:szCs w:val="24"/>
                <w:lang w:val="x-none" w:eastAsia="x-none"/>
              </w:rPr>
              <w:t>Товар</w:t>
            </w:r>
            <w:r>
              <w:rPr>
                <w:sz w:val="24"/>
                <w:szCs w:val="24"/>
                <w:lang w:eastAsia="x-none"/>
              </w:rPr>
              <w:t>а</w:t>
            </w:r>
            <w:r>
              <w:rPr>
                <w:sz w:val="24"/>
                <w:szCs w:val="24"/>
                <w:lang w:val="x-none" w:eastAsia="x-none"/>
              </w:rPr>
              <w:t xml:space="preserve"> </w:t>
            </w:r>
            <w:r>
              <w:rPr>
                <w:sz w:val="24"/>
                <w:szCs w:val="24"/>
                <w:lang w:eastAsia="x-none"/>
              </w:rPr>
              <w:t>бывшего в эксплуатации, ранее использованного, соответствующего требованиям настоящих ТТ.</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i/>
                <w:i/>
                <w:sz w:val="24"/>
                <w:szCs w:val="28"/>
              </w:rPr>
            </w:pPr>
            <w:r>
              <w:rPr>
                <w:i/>
                <w:sz w:val="24"/>
                <w:szCs w:val="24"/>
              </w:rPr>
              <w:t>Согласие с требованием</w:t>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sz w:val="24"/>
                <w:szCs w:val="28"/>
              </w:rPr>
            </w:pPr>
            <w:r>
              <w:rPr>
                <w:bCs/>
                <w:sz w:val="24"/>
                <w:szCs w:val="28"/>
              </w:rPr>
              <w:t>-</w:t>
            </w:r>
          </w:p>
        </w:tc>
        <w:tc>
          <w:tcPr>
            <w:tcW w:w="1699" w:type="dxa"/>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08"/>
                <w:tab w:val="left" w:pos="412" w:leader="none"/>
              </w:tabs>
              <w:spacing w:before="0" w:after="0"/>
              <w:ind w:left="24" w:right="-27" w:hanging="0"/>
              <w:contextualSpacing w:val="false"/>
              <w:jc w:val="center"/>
              <w:rPr>
                <w:sz w:val="24"/>
                <w:szCs w:val="24"/>
              </w:rPr>
            </w:pPr>
            <w:r>
              <w:rPr>
                <w:sz w:val="24"/>
                <w:szCs w:val="24"/>
              </w:rPr>
            </w:r>
          </w:p>
        </w:tc>
      </w:tr>
      <w:tr>
        <w:trPr>
          <w:trHeight w:val="189" w:hRule="atLeast"/>
        </w:trPr>
        <w:tc>
          <w:tcPr>
            <w:tcW w:w="7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8"/>
                <w:lang w:val="en-US"/>
              </w:rPr>
            </w:pPr>
            <w:r>
              <w:rPr>
                <w:sz w:val="24"/>
                <w:szCs w:val="28"/>
                <w:lang w:val="en-US"/>
              </w:rPr>
              <w:t>2.2</w:t>
            </w:r>
          </w:p>
        </w:tc>
        <w:tc>
          <w:tcPr>
            <w:tcW w:w="303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lang w:val="en-US"/>
              </w:rPr>
            </w:pPr>
            <w:r>
              <w:rPr>
                <w:sz w:val="24"/>
                <w:szCs w:val="24"/>
                <w:lang w:val="en-US"/>
              </w:rPr>
              <w:t>Внешний вид</w:t>
            </w:r>
          </w:p>
        </w:tc>
        <w:tc>
          <w:tcPr>
            <w:tcW w:w="520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lang w:eastAsia="x-none"/>
              </w:rPr>
            </w:pPr>
            <w:r>
              <w:rPr>
                <w:sz w:val="24"/>
                <w:szCs w:val="24"/>
                <w:lang w:eastAsia="x-none"/>
              </w:rPr>
              <w:t>2.2.1. Допускается поставка Товара, имеющего следы внешней коррозии на металлических элементах, не превышающей 10% от общей площади наружной поверхности, сквозная коррозия не допускается.</w:t>
            </w:r>
          </w:p>
          <w:p>
            <w:pPr>
              <w:pStyle w:val="Normal"/>
              <w:widowControl w:val="false"/>
              <w:jc w:val="both"/>
              <w:rPr>
                <w:sz w:val="24"/>
                <w:szCs w:val="24"/>
                <w:lang w:eastAsia="x-none"/>
              </w:rPr>
            </w:pPr>
            <w:r>
              <w:rPr>
                <w:sz w:val="24"/>
                <w:szCs w:val="24"/>
                <w:lang w:eastAsia="x-none"/>
              </w:rPr>
              <w:t>2.2.2. Допускается поставка Товара с поврежденным (деформированным, имеющим отслоения) напольным покрытием, не превышающем 10% от общей площади покрытия.</w:t>
            </w:r>
          </w:p>
          <w:p>
            <w:pPr>
              <w:pStyle w:val="Normal"/>
              <w:widowControl w:val="false"/>
              <w:jc w:val="both"/>
              <w:rPr>
                <w:sz w:val="24"/>
                <w:szCs w:val="24"/>
                <w:lang w:eastAsia="x-none"/>
              </w:rPr>
            </w:pPr>
            <w:r>
              <w:rPr>
                <w:sz w:val="24"/>
                <w:szCs w:val="24"/>
                <w:lang w:eastAsia="x-none"/>
              </w:rPr>
              <w:t>2.2.3. Не допускается поставка Товара с нарушенной геометрией (деформацией) каркаса контейнера в соответствии с ГОСТ Р 51876-2008 (</w:t>
            </w:r>
            <w:r>
              <w:rPr>
                <w:sz w:val="24"/>
                <w:szCs w:val="24"/>
                <w:lang w:val="en-US" w:eastAsia="x-none"/>
              </w:rPr>
              <w:t>ISO</w:t>
            </w:r>
            <w:r>
              <w:rPr>
                <w:sz w:val="24"/>
                <w:szCs w:val="24"/>
                <w:lang w:eastAsia="x-none"/>
              </w:rPr>
              <w:t xml:space="preserve"> 1496-1:1990).</w:t>
            </w:r>
          </w:p>
          <w:p>
            <w:pPr>
              <w:pStyle w:val="Normal"/>
              <w:widowControl w:val="false"/>
              <w:jc w:val="both"/>
              <w:rPr>
                <w:sz w:val="24"/>
                <w:szCs w:val="24"/>
                <w:lang w:eastAsia="x-none"/>
              </w:rPr>
            </w:pPr>
            <w:r>
              <w:rPr>
                <w:sz w:val="24"/>
                <w:szCs w:val="24"/>
                <w:lang w:eastAsia="x-none"/>
              </w:rPr>
              <w:t>2.2.4. Не допускается поставка Товара после восстановительного ремонта грузонесущего каркаса вследствие нарушенной геометрии или иных повреждений, влияющих на грузоподъемные свойства и (или) возможность штабелирования.</w:t>
            </w:r>
          </w:p>
          <w:p>
            <w:pPr>
              <w:pStyle w:val="Normal"/>
              <w:widowControl w:val="false"/>
              <w:jc w:val="both"/>
              <w:rPr>
                <w:sz w:val="24"/>
                <w:szCs w:val="24"/>
                <w:lang w:eastAsia="x-none"/>
              </w:rPr>
            </w:pPr>
            <w:r>
              <w:rPr>
                <w:sz w:val="24"/>
                <w:szCs w:val="24"/>
                <w:lang w:eastAsia="x-none"/>
              </w:rPr>
              <w:t>2.2.5. Не допускается поставка Товара с неисправными запорными механизмами (дверями).</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i/>
                <w:i/>
                <w:sz w:val="24"/>
                <w:szCs w:val="28"/>
              </w:rPr>
            </w:pPr>
            <w:r>
              <w:rPr>
                <w:i/>
                <w:sz w:val="24"/>
                <w:szCs w:val="24"/>
              </w:rPr>
              <w:t>Согласие с требованием</w:t>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bCs/>
                <w:sz w:val="24"/>
                <w:szCs w:val="28"/>
              </w:rPr>
            </w:pPr>
            <w:r>
              <w:rPr>
                <w:bCs/>
                <w:sz w:val="24"/>
                <w:szCs w:val="28"/>
              </w:rPr>
              <w:t>-</w:t>
            </w:r>
          </w:p>
        </w:tc>
        <w:tc>
          <w:tcPr>
            <w:tcW w:w="1699" w:type="dxa"/>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08"/>
                <w:tab w:val="left" w:pos="412" w:leader="none"/>
              </w:tabs>
              <w:spacing w:before="0" w:after="0"/>
              <w:ind w:left="24" w:right="-27" w:hanging="0"/>
              <w:contextualSpacing w:val="false"/>
              <w:jc w:val="center"/>
              <w:rPr>
                <w:sz w:val="24"/>
                <w:szCs w:val="24"/>
              </w:rPr>
            </w:pPr>
            <w:r>
              <w:rPr>
                <w:sz w:val="24"/>
                <w:szCs w:val="24"/>
              </w:rPr>
            </w:r>
          </w:p>
        </w:tc>
      </w:tr>
      <w:tr>
        <w:trPr/>
        <w:tc>
          <w:tcPr>
            <w:tcW w:w="7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8"/>
              </w:rPr>
            </w:pPr>
            <w:r>
              <w:rPr>
                <w:b/>
                <w:sz w:val="24"/>
                <w:szCs w:val="28"/>
              </w:rPr>
              <w:t>3</w:t>
            </w:r>
          </w:p>
        </w:tc>
        <w:tc>
          <w:tcPr>
            <w:tcW w:w="1363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both"/>
              <w:rPr>
                <w:b/>
                <w:sz w:val="24"/>
                <w:szCs w:val="28"/>
              </w:rPr>
            </w:pPr>
            <w:r>
              <w:rPr>
                <w:b/>
                <w:sz w:val="24"/>
                <w:szCs w:val="28"/>
              </w:rPr>
              <w:t>Требования к доставке, маркировке, упаковке, транспортировке, перемещению, условиям хранения, приемке и испытаниям</w:t>
            </w:r>
          </w:p>
        </w:tc>
      </w:tr>
      <w:tr>
        <w:trPr/>
        <w:tc>
          <w:tcPr>
            <w:tcW w:w="7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8"/>
                <w:lang w:val="en-US"/>
              </w:rPr>
            </w:pPr>
            <w:r>
              <w:rPr>
                <w:sz w:val="24"/>
                <w:szCs w:val="28"/>
                <w:lang w:val="en-US"/>
              </w:rPr>
              <w:t>3.1</w:t>
            </w:r>
          </w:p>
        </w:tc>
        <w:tc>
          <w:tcPr>
            <w:tcW w:w="303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bCs/>
                <w:sz w:val="24"/>
                <w:szCs w:val="24"/>
              </w:rPr>
              <w:t>Маркировка, упаковка и консервация</w:t>
            </w:r>
          </w:p>
        </w:tc>
        <w:tc>
          <w:tcPr>
            <w:tcW w:w="520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2"/>
                <w:numId w:val="7"/>
              </w:numPr>
              <w:tabs>
                <w:tab w:val="clear" w:pos="708"/>
                <w:tab w:val="left" w:pos="459" w:leader="none"/>
              </w:tabs>
              <w:suppressAutoHyphens w:val="false"/>
              <w:jc w:val="both"/>
              <w:rPr>
                <w:bCs/>
                <w:sz w:val="24"/>
                <w:szCs w:val="24"/>
              </w:rPr>
            </w:pPr>
            <w:r>
              <w:rPr>
                <w:bCs/>
                <w:sz w:val="24"/>
                <w:szCs w:val="24"/>
              </w:rPr>
              <w:t>Маркировка Товара должна быть выполнена в соответствии с ГОСТ Р 52524-2019 (</w:t>
            </w:r>
            <w:r>
              <w:rPr>
                <w:bCs/>
                <w:sz w:val="24"/>
                <w:szCs w:val="24"/>
                <w:lang w:val="en-US"/>
              </w:rPr>
              <w:t>ISO</w:t>
            </w:r>
            <w:r>
              <w:rPr>
                <w:bCs/>
                <w:sz w:val="24"/>
                <w:szCs w:val="24"/>
              </w:rPr>
              <w:t xml:space="preserve"> 6346:1995) «Контейнеры грузовые. Кодирование, идентификация и маркировка».</w:t>
            </w:r>
          </w:p>
          <w:p>
            <w:pPr>
              <w:pStyle w:val="ListParagraph"/>
              <w:widowControl w:val="false"/>
              <w:numPr>
                <w:ilvl w:val="2"/>
                <w:numId w:val="7"/>
              </w:numPr>
              <w:tabs>
                <w:tab w:val="clear" w:pos="708"/>
                <w:tab w:val="left" w:pos="459" w:leader="none"/>
              </w:tabs>
              <w:suppressAutoHyphens w:val="false"/>
              <w:jc w:val="both"/>
              <w:rPr>
                <w:bCs/>
                <w:sz w:val="24"/>
                <w:szCs w:val="24"/>
              </w:rPr>
            </w:pPr>
            <w:r>
              <w:rPr>
                <w:bCs/>
                <w:sz w:val="24"/>
                <w:szCs w:val="24"/>
              </w:rPr>
              <w:t>Табличка КБК (</w:t>
            </w:r>
            <w:r>
              <w:rPr>
                <w:bCs/>
                <w:sz w:val="24"/>
                <w:szCs w:val="24"/>
                <w:lang w:val="en-US"/>
              </w:rPr>
              <w:t>CSC</w:t>
            </w:r>
            <w:r>
              <w:rPr>
                <w:bCs/>
                <w:sz w:val="24"/>
                <w:szCs w:val="24"/>
              </w:rPr>
              <w:t>-табличка) о соответствии контейнера Конвенции по безопасности контейнеров (CSC) и допуске к международным перевозкам должна быть в наличии (на внутренней стороне двери), действующей, читаемой, без следов перебивки.</w:t>
            </w:r>
          </w:p>
          <w:p>
            <w:pPr>
              <w:pStyle w:val="ListParagraph"/>
              <w:widowControl w:val="false"/>
              <w:numPr>
                <w:ilvl w:val="2"/>
                <w:numId w:val="7"/>
              </w:numPr>
              <w:tabs>
                <w:tab w:val="clear" w:pos="708"/>
                <w:tab w:val="left" w:pos="459" w:leader="none"/>
              </w:tabs>
              <w:suppressAutoHyphens w:val="false"/>
              <w:jc w:val="both"/>
              <w:rPr>
                <w:bCs/>
                <w:sz w:val="24"/>
                <w:szCs w:val="24"/>
              </w:rPr>
            </w:pPr>
            <w:r>
              <w:rPr>
                <w:bCs/>
                <w:sz w:val="24"/>
                <w:szCs w:val="24"/>
              </w:rPr>
              <w:t xml:space="preserve">Упаковка Товара </w:t>
            </w:r>
            <w:r>
              <w:rPr>
                <w:bCs/>
                <w:sz w:val="24"/>
                <w:szCs w:val="24"/>
                <w:lang w:val="en-US"/>
              </w:rPr>
              <w:t>не требуется.</w:t>
            </w:r>
          </w:p>
          <w:p>
            <w:pPr>
              <w:pStyle w:val="ListParagraph"/>
              <w:widowControl w:val="false"/>
              <w:numPr>
                <w:ilvl w:val="2"/>
                <w:numId w:val="7"/>
              </w:numPr>
              <w:tabs>
                <w:tab w:val="clear" w:pos="708"/>
                <w:tab w:val="left" w:pos="459" w:leader="none"/>
              </w:tabs>
              <w:suppressAutoHyphens w:val="false"/>
              <w:jc w:val="both"/>
              <w:rPr>
                <w:bCs/>
                <w:sz w:val="24"/>
                <w:szCs w:val="24"/>
              </w:rPr>
            </w:pPr>
            <w:r>
              <w:rPr>
                <w:bCs/>
                <w:sz w:val="24"/>
                <w:szCs w:val="24"/>
              </w:rPr>
              <w:t xml:space="preserve">Консервация Товара </w:t>
            </w:r>
            <w:r>
              <w:rPr>
                <w:bCs/>
                <w:sz w:val="24"/>
                <w:szCs w:val="24"/>
                <w:lang w:val="en-US"/>
              </w:rPr>
              <w:t>не требуется.</w:t>
            </w:r>
          </w:p>
        </w:tc>
        <w:tc>
          <w:tcPr>
            <w:tcW w:w="1807" w:type="dxa"/>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08"/>
                <w:tab w:val="left" w:pos="450" w:leader="none"/>
              </w:tabs>
              <w:ind w:left="22" w:hanging="0"/>
              <w:jc w:val="center"/>
              <w:rPr>
                <w:sz w:val="24"/>
                <w:szCs w:val="24"/>
              </w:rPr>
            </w:pPr>
            <w:r>
              <w:rPr>
                <w:i/>
                <w:sz w:val="24"/>
                <w:szCs w:val="24"/>
                <w:lang w:val="en-US"/>
              </w:rPr>
              <w:t>Согласие с требованием</w:t>
            </w:r>
          </w:p>
        </w:tc>
        <w:tc>
          <w:tcPr>
            <w:tcW w:w="1890" w:type="dxa"/>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08"/>
                <w:tab w:val="left" w:pos="450" w:leader="none"/>
              </w:tabs>
              <w:ind w:left="22" w:hanging="0"/>
              <w:jc w:val="center"/>
              <w:rPr>
                <w:sz w:val="24"/>
                <w:szCs w:val="24"/>
              </w:rPr>
            </w:pPr>
            <w:r>
              <w:rPr>
                <w:sz w:val="24"/>
                <w:szCs w:val="24"/>
                <w:lang w:val="en-US"/>
              </w:rPr>
              <w:t>-</w:t>
            </w:r>
          </w:p>
        </w:tc>
        <w:tc>
          <w:tcPr>
            <w:tcW w:w="1699" w:type="dxa"/>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08"/>
                <w:tab w:val="left" w:pos="450" w:leader="none"/>
              </w:tabs>
              <w:ind w:left="22" w:hanging="0"/>
              <w:jc w:val="center"/>
              <w:rPr>
                <w:sz w:val="24"/>
                <w:szCs w:val="24"/>
              </w:rPr>
            </w:pPr>
            <w:r>
              <w:rPr>
                <w:sz w:val="24"/>
                <w:szCs w:val="24"/>
              </w:rPr>
            </w:r>
          </w:p>
        </w:tc>
      </w:tr>
      <w:tr>
        <w:trPr/>
        <w:tc>
          <w:tcPr>
            <w:tcW w:w="7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8"/>
                <w:lang w:val="en-US"/>
              </w:rPr>
            </w:pPr>
            <w:r>
              <w:rPr>
                <w:sz w:val="24"/>
                <w:szCs w:val="28"/>
                <w:lang w:val="en-US"/>
              </w:rPr>
              <w:t>3.2</w:t>
            </w:r>
          </w:p>
        </w:tc>
        <w:tc>
          <w:tcPr>
            <w:tcW w:w="303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lang w:val="en-US"/>
              </w:rPr>
            </w:pPr>
            <w:r>
              <w:rPr>
                <w:bCs/>
                <w:sz w:val="24"/>
                <w:szCs w:val="24"/>
                <w:lang w:val="x-none" w:eastAsia="x-none"/>
              </w:rPr>
              <w:t>Условия транспорти</w:t>
            </w:r>
            <w:r>
              <w:rPr>
                <w:bCs/>
                <w:sz w:val="24"/>
                <w:szCs w:val="24"/>
                <w:lang w:eastAsia="x-none"/>
              </w:rPr>
              <w:t>-</w:t>
            </w:r>
            <w:r>
              <w:rPr>
                <w:bCs/>
                <w:sz w:val="24"/>
                <w:szCs w:val="24"/>
                <w:lang w:val="x-none" w:eastAsia="x-none"/>
              </w:rPr>
              <w:t>рования</w:t>
            </w:r>
          </w:p>
        </w:tc>
        <w:tc>
          <w:tcPr>
            <w:tcW w:w="52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50" w:leader="none"/>
              </w:tabs>
              <w:jc w:val="both"/>
              <w:rPr>
                <w:sz w:val="24"/>
                <w:szCs w:val="24"/>
              </w:rPr>
            </w:pPr>
            <w:r>
              <w:rPr>
                <w:sz w:val="24"/>
                <w:szCs w:val="28"/>
              </w:rPr>
              <w:t>3.2.1. Товар должен перевозиться всеми видами транспорта в соответствии с правилами перевозки грузов. Поставщик должен обеспечить установку и крепление Товара на транспорте, исключающие возможность механических повреждений. При этом должна обеспечиваться возможность выгрузки Товара на складе Покупателя с помощью кранов мостового типа и/или с помощью автокрана.</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50" w:leader="none"/>
              </w:tabs>
              <w:jc w:val="center"/>
              <w:rPr>
                <w:sz w:val="24"/>
                <w:szCs w:val="28"/>
              </w:rPr>
            </w:pPr>
            <w:r>
              <w:rPr>
                <w:i/>
                <w:sz w:val="24"/>
                <w:szCs w:val="24"/>
                <w:lang w:val="en-US"/>
              </w:rPr>
              <w:t>Согласие с требованием</w:t>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50" w:leader="none"/>
              </w:tabs>
              <w:jc w:val="center"/>
              <w:rPr>
                <w:sz w:val="24"/>
                <w:szCs w:val="28"/>
              </w:rPr>
            </w:pPr>
            <w:r>
              <w:rPr>
                <w:sz w:val="24"/>
                <w:szCs w:val="24"/>
                <w:lang w:val="en-US"/>
              </w:rPr>
              <w:t>-</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50" w:leader="none"/>
              </w:tabs>
              <w:jc w:val="center"/>
              <w:rPr>
                <w:sz w:val="24"/>
                <w:szCs w:val="28"/>
              </w:rPr>
            </w:pPr>
            <w:r>
              <w:rPr>
                <w:sz w:val="24"/>
                <w:szCs w:val="28"/>
              </w:rPr>
            </w:r>
          </w:p>
        </w:tc>
      </w:tr>
      <w:tr>
        <w:trPr/>
        <w:tc>
          <w:tcPr>
            <w:tcW w:w="7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8"/>
                <w:lang w:val="en-US"/>
              </w:rPr>
            </w:pPr>
            <w:r>
              <w:rPr>
                <w:sz w:val="24"/>
                <w:szCs w:val="28"/>
                <w:lang w:val="en-US"/>
              </w:rPr>
              <w:t>3.3</w:t>
            </w:r>
          </w:p>
        </w:tc>
        <w:tc>
          <w:tcPr>
            <w:tcW w:w="303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sz w:val="24"/>
                <w:szCs w:val="24"/>
                <w:lang w:val="en-US" w:eastAsia="x-none"/>
              </w:rPr>
            </w:pPr>
            <w:r>
              <w:rPr>
                <w:bCs/>
                <w:sz w:val="24"/>
                <w:szCs w:val="24"/>
                <w:lang w:val="en-US" w:eastAsia="x-none"/>
              </w:rPr>
              <w:t>Условия поставки (доставки)</w:t>
            </w:r>
          </w:p>
        </w:tc>
        <w:tc>
          <w:tcPr>
            <w:tcW w:w="520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2"/>
                <w:numId w:val="8"/>
              </w:numPr>
              <w:tabs>
                <w:tab w:val="clear" w:pos="708"/>
                <w:tab w:val="left" w:pos="31" w:leader="none"/>
                <w:tab w:val="left" w:pos="472" w:leader="none"/>
              </w:tabs>
              <w:jc w:val="both"/>
              <w:rPr>
                <w:sz w:val="24"/>
                <w:szCs w:val="24"/>
              </w:rPr>
            </w:pPr>
            <w:r>
              <w:rPr>
                <w:sz w:val="24"/>
                <w:szCs w:val="24"/>
              </w:rPr>
              <w:t>Погрузка и транспортировка Товара до склада Покупателя осуществляется собственными силами и средствами Поставщика.</w:t>
            </w:r>
          </w:p>
          <w:p>
            <w:pPr>
              <w:pStyle w:val="ListParagraph"/>
              <w:widowControl w:val="false"/>
              <w:numPr>
                <w:ilvl w:val="2"/>
                <w:numId w:val="8"/>
              </w:numPr>
              <w:tabs>
                <w:tab w:val="clear" w:pos="708"/>
                <w:tab w:val="left" w:pos="31" w:leader="none"/>
                <w:tab w:val="left" w:pos="472" w:leader="none"/>
              </w:tabs>
              <w:jc w:val="both"/>
              <w:rPr>
                <w:sz w:val="24"/>
                <w:szCs w:val="24"/>
              </w:rPr>
            </w:pPr>
            <w:r>
              <w:rPr>
                <w:sz w:val="24"/>
                <w:szCs w:val="24"/>
              </w:rPr>
              <w:t>Выгрузка Товара на территории Покупателя осуществляется собственными силами и средствами Покупателя.</w:t>
            </w:r>
          </w:p>
          <w:p>
            <w:pPr>
              <w:pStyle w:val="ListParagraph"/>
              <w:widowControl w:val="false"/>
              <w:numPr>
                <w:ilvl w:val="2"/>
                <w:numId w:val="8"/>
              </w:numPr>
              <w:tabs>
                <w:tab w:val="clear" w:pos="708"/>
                <w:tab w:val="left" w:pos="31" w:leader="none"/>
                <w:tab w:val="left" w:pos="472" w:leader="none"/>
              </w:tabs>
              <w:jc w:val="both"/>
              <w:rPr>
                <w:sz w:val="24"/>
                <w:szCs w:val="24"/>
              </w:rPr>
            </w:pPr>
            <w:r>
              <w:rPr>
                <w:sz w:val="24"/>
                <w:szCs w:val="24"/>
              </w:rPr>
              <w:t xml:space="preserve">Поставщик при организации доставки Товара должен учитывать, что выгрузка Товара на территории Покупателя производится Покупателем в будние дни с 08:00 до 17:00 часов (по московскому времени) в течение 2 часов с момента пропуска каждого транспортного средства Поставщика на территорию Покупателя. При прибытии одновременно 2-х и более транспортных средств Поставщика пропуск на территорию Покупателя осуществляется поочередно по каждому адресу, указанному в п. 3.4 таблицы 3 </w:t>
            </w:r>
            <w:r>
              <w:rPr>
                <w:sz w:val="24"/>
                <w:szCs w:val="24"/>
                <w:shd w:fill="auto" w:val="clear"/>
              </w:rPr>
              <w:t>настоящих ТТ.</w:t>
            </w:r>
          </w:p>
          <w:p>
            <w:pPr>
              <w:pStyle w:val="ListParagraph"/>
              <w:widowControl w:val="false"/>
              <w:numPr>
                <w:ilvl w:val="2"/>
                <w:numId w:val="8"/>
              </w:numPr>
              <w:tabs>
                <w:tab w:val="clear" w:pos="708"/>
                <w:tab w:val="left" w:pos="31" w:leader="none"/>
                <w:tab w:val="left" w:pos="472" w:leader="none"/>
              </w:tabs>
              <w:jc w:val="both"/>
              <w:rPr>
                <w:highlight w:val="none"/>
                <w:shd w:fill="auto" w:val="clear"/>
              </w:rPr>
            </w:pPr>
            <w:r>
              <w:rPr>
                <w:sz w:val="24"/>
                <w:szCs w:val="24"/>
                <w:shd w:fill="auto" w:val="clear"/>
              </w:rPr>
              <w:t>Поставщик должен обеспечить поставку первого контейнера каждой из 2-х партий, указанных в таблице 1 настоящих ТТ, в течение 5 рабочих дней после заключения договора, что будет свидетельствовать о начале поставки Товара каждой партии.</w:t>
            </w:r>
            <w:bookmarkStart w:id="5" w:name="_GoBack"/>
            <w:bookmarkEnd w:id="5"/>
          </w:p>
        </w:tc>
        <w:tc>
          <w:tcPr>
            <w:tcW w:w="1807" w:type="dxa"/>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08"/>
                <w:tab w:val="left" w:pos="31" w:leader="none"/>
                <w:tab w:val="left" w:pos="472" w:leader="none"/>
              </w:tabs>
              <w:ind w:left="31" w:hanging="0"/>
              <w:jc w:val="center"/>
              <w:rPr>
                <w:sz w:val="24"/>
                <w:szCs w:val="24"/>
              </w:rPr>
            </w:pPr>
            <w:r>
              <w:rPr>
                <w:i/>
                <w:sz w:val="24"/>
                <w:szCs w:val="24"/>
                <w:lang w:val="en-US"/>
              </w:rPr>
              <w:t>Согласие с требованием</w:t>
            </w:r>
          </w:p>
        </w:tc>
        <w:tc>
          <w:tcPr>
            <w:tcW w:w="1890" w:type="dxa"/>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08"/>
                <w:tab w:val="left" w:pos="31" w:leader="none"/>
                <w:tab w:val="left" w:pos="472" w:leader="none"/>
              </w:tabs>
              <w:ind w:left="31" w:hanging="0"/>
              <w:jc w:val="center"/>
              <w:rPr>
                <w:sz w:val="24"/>
                <w:szCs w:val="24"/>
              </w:rPr>
            </w:pPr>
            <w:r>
              <w:rPr>
                <w:sz w:val="24"/>
                <w:szCs w:val="24"/>
                <w:lang w:val="en-US"/>
              </w:rPr>
              <w:t>-</w:t>
            </w:r>
          </w:p>
        </w:tc>
        <w:tc>
          <w:tcPr>
            <w:tcW w:w="1699" w:type="dxa"/>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08"/>
                <w:tab w:val="left" w:pos="31" w:leader="none"/>
                <w:tab w:val="left" w:pos="472" w:leader="none"/>
              </w:tabs>
              <w:ind w:left="31" w:hanging="0"/>
              <w:jc w:val="center"/>
              <w:rPr>
                <w:sz w:val="24"/>
                <w:szCs w:val="24"/>
              </w:rPr>
            </w:pPr>
            <w:r>
              <w:rPr>
                <w:sz w:val="24"/>
                <w:szCs w:val="24"/>
              </w:rPr>
            </w:r>
          </w:p>
        </w:tc>
      </w:tr>
      <w:tr>
        <w:trPr/>
        <w:tc>
          <w:tcPr>
            <w:tcW w:w="7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8"/>
                <w:lang w:val="en-US"/>
              </w:rPr>
            </w:pPr>
            <w:r>
              <w:rPr>
                <w:sz w:val="24"/>
                <w:szCs w:val="28"/>
                <w:lang w:val="en-US"/>
              </w:rPr>
              <w:t>3.4</w:t>
            </w:r>
          </w:p>
        </w:tc>
        <w:tc>
          <w:tcPr>
            <w:tcW w:w="303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bCs/>
                <w:sz w:val="24"/>
                <w:szCs w:val="24"/>
                <w:lang w:val="en-US" w:eastAsia="x-none"/>
              </w:rPr>
            </w:pPr>
            <w:r>
              <w:rPr>
                <w:bCs/>
                <w:sz w:val="24"/>
                <w:szCs w:val="24"/>
                <w:lang w:val="en-US" w:eastAsia="x-none"/>
              </w:rPr>
              <w:t>Место поставки</w:t>
            </w:r>
          </w:p>
        </w:tc>
        <w:tc>
          <w:tcPr>
            <w:tcW w:w="520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9"/>
              </w:numPr>
              <w:ind w:left="749" w:hanging="749"/>
              <w:jc w:val="both"/>
              <w:rPr>
                <w:sz w:val="24"/>
                <w:szCs w:val="24"/>
              </w:rPr>
            </w:pPr>
            <w:r>
              <w:rPr>
                <w:b/>
                <w:sz w:val="24"/>
                <w:szCs w:val="24"/>
              </w:rPr>
              <w:t>Партия №1</w:t>
            </w:r>
            <w:r>
              <w:rPr>
                <w:sz w:val="24"/>
                <w:szCs w:val="24"/>
              </w:rPr>
              <w:t xml:space="preserve"> (согласно таблице 1 настоящих ТТ):</w:t>
            </w:r>
          </w:p>
          <w:p>
            <w:pPr>
              <w:pStyle w:val="ListParagraph"/>
              <w:widowControl w:val="false"/>
              <w:numPr>
                <w:ilvl w:val="0"/>
                <w:numId w:val="16"/>
              </w:numPr>
              <w:ind w:left="1171" w:hanging="425"/>
              <w:jc w:val="both"/>
              <w:rPr>
                <w:sz w:val="24"/>
                <w:szCs w:val="24"/>
              </w:rPr>
            </w:pPr>
            <w:r>
              <w:rPr>
                <w:sz w:val="24"/>
                <w:szCs w:val="24"/>
              </w:rPr>
              <w:t>Филиал ПАО «РусГидро» - «Чебоксарская ГЭС», Российская Федерация, Чувашская Республика, г. Новочебоксарск, ул. Набережная, влд. 34, территория Филиала.</w:t>
            </w:r>
          </w:p>
          <w:p>
            <w:pPr>
              <w:pStyle w:val="ListParagraph"/>
              <w:widowControl w:val="false"/>
              <w:numPr>
                <w:ilvl w:val="0"/>
                <w:numId w:val="9"/>
              </w:numPr>
              <w:ind w:left="749" w:hanging="749"/>
              <w:jc w:val="both"/>
              <w:rPr>
                <w:sz w:val="24"/>
                <w:szCs w:val="24"/>
              </w:rPr>
            </w:pPr>
            <w:r>
              <w:rPr>
                <w:b/>
                <w:sz w:val="24"/>
                <w:szCs w:val="24"/>
              </w:rPr>
              <w:t>Партия №2</w:t>
            </w:r>
            <w:r>
              <w:rPr>
                <w:sz w:val="24"/>
                <w:szCs w:val="24"/>
              </w:rPr>
              <w:t xml:space="preserve"> (согласно таблице 1 настоящих ТТ):</w:t>
            </w:r>
          </w:p>
          <w:p>
            <w:pPr>
              <w:pStyle w:val="ListParagraph"/>
              <w:widowControl w:val="false"/>
              <w:numPr>
                <w:ilvl w:val="0"/>
                <w:numId w:val="16"/>
              </w:numPr>
              <w:ind w:left="1171" w:hanging="425"/>
              <w:jc w:val="both"/>
              <w:rPr>
                <w:sz w:val="24"/>
                <w:szCs w:val="24"/>
              </w:rPr>
            </w:pPr>
            <w:r>
              <w:rPr>
                <w:sz w:val="24"/>
                <w:szCs w:val="24"/>
              </w:rPr>
              <w:t>Филиал ПАО «РусГидро» - «Чебоксарская ГЭС», Российская Федерация, Чувашская Республика, г Новочебоксарск, ул. Набережная, д. 44.</w:t>
              <w:tab/>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i/>
                <w:sz w:val="24"/>
                <w:szCs w:val="24"/>
              </w:rPr>
              <w:t>Согласие с требованием</w:t>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r>
          </w:p>
        </w:tc>
      </w:tr>
      <w:tr>
        <w:trPr/>
        <w:tc>
          <w:tcPr>
            <w:tcW w:w="7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8"/>
              </w:rPr>
            </w:pPr>
            <w:r>
              <w:rPr>
                <w:sz w:val="24"/>
                <w:szCs w:val="28"/>
              </w:rPr>
              <w:t>3.5</w:t>
            </w:r>
          </w:p>
        </w:tc>
        <w:tc>
          <w:tcPr>
            <w:tcW w:w="303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both"/>
              <w:outlineLvl w:val="0"/>
              <w:rPr>
                <w:bCs/>
                <w:sz w:val="24"/>
                <w:szCs w:val="24"/>
              </w:rPr>
            </w:pPr>
            <w:r>
              <w:rPr>
                <w:bCs/>
                <w:sz w:val="24"/>
                <w:szCs w:val="24"/>
              </w:rPr>
              <w:t>Условия приемки</w:t>
            </w:r>
          </w:p>
          <w:p>
            <w:pPr>
              <w:pStyle w:val="Normal"/>
              <w:widowControl w:val="false"/>
              <w:jc w:val="both"/>
              <w:rPr>
                <w:bCs/>
                <w:sz w:val="24"/>
                <w:szCs w:val="24"/>
                <w:lang w:eastAsia="x-none"/>
              </w:rPr>
            </w:pPr>
            <w:r>
              <w:rPr>
                <w:bCs/>
                <w:sz w:val="24"/>
                <w:szCs w:val="24"/>
              </w:rPr>
              <w:t>(входной контроль)</w:t>
            </w:r>
          </w:p>
        </w:tc>
        <w:tc>
          <w:tcPr>
            <w:tcW w:w="520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2"/>
                <w:numId w:val="11"/>
              </w:numPr>
              <w:tabs>
                <w:tab w:val="clear" w:pos="708"/>
                <w:tab w:val="left" w:pos="459" w:leader="none"/>
              </w:tabs>
              <w:jc w:val="both"/>
              <w:rPr>
                <w:rFonts w:eastAsia="Calibri"/>
                <w:sz w:val="24"/>
                <w:szCs w:val="24"/>
              </w:rPr>
            </w:pPr>
            <w:r>
              <w:rPr>
                <w:rFonts w:eastAsia="Calibri"/>
                <w:sz w:val="24"/>
                <w:szCs w:val="24"/>
              </w:rPr>
              <w:t>Производитель (Поставщик) должен обеспечить входной контроль поставляемого Товара на территории Покупателя.</w:t>
            </w:r>
          </w:p>
          <w:p>
            <w:pPr>
              <w:pStyle w:val="ListParagraph"/>
              <w:widowControl w:val="false"/>
              <w:numPr>
                <w:ilvl w:val="2"/>
                <w:numId w:val="11"/>
              </w:numPr>
              <w:tabs>
                <w:tab w:val="clear" w:pos="708"/>
                <w:tab w:val="left" w:pos="459" w:leader="none"/>
              </w:tabs>
              <w:jc w:val="both"/>
              <w:rPr>
                <w:rFonts w:eastAsia="Calibri"/>
                <w:sz w:val="24"/>
                <w:szCs w:val="24"/>
              </w:rPr>
            </w:pPr>
            <w:r>
              <w:rPr>
                <w:bCs/>
                <w:sz w:val="24"/>
                <w:szCs w:val="24"/>
              </w:rPr>
              <w:t xml:space="preserve">Входной контроль Товара, проводимый Покупателем в присутствии уполномоченного представителя производителя (Поставщика), должен включать: </w:t>
            </w:r>
          </w:p>
          <w:p>
            <w:pPr>
              <w:pStyle w:val="ListParagraph"/>
              <w:widowControl w:val="false"/>
              <w:numPr>
                <w:ilvl w:val="0"/>
                <w:numId w:val="2"/>
              </w:numPr>
              <w:tabs>
                <w:tab w:val="clear" w:pos="708"/>
                <w:tab w:val="left" w:pos="459" w:leader="none"/>
                <w:tab w:val="left" w:pos="1033" w:leader="none"/>
              </w:tabs>
              <w:ind w:left="1033" w:hanging="284"/>
              <w:jc w:val="both"/>
              <w:rPr>
                <w:bCs/>
                <w:sz w:val="24"/>
                <w:szCs w:val="24"/>
              </w:rPr>
            </w:pPr>
            <w:r>
              <w:rPr>
                <w:bCs/>
                <w:sz w:val="24"/>
                <w:szCs w:val="24"/>
              </w:rPr>
              <w:t>визуальный осмотр и инструментальный контроль (при необходимости) на соответствие требованиям настоящих ТТ, в том числе, но не ограничиваясь, по п. 2.2 и 3.1 таблицы 3 настоящих ТТ.</w:t>
            </w:r>
          </w:p>
          <w:p>
            <w:pPr>
              <w:pStyle w:val="ListParagraph"/>
              <w:widowControl w:val="false"/>
              <w:numPr>
                <w:ilvl w:val="2"/>
                <w:numId w:val="11"/>
              </w:numPr>
              <w:jc w:val="both"/>
              <w:rPr>
                <w:sz w:val="24"/>
                <w:szCs w:val="24"/>
              </w:rPr>
            </w:pPr>
            <w:r>
              <w:rPr>
                <w:bCs/>
                <w:sz w:val="24"/>
                <w:szCs w:val="24"/>
              </w:rPr>
              <w:t>Допускается по согласованию Сторон (Покупателя и Поставщика) проводить входной контроль без участия уполномоченного представителя Производителя (Поставщика).</w:t>
            </w:r>
          </w:p>
        </w:tc>
        <w:tc>
          <w:tcPr>
            <w:tcW w:w="1807" w:type="dxa"/>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08"/>
                <w:tab w:val="left" w:pos="459" w:leader="none"/>
              </w:tabs>
              <w:ind w:left="34" w:hanging="0"/>
              <w:jc w:val="center"/>
              <w:rPr>
                <w:rFonts w:eastAsia="Calibri"/>
                <w:sz w:val="24"/>
                <w:szCs w:val="24"/>
              </w:rPr>
            </w:pPr>
            <w:r>
              <w:rPr>
                <w:i/>
                <w:sz w:val="24"/>
                <w:szCs w:val="24"/>
                <w:lang w:val="en-US"/>
              </w:rPr>
              <w:t>Согласие с требованием</w:t>
            </w:r>
          </w:p>
        </w:tc>
        <w:tc>
          <w:tcPr>
            <w:tcW w:w="1890" w:type="dxa"/>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08"/>
                <w:tab w:val="left" w:pos="459" w:leader="none"/>
              </w:tabs>
              <w:ind w:left="34" w:hanging="0"/>
              <w:jc w:val="center"/>
              <w:rPr>
                <w:rFonts w:eastAsia="Calibri"/>
                <w:sz w:val="24"/>
                <w:szCs w:val="24"/>
              </w:rPr>
            </w:pPr>
            <w:r>
              <w:rPr>
                <w:sz w:val="24"/>
                <w:szCs w:val="24"/>
                <w:lang w:val="en-US"/>
              </w:rPr>
              <w:t>-</w:t>
            </w:r>
          </w:p>
        </w:tc>
        <w:tc>
          <w:tcPr>
            <w:tcW w:w="1699" w:type="dxa"/>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08"/>
                <w:tab w:val="left" w:pos="459" w:leader="none"/>
              </w:tabs>
              <w:ind w:left="34" w:hanging="0"/>
              <w:jc w:val="center"/>
              <w:rPr>
                <w:rFonts w:eastAsia="Calibri"/>
                <w:sz w:val="24"/>
                <w:szCs w:val="24"/>
              </w:rPr>
            </w:pPr>
            <w:r>
              <w:rPr>
                <w:rFonts w:eastAsia="Calibri"/>
                <w:sz w:val="24"/>
                <w:szCs w:val="24"/>
              </w:rPr>
            </w:r>
          </w:p>
        </w:tc>
      </w:tr>
      <w:tr>
        <w:trPr/>
        <w:tc>
          <w:tcPr>
            <w:tcW w:w="7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8"/>
                <w:lang w:val="en-US"/>
              </w:rPr>
            </w:pPr>
            <w:r>
              <w:rPr>
                <w:b/>
                <w:sz w:val="24"/>
                <w:szCs w:val="28"/>
                <w:lang w:val="en-US"/>
              </w:rPr>
              <w:t>4</w:t>
            </w:r>
          </w:p>
        </w:tc>
        <w:tc>
          <w:tcPr>
            <w:tcW w:w="1363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both"/>
              <w:rPr>
                <w:b/>
                <w:sz w:val="24"/>
                <w:szCs w:val="28"/>
              </w:rPr>
            </w:pPr>
            <w:r>
              <w:rPr>
                <w:b/>
                <w:sz w:val="24"/>
                <w:szCs w:val="28"/>
              </w:rPr>
              <w:t>Требования к гарантиям, гарантийному и послегарантийному обслуживанию</w:t>
            </w:r>
          </w:p>
        </w:tc>
      </w:tr>
      <w:tr>
        <w:trPr/>
        <w:tc>
          <w:tcPr>
            <w:tcW w:w="7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8"/>
                <w:lang w:val="en-US"/>
              </w:rPr>
            </w:pPr>
            <w:r>
              <w:rPr>
                <w:sz w:val="24"/>
                <w:szCs w:val="28"/>
                <w:lang w:val="en-US"/>
              </w:rPr>
              <w:t>4.1</w:t>
            </w:r>
          </w:p>
        </w:tc>
        <w:tc>
          <w:tcPr>
            <w:tcW w:w="303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both"/>
              <w:outlineLvl w:val="0"/>
              <w:rPr>
                <w:bCs/>
                <w:sz w:val="24"/>
                <w:szCs w:val="24"/>
              </w:rPr>
            </w:pPr>
            <w:r>
              <w:rPr>
                <w:bCs/>
                <w:sz w:val="24"/>
                <w:szCs w:val="24"/>
              </w:rPr>
              <w:t>Срок</w:t>
            </w:r>
            <w:r>
              <w:rPr>
                <w:bCs/>
                <w:sz w:val="24"/>
                <w:szCs w:val="24"/>
                <w:lang w:val="en-US"/>
              </w:rPr>
              <w:t xml:space="preserve"> </w:t>
            </w:r>
            <w:r>
              <w:rPr>
                <w:bCs/>
                <w:sz w:val="24"/>
                <w:szCs w:val="24"/>
              </w:rPr>
              <w:t>гарантии</w:t>
            </w:r>
          </w:p>
        </w:tc>
        <w:tc>
          <w:tcPr>
            <w:tcW w:w="520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2"/>
              </w:numPr>
              <w:tabs>
                <w:tab w:val="clear" w:pos="708"/>
                <w:tab w:val="left" w:pos="356" w:leader="none"/>
              </w:tabs>
              <w:ind w:left="749" w:hanging="749"/>
              <w:jc w:val="both"/>
              <w:rPr>
                <w:bCs/>
                <w:sz w:val="24"/>
                <w:szCs w:val="24"/>
                <w:lang w:eastAsia="x-none"/>
              </w:rPr>
            </w:pPr>
            <w:r>
              <w:rPr>
                <w:bCs/>
                <w:sz w:val="24"/>
                <w:szCs w:val="24"/>
                <w:lang w:eastAsia="x-none"/>
              </w:rPr>
              <w:t>Гарантийный срок на Товар, поставленный по Договору, должен составлять не менее 3 календарных месяцев с даты подписания Сторонами накладной ТОРГ-12 или УПД.</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24"/>
                <w:szCs w:val="24"/>
              </w:rPr>
            </w:pPr>
            <w:r>
              <w:rPr>
                <w:i/>
                <w:sz w:val="24"/>
                <w:szCs w:val="28"/>
                <w:lang w:val="en-US"/>
              </w:rPr>
              <w:t>У</w:t>
            </w:r>
            <w:r>
              <w:rPr>
                <w:i/>
                <w:sz w:val="24"/>
                <w:szCs w:val="28"/>
              </w:rPr>
              <w:t>казание характе</w:t>
            </w:r>
            <w:r>
              <w:rPr>
                <w:i/>
                <w:sz w:val="24"/>
                <w:szCs w:val="28"/>
                <w:lang w:val="en-US"/>
              </w:rPr>
              <w:t>-</w:t>
            </w:r>
            <w:r>
              <w:rPr>
                <w:i/>
                <w:sz w:val="24"/>
                <w:szCs w:val="28"/>
              </w:rPr>
              <w:t>ристик</w:t>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24"/>
                <w:szCs w:val="24"/>
              </w:rPr>
            </w:pPr>
            <w:r>
              <w:rPr>
                <w:sz w:val="24"/>
                <w:szCs w:val="24"/>
                <w:lang w:val="en-US"/>
              </w:rPr>
              <w:t>-</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24"/>
                <w:szCs w:val="24"/>
              </w:rPr>
            </w:pPr>
            <w:r>
              <w:rPr>
                <w:bCs/>
                <w:sz w:val="24"/>
                <w:szCs w:val="24"/>
              </w:rPr>
            </w:r>
          </w:p>
        </w:tc>
      </w:tr>
      <w:tr>
        <w:trPr/>
        <w:tc>
          <w:tcPr>
            <w:tcW w:w="7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8"/>
                <w:lang w:val="en-US"/>
              </w:rPr>
            </w:pPr>
            <w:r>
              <w:rPr>
                <w:b/>
                <w:sz w:val="24"/>
                <w:szCs w:val="28"/>
                <w:lang w:val="en-US"/>
              </w:rPr>
              <w:t>5</w:t>
            </w:r>
          </w:p>
        </w:tc>
        <w:tc>
          <w:tcPr>
            <w:tcW w:w="1363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both"/>
              <w:rPr>
                <w:b/>
                <w:sz w:val="24"/>
                <w:szCs w:val="28"/>
              </w:rPr>
            </w:pPr>
            <w:r>
              <w:rPr>
                <w:b/>
                <w:sz w:val="24"/>
                <w:szCs w:val="28"/>
              </w:rPr>
              <w:t>Требования к комплектации и документам, поставляемым вместе с Товаром</w:t>
            </w:r>
          </w:p>
        </w:tc>
      </w:tr>
      <w:tr>
        <w:trPr/>
        <w:tc>
          <w:tcPr>
            <w:tcW w:w="7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8"/>
                <w:lang w:val="en-US"/>
              </w:rPr>
            </w:pPr>
            <w:r>
              <w:rPr>
                <w:sz w:val="24"/>
                <w:szCs w:val="28"/>
                <w:lang w:val="en-US"/>
              </w:rPr>
              <w:t>5.1</w:t>
            </w:r>
          </w:p>
        </w:tc>
        <w:tc>
          <w:tcPr>
            <w:tcW w:w="303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bookmarkStart w:id="6" w:name="_Toc18488164"/>
            <w:bookmarkStart w:id="7" w:name="_Toc18488299"/>
            <w:r>
              <w:rPr>
                <w:sz w:val="24"/>
                <w:szCs w:val="24"/>
                <w:lang w:val="x-none" w:eastAsia="x-none"/>
              </w:rPr>
              <w:t>Объем комплектации</w:t>
            </w:r>
            <w:bookmarkEnd w:id="6"/>
            <w:bookmarkEnd w:id="7"/>
          </w:p>
        </w:tc>
        <w:tc>
          <w:tcPr>
            <w:tcW w:w="520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2"/>
                <w:numId w:val="13"/>
              </w:numPr>
              <w:tabs>
                <w:tab w:val="clear" w:pos="708"/>
                <w:tab w:val="left" w:pos="459" w:leader="none"/>
              </w:tabs>
              <w:jc w:val="both"/>
              <w:outlineLvl w:val="0"/>
              <w:rPr>
                <w:bCs/>
                <w:sz w:val="24"/>
                <w:szCs w:val="24"/>
                <w:lang w:eastAsia="x-none"/>
              </w:rPr>
            </w:pPr>
            <w:r>
              <w:rPr>
                <w:sz w:val="24"/>
                <w:szCs w:val="24"/>
              </w:rPr>
              <w:t>Товар поставляется в номенклатуре и количестве в соответствии с таблицей 1 настоящих ТТ.</w:t>
            </w:r>
          </w:p>
        </w:tc>
        <w:tc>
          <w:tcPr>
            <w:tcW w:w="180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tabs>
                <w:tab w:val="clear" w:pos="708"/>
                <w:tab w:val="left" w:pos="459" w:leader="none"/>
              </w:tabs>
              <w:ind w:left="34" w:right="-57" w:hanging="0"/>
              <w:jc w:val="center"/>
              <w:outlineLvl w:val="0"/>
              <w:rPr>
                <w:sz w:val="24"/>
                <w:szCs w:val="24"/>
              </w:rPr>
            </w:pPr>
            <w:r>
              <w:rPr>
                <w:i/>
                <w:sz w:val="24"/>
                <w:szCs w:val="24"/>
                <w:lang w:val="en-US"/>
              </w:rPr>
              <w:t>Согласие с требованием</w:t>
            </w:r>
          </w:p>
        </w:tc>
        <w:tc>
          <w:tcPr>
            <w:tcW w:w="189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tabs>
                <w:tab w:val="clear" w:pos="708"/>
                <w:tab w:val="left" w:pos="459" w:leader="none"/>
              </w:tabs>
              <w:ind w:left="34" w:right="-57" w:hanging="0"/>
              <w:jc w:val="center"/>
              <w:outlineLvl w:val="0"/>
              <w:rPr>
                <w:sz w:val="24"/>
                <w:szCs w:val="24"/>
              </w:rPr>
            </w:pPr>
            <w:r>
              <w:rPr>
                <w:sz w:val="24"/>
                <w:szCs w:val="24"/>
                <w:lang w:val="en-US"/>
              </w:rPr>
              <w:t>-</w:t>
            </w:r>
          </w:p>
        </w:tc>
        <w:tc>
          <w:tcPr>
            <w:tcW w:w="1699"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tabs>
                <w:tab w:val="clear" w:pos="708"/>
                <w:tab w:val="left" w:pos="459" w:leader="none"/>
              </w:tabs>
              <w:ind w:left="34" w:right="-57" w:hanging="0"/>
              <w:jc w:val="center"/>
              <w:outlineLvl w:val="0"/>
              <w:rPr>
                <w:sz w:val="24"/>
                <w:szCs w:val="24"/>
              </w:rPr>
            </w:pPr>
            <w:r>
              <w:rPr>
                <w:sz w:val="24"/>
                <w:szCs w:val="24"/>
              </w:rPr>
            </w:r>
          </w:p>
        </w:tc>
      </w:tr>
      <w:tr>
        <w:trPr/>
        <w:tc>
          <w:tcPr>
            <w:tcW w:w="7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8"/>
                <w:lang w:val="en-US"/>
              </w:rPr>
            </w:pPr>
            <w:r>
              <w:rPr>
                <w:sz w:val="24"/>
                <w:szCs w:val="28"/>
                <w:lang w:val="en-US"/>
              </w:rPr>
              <w:t>5.2</w:t>
            </w:r>
          </w:p>
        </w:tc>
        <w:tc>
          <w:tcPr>
            <w:tcW w:w="3036"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numPr>
                <w:ilvl w:val="0"/>
                <w:numId w:val="0"/>
              </w:numPr>
              <w:ind w:left="0" w:hanging="0"/>
              <w:outlineLvl w:val="0"/>
              <w:rPr>
                <w:bCs/>
                <w:sz w:val="24"/>
                <w:szCs w:val="24"/>
              </w:rPr>
            </w:pPr>
            <w:r>
              <w:rPr>
                <w:bCs/>
                <w:sz w:val="24"/>
                <w:szCs w:val="24"/>
                <w:lang w:eastAsia="x-none"/>
              </w:rPr>
              <w:t>Документы, подтверждающие качество Товара и передаваемые вместе с ним Покупателю</w:t>
            </w:r>
          </w:p>
        </w:tc>
        <w:tc>
          <w:tcPr>
            <w:tcW w:w="520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both"/>
              <w:rPr>
                <w:bCs/>
                <w:sz w:val="24"/>
                <w:szCs w:val="24"/>
                <w:lang w:eastAsia="x-none"/>
              </w:rPr>
            </w:pPr>
            <w:r>
              <w:rPr>
                <w:bCs/>
                <w:sz w:val="24"/>
                <w:szCs w:val="24"/>
                <w:lang w:eastAsia="x-none"/>
              </w:rPr>
              <w:t>Производитель (Поставщик) вместе с Товаром должен предоставить Покупателю следующую сопроводительную документацию на бумажном носителе, оформленные надлежащим образом (оригиналы):</w:t>
            </w:r>
          </w:p>
          <w:p>
            <w:pPr>
              <w:pStyle w:val="ListParagraph"/>
              <w:widowControl w:val="false"/>
              <w:numPr>
                <w:ilvl w:val="0"/>
                <w:numId w:val="10"/>
              </w:numPr>
              <w:tabs>
                <w:tab w:val="clear" w:pos="708"/>
                <w:tab w:val="left" w:pos="356" w:leader="none"/>
              </w:tabs>
              <w:suppressAutoHyphens w:val="false"/>
              <w:ind w:left="324" w:hanging="324"/>
              <w:jc w:val="both"/>
              <w:rPr>
                <w:bCs/>
                <w:sz w:val="24"/>
                <w:szCs w:val="24"/>
                <w:lang w:eastAsia="x-none"/>
              </w:rPr>
            </w:pPr>
            <w:r>
              <w:rPr>
                <w:bCs/>
                <w:sz w:val="24"/>
                <w:szCs w:val="24"/>
                <w:lang w:eastAsia="x-none"/>
              </w:rPr>
              <w:t>товарно-транспортные накладные по форме № 1-Т (ТТН);</w:t>
            </w:r>
          </w:p>
          <w:p>
            <w:pPr>
              <w:pStyle w:val="ListParagraph"/>
              <w:widowControl w:val="false"/>
              <w:numPr>
                <w:ilvl w:val="0"/>
                <w:numId w:val="10"/>
              </w:numPr>
              <w:tabs>
                <w:tab w:val="clear" w:pos="708"/>
                <w:tab w:val="left" w:pos="356" w:leader="none"/>
              </w:tabs>
              <w:suppressAutoHyphens w:val="false"/>
              <w:ind w:left="324" w:hanging="324"/>
              <w:jc w:val="both"/>
              <w:rPr>
                <w:bCs/>
                <w:sz w:val="24"/>
                <w:szCs w:val="24"/>
                <w:lang w:eastAsia="x-none"/>
              </w:rPr>
            </w:pPr>
            <w:r>
              <w:rPr>
                <w:bCs/>
                <w:sz w:val="24"/>
                <w:szCs w:val="24"/>
                <w:lang w:eastAsia="x-none"/>
              </w:rPr>
              <w:t>накладные ТОРГ-12 или универсальные передаточные акты (УПД);</w:t>
            </w:r>
          </w:p>
          <w:p>
            <w:pPr>
              <w:pStyle w:val="ListParagraph"/>
              <w:widowControl w:val="false"/>
              <w:numPr>
                <w:ilvl w:val="0"/>
                <w:numId w:val="10"/>
              </w:numPr>
              <w:tabs>
                <w:tab w:val="clear" w:pos="708"/>
                <w:tab w:val="left" w:pos="356" w:leader="none"/>
              </w:tabs>
              <w:suppressAutoHyphens w:val="false"/>
              <w:ind w:left="324" w:hanging="324"/>
              <w:jc w:val="both"/>
              <w:rPr>
                <w:bCs/>
                <w:sz w:val="24"/>
                <w:szCs w:val="24"/>
                <w:lang w:eastAsia="x-none"/>
              </w:rPr>
            </w:pPr>
            <w:r>
              <w:rPr>
                <w:bCs/>
                <w:sz w:val="24"/>
                <w:szCs w:val="24"/>
                <w:lang w:val="en-US" w:eastAsia="x-none"/>
              </w:rPr>
              <w:t>счет-фактуры;</w:t>
            </w:r>
          </w:p>
          <w:p>
            <w:pPr>
              <w:pStyle w:val="ListParagraph"/>
              <w:widowControl w:val="false"/>
              <w:numPr>
                <w:ilvl w:val="0"/>
                <w:numId w:val="10"/>
              </w:numPr>
              <w:tabs>
                <w:tab w:val="clear" w:pos="708"/>
                <w:tab w:val="left" w:pos="360" w:leader="none"/>
              </w:tabs>
              <w:suppressAutoHyphens w:val="false"/>
              <w:ind w:left="324" w:hanging="324"/>
              <w:jc w:val="both"/>
              <w:rPr>
                <w:bCs/>
                <w:sz w:val="24"/>
                <w:szCs w:val="24"/>
                <w:lang w:eastAsia="x-none"/>
              </w:rPr>
            </w:pPr>
            <w:r>
              <w:rPr>
                <w:bCs/>
                <w:sz w:val="24"/>
                <w:szCs w:val="24"/>
                <w:lang w:eastAsia="x-none"/>
              </w:rPr>
              <w:t>акт приема-передачи (в свободной форме, если конкретная форма не определена условиями Договора поставки, с указанием уникальных идентификационных номеров (кодов) контейнеров).</w:t>
            </w:r>
          </w:p>
        </w:tc>
        <w:tc>
          <w:tcPr>
            <w:tcW w:w="18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center"/>
              <w:rPr>
                <w:bCs/>
                <w:sz w:val="24"/>
                <w:szCs w:val="24"/>
                <w:lang w:eastAsia="x-none"/>
              </w:rPr>
            </w:pPr>
            <w:r>
              <w:rPr>
                <w:i/>
                <w:sz w:val="24"/>
                <w:szCs w:val="24"/>
                <w:lang w:val="en-US"/>
              </w:rPr>
              <w:t>Согласие с требованием</w:t>
            </w:r>
          </w:p>
        </w:tc>
        <w:tc>
          <w:tcPr>
            <w:tcW w:w="1890"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center"/>
              <w:rPr>
                <w:bCs/>
                <w:sz w:val="24"/>
                <w:szCs w:val="24"/>
                <w:lang w:eastAsia="x-none"/>
              </w:rPr>
            </w:pPr>
            <w:r>
              <w:rPr>
                <w:sz w:val="24"/>
                <w:szCs w:val="24"/>
                <w:lang w:val="en-US"/>
              </w:rPr>
              <w:t>-</w:t>
            </w:r>
          </w:p>
        </w:tc>
        <w:tc>
          <w:tcPr>
            <w:tcW w:w="169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center"/>
              <w:rPr>
                <w:bCs/>
                <w:sz w:val="24"/>
                <w:szCs w:val="24"/>
                <w:lang w:eastAsia="x-none"/>
              </w:rPr>
            </w:pPr>
            <w:r>
              <w:rPr>
                <w:bCs/>
                <w:sz w:val="24"/>
                <w:szCs w:val="24"/>
                <w:lang w:eastAsia="x-none"/>
              </w:rPr>
            </w:r>
          </w:p>
        </w:tc>
      </w:tr>
    </w:tbl>
    <w:p>
      <w:pPr>
        <w:sectPr>
          <w:headerReference w:type="default" r:id="rId12"/>
          <w:headerReference w:type="first" r:id="rId13"/>
          <w:footerReference w:type="default" r:id="rId14"/>
          <w:footerReference w:type="first" r:id="rId15"/>
          <w:type w:val="nextPage"/>
          <w:pgSz w:orient="landscape" w:w="16838" w:h="11906"/>
          <w:pgMar w:left="1701" w:right="709" w:gutter="0" w:header="709" w:top="1134" w:footer="709" w:bottom="766"/>
          <w:pgNumType w:fmt="decimal"/>
          <w:formProt w:val="false"/>
          <w:titlePg/>
          <w:textDirection w:val="lrTb"/>
          <w:docGrid w:type="default" w:linePitch="360" w:charSpace="0"/>
        </w:sectPr>
      </w:pPr>
    </w:p>
    <w:p>
      <w:pPr>
        <w:pStyle w:val="Heading1"/>
        <w:tabs>
          <w:tab w:val="clear" w:pos="708"/>
          <w:tab w:val="left" w:pos="796" w:leader="none"/>
          <w:tab w:val="left" w:pos="851" w:leader="none"/>
          <w:tab w:val="left" w:pos="993" w:leader="none"/>
        </w:tabs>
        <w:spacing w:before="0" w:after="0"/>
        <w:ind w:left="737" w:hanging="0"/>
        <w:rPr>
          <w:rFonts w:ascii="Times New Roman" w:hAnsi="Times New Roman" w:cs="Times New Roman"/>
          <w:sz w:val="24"/>
          <w:szCs w:val="24"/>
        </w:rPr>
      </w:pPr>
      <w:r>
        <w:rPr>
          <w:rFonts w:cs="Times New Roman" w:ascii="Times New Roman" w:hAnsi="Times New Roman"/>
          <w:sz w:val="24"/>
          <w:szCs w:val="24"/>
        </w:rPr>
        <w:t>3. Требования к документации по ценообразованию на этапе закупки</w:t>
      </w:r>
    </w:p>
    <w:p>
      <w:pPr>
        <w:pStyle w:val="Heading1"/>
        <w:tabs>
          <w:tab w:val="clear" w:pos="708"/>
          <w:tab w:val="left" w:pos="851" w:leader="none"/>
          <w:tab w:val="left" w:pos="993" w:leader="none"/>
        </w:tabs>
        <w:spacing w:before="0" w:after="0"/>
        <w:ind w:firstLine="709"/>
        <w:jc w:val="both"/>
        <w:rPr>
          <w:rFonts w:ascii="Times New Roman" w:hAnsi="Times New Roman" w:cs="Times New Roman"/>
          <w:b w:val="false"/>
          <w:sz w:val="24"/>
          <w:szCs w:val="24"/>
        </w:rPr>
      </w:pPr>
      <w:r>
        <w:rPr>
          <w:rFonts w:cs="Times New Roman" w:ascii="Times New Roman" w:hAnsi="Times New Roman"/>
          <w:b w:val="false"/>
          <w:sz w:val="24"/>
          <w:szCs w:val="24"/>
        </w:rPr>
        <w:t>3.1. Стоимость Товара должна включать затраты на погрузку, транспортировку, упаковку, маркировку, страхование, уплату налогов, таможенных пошлин, сборов и все остальные расходы, связанные с исполнением обязательств Участника по договору.</w:t>
      </w:r>
    </w:p>
    <w:p>
      <w:pPr>
        <w:pStyle w:val="Heading1"/>
        <w:keepNext w:val="false"/>
        <w:tabs>
          <w:tab w:val="clear" w:pos="708"/>
          <w:tab w:val="left" w:pos="709" w:leader="none"/>
          <w:tab w:val="left" w:pos="851" w:leader="none"/>
          <w:tab w:val="left" w:pos="993" w:leader="none"/>
        </w:tabs>
        <w:spacing w:before="0" w:after="0"/>
        <w:ind w:left="709" w:hanging="0"/>
        <w:rPr>
          <w:rFonts w:ascii="Times New Roman" w:hAnsi="Times New Roman" w:cs="Times New Roman"/>
          <w:sz w:val="24"/>
          <w:szCs w:val="24"/>
        </w:rPr>
      </w:pPr>
      <w:r>
        <w:rPr>
          <w:rFonts w:cs="Times New Roman" w:ascii="Times New Roman" w:hAnsi="Times New Roman"/>
          <w:sz w:val="24"/>
          <w:szCs w:val="24"/>
        </w:rPr>
      </w:r>
    </w:p>
    <w:p>
      <w:pPr>
        <w:pStyle w:val="Heading1"/>
        <w:keepNext w:val="false"/>
        <w:tabs>
          <w:tab w:val="clear" w:pos="708"/>
          <w:tab w:val="left" w:pos="993" w:leader="none"/>
          <w:tab w:val="left" w:pos="1276" w:leader="none"/>
        </w:tabs>
        <w:spacing w:before="0" w:after="0"/>
        <w:ind w:left="709" w:hanging="0"/>
        <w:rPr>
          <w:rFonts w:ascii="Times New Roman" w:hAnsi="Times New Roman" w:cs="Times New Roman"/>
          <w:sz w:val="24"/>
          <w:szCs w:val="24"/>
        </w:rPr>
      </w:pPr>
      <w:r>
        <w:rPr>
          <w:rFonts w:cs="Times New Roman" w:ascii="Times New Roman" w:hAnsi="Times New Roman"/>
          <w:sz w:val="24"/>
          <w:szCs w:val="24"/>
          <w:lang w:val="en-US"/>
        </w:rPr>
        <w:t xml:space="preserve">4. </w:t>
      </w:r>
      <w:r>
        <w:rPr>
          <w:rFonts w:cs="Times New Roman" w:ascii="Times New Roman" w:hAnsi="Times New Roman"/>
          <w:sz w:val="24"/>
          <w:szCs w:val="24"/>
        </w:rPr>
        <w:t>Приложения</w:t>
      </w:r>
    </w:p>
    <w:p>
      <w:pPr>
        <w:pStyle w:val="BodyText"/>
        <w:widowControl/>
        <w:numPr>
          <w:ilvl w:val="1"/>
          <w:numId w:val="5"/>
        </w:numPr>
        <w:tabs>
          <w:tab w:val="clear" w:pos="708"/>
          <w:tab w:val="left" w:pos="1134" w:leader="none"/>
        </w:tabs>
        <w:spacing w:before="0" w:after="0"/>
        <w:ind w:left="0" w:firstLine="709"/>
        <w:jc w:val="both"/>
        <w:rPr>
          <w:sz w:val="24"/>
          <w:szCs w:val="24"/>
        </w:rPr>
      </w:pPr>
      <w:r>
        <w:rPr>
          <w:sz w:val="24"/>
          <w:szCs w:val="24"/>
        </w:rPr>
        <w:t>Приложение №1. Регламент допуска персонала подрядных организаций на объекты группы РусГидро.</w:t>
      </w:r>
    </w:p>
    <w:p>
      <w:pPr>
        <w:pStyle w:val="BodyText"/>
        <w:widowControl/>
        <w:numPr>
          <w:ilvl w:val="1"/>
          <w:numId w:val="5"/>
        </w:numPr>
        <w:tabs>
          <w:tab w:val="clear" w:pos="708"/>
          <w:tab w:val="left" w:pos="851" w:leader="none"/>
          <w:tab w:val="left" w:pos="1134" w:leader="none"/>
          <w:tab w:val="left" w:pos="1162" w:leader="none"/>
        </w:tabs>
        <w:spacing w:before="0" w:after="0"/>
        <w:jc w:val="both"/>
        <w:rPr>
          <w:sz w:val="24"/>
          <w:szCs w:val="24"/>
        </w:rPr>
      </w:pPr>
      <w:r>
        <w:rPr>
          <w:sz w:val="24"/>
          <w:szCs w:val="24"/>
        </w:rPr>
        <w:t xml:space="preserve"> </w:t>
      </w:r>
      <w:r>
        <w:rPr>
          <w:sz w:val="24"/>
          <w:szCs w:val="24"/>
        </w:rPr>
        <w:t>Приложение №2. Анкета и согласие на обработку персональных данных.</w:t>
      </w:r>
    </w:p>
    <w:sectPr>
      <w:headerReference w:type="default" r:id="rId16"/>
      <w:headerReference w:type="first" r:id="rId17"/>
      <w:footerReference w:type="default" r:id="rId18"/>
      <w:footerReference w:type="first" r:id="rId19"/>
      <w:type w:val="nextPage"/>
      <w:pgSz w:w="11906" w:h="16838"/>
      <w:pgMar w:left="1134" w:right="567" w:gutter="0" w:header="709" w:top="766" w:footer="709" w:bottom="170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556140431"/>
    </w:sdtPr>
    <w:sdtContent>
      <w:p>
        <w:pPr>
          <w:pStyle w:val="Header"/>
          <w:jc w:val="center"/>
          <w:rPr/>
        </w:pPr>
        <w:r>
          <w:rPr/>
        </w:r>
      </w:p>
      <w:p>
        <w:pPr>
          <w:pStyle w:val="Header"/>
          <w:jc w:val="center"/>
          <w:rPr/>
        </w:pPr>
        <w:r>
          <w:rPr/>
        </w:r>
      </w:p>
      <w:p>
        <w:pPr>
          <w:pStyle w:val="Header"/>
          <w:jc w:val="center"/>
          <w:rPr>
            <w:sz w:val="24"/>
            <w:szCs w:val="24"/>
          </w:rPr>
        </w:pPr>
        <w:r>
          <w:rPr>
            <w:sz w:val="24"/>
            <w:szCs w:val="24"/>
          </w:rPr>
        </w:r>
      </w:p>
      <w:p>
        <w:pPr>
          <w:pStyle w:val="Header"/>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en-US"/>
      </w:rPr>
    </w:pPr>
    <w:r>
      <w:rPr>
        <w:lang w:val="en-US"/>
      </w:rPr>
    </w:r>
  </w:p>
  <w:p>
    <w:pPr>
      <w:pStyle w:val="Header"/>
      <w:jc w:val="center"/>
      <w:rPr>
        <w:lang w:val="en-US"/>
      </w:rPr>
    </w:pPr>
    <w:r>
      <w:rPr>
        <w:lang w:val="en-US"/>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359710132"/>
    </w:sdtPr>
    <w:sdtContent>
      <w:p>
        <w:pPr>
          <w:pStyle w:val="Header"/>
          <w:jc w:val="center"/>
          <w:rPr/>
        </w:pPr>
        <w:r>
          <w:rPr/>
        </w:r>
      </w:p>
      <w:p>
        <w:pPr>
          <w:pStyle w:val="Header"/>
          <w:jc w:val="center"/>
          <w:rPr/>
        </w:pPr>
        <w:r>
          <w:rPr/>
        </w:r>
      </w:p>
      <w:p>
        <w:pPr>
          <w:pStyle w:val="Header"/>
          <w:jc w:val="center"/>
          <w:rPr>
            <w:sz w:val="24"/>
            <w:szCs w:val="24"/>
          </w:rPr>
        </w:pPr>
        <w:r>
          <w:rPr>
            <w:sz w:val="24"/>
            <w:szCs w:val="24"/>
          </w:rPr>
        </w:r>
      </w:p>
      <w:p>
        <w:pPr>
          <w:pStyle w:val="Header"/>
          <w:rPr/>
        </w:pPr>
        <w:r>
          <w:rPr/>
        </w:r>
      </w:p>
    </w:sdtContent>
  </w:sdt>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en-US"/>
      </w:rPr>
    </w:pPr>
    <w:r>
      <w:rPr>
        <w:lang w:val="en-US"/>
      </w:rPr>
    </w:r>
  </w:p>
  <w:p>
    <w:pPr>
      <w:pStyle w:val="Header"/>
      <w:jc w:val="center"/>
      <w:rPr>
        <w:lang w:val="en-US"/>
      </w:rPr>
    </w:pPr>
    <w:r>
      <w:rPr>
        <w:lang w:val="en-US"/>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771372829"/>
    </w:sdtPr>
    <w:sdtContent>
      <w:p>
        <w:pPr>
          <w:pStyle w:val="Header"/>
          <w:jc w:val="center"/>
          <w:rPr>
            <w:sz w:val="24"/>
            <w:szCs w:val="24"/>
          </w:rPr>
        </w:pPr>
        <w:r>
          <w:rPr>
            <w:sz w:val="24"/>
            <w:szCs w:val="24"/>
          </w:rPr>
        </w:r>
      </w:p>
      <w:p>
        <w:pPr>
          <w:pStyle w:val="Header"/>
          <w:rPr/>
        </w:pPr>
        <w:r>
          <w:rPr/>
        </w:r>
      </w:p>
    </w:sdtContent>
  </w:sdt>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en-US"/>
      </w:rPr>
    </w:pPr>
    <w:r>
      <w:rPr>
        <w:lang w:val="en-US"/>
      </w:rPr>
    </w:r>
  </w:p>
  <w:p>
    <w:pPr>
      <w:pStyle w:val="Header"/>
      <w:jc w:val="center"/>
      <w:rPr>
        <w:lang w:val="en-US"/>
      </w:rPr>
    </w:pPr>
    <w:r>
      <w:rPr>
        <w:lang w:val="en-US"/>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441253428"/>
    </w:sdtPr>
    <w:sdtContent>
      <w:p>
        <w:pPr>
          <w:pStyle w:val="Header"/>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0</w:t>
        </w:r>
        <w:r>
          <w:rPr>
            <w:sz w:val="24"/>
            <w:szCs w:val="24"/>
          </w:rPr>
          <w:fldChar w:fldCharType="end"/>
        </w:r>
      </w:p>
      <w:p>
        <w:pPr>
          <w:pStyle w:val="Header"/>
          <w:rPr/>
        </w:pPr>
        <w:r>
          <w:rPr/>
        </w:r>
      </w:p>
    </w:sdtContent>
  </w:sdt>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686" w:hanging="360"/>
      </w:pPr>
      <w:rPr>
        <w:rFonts w:ascii="Symbol" w:hAnsi="Symbol" w:cs="Symbol" w:hint="default"/>
      </w:rPr>
    </w:lvl>
    <w:lvl w:ilvl="1">
      <w:start w:val="1"/>
      <w:numFmt w:val="bullet"/>
      <w:lvlText w:val="o"/>
      <w:lvlJc w:val="left"/>
      <w:pPr>
        <w:tabs>
          <w:tab w:val="num" w:pos="0"/>
        </w:tabs>
        <w:ind w:left="1406" w:hanging="360"/>
      </w:pPr>
      <w:rPr>
        <w:rFonts w:ascii="Courier New" w:hAnsi="Courier New" w:cs="Courier New" w:hint="default"/>
      </w:rPr>
    </w:lvl>
    <w:lvl w:ilvl="2">
      <w:start w:val="1"/>
      <w:numFmt w:val="bullet"/>
      <w:lvlText w:val=""/>
      <w:lvlJc w:val="left"/>
      <w:pPr>
        <w:tabs>
          <w:tab w:val="num" w:pos="0"/>
        </w:tabs>
        <w:ind w:left="2126" w:hanging="360"/>
      </w:pPr>
      <w:rPr>
        <w:rFonts w:ascii="Wingdings" w:hAnsi="Wingdings" w:cs="Wingdings" w:hint="default"/>
      </w:rPr>
    </w:lvl>
    <w:lvl w:ilvl="3">
      <w:start w:val="1"/>
      <w:numFmt w:val="bullet"/>
      <w:lvlText w:val=""/>
      <w:lvlJc w:val="left"/>
      <w:pPr>
        <w:tabs>
          <w:tab w:val="num" w:pos="0"/>
        </w:tabs>
        <w:ind w:left="2846" w:hanging="360"/>
      </w:pPr>
      <w:rPr>
        <w:rFonts w:ascii="Symbol" w:hAnsi="Symbol" w:cs="Symbol" w:hint="default"/>
      </w:rPr>
    </w:lvl>
    <w:lvl w:ilvl="4">
      <w:start w:val="1"/>
      <w:numFmt w:val="bullet"/>
      <w:lvlText w:val="o"/>
      <w:lvlJc w:val="left"/>
      <w:pPr>
        <w:tabs>
          <w:tab w:val="num" w:pos="0"/>
        </w:tabs>
        <w:ind w:left="3566" w:hanging="360"/>
      </w:pPr>
      <w:rPr>
        <w:rFonts w:ascii="Courier New" w:hAnsi="Courier New" w:cs="Courier New" w:hint="default"/>
      </w:rPr>
    </w:lvl>
    <w:lvl w:ilvl="5">
      <w:start w:val="1"/>
      <w:numFmt w:val="bullet"/>
      <w:lvlText w:val=""/>
      <w:lvlJc w:val="left"/>
      <w:pPr>
        <w:tabs>
          <w:tab w:val="num" w:pos="0"/>
        </w:tabs>
        <w:ind w:left="4286" w:hanging="360"/>
      </w:pPr>
      <w:rPr>
        <w:rFonts w:ascii="Wingdings" w:hAnsi="Wingdings" w:cs="Wingdings" w:hint="default"/>
      </w:rPr>
    </w:lvl>
    <w:lvl w:ilvl="6">
      <w:start w:val="1"/>
      <w:numFmt w:val="bullet"/>
      <w:lvlText w:val=""/>
      <w:lvlJc w:val="left"/>
      <w:pPr>
        <w:tabs>
          <w:tab w:val="num" w:pos="0"/>
        </w:tabs>
        <w:ind w:left="5006" w:hanging="360"/>
      </w:pPr>
      <w:rPr>
        <w:rFonts w:ascii="Symbol" w:hAnsi="Symbol" w:cs="Symbol" w:hint="default"/>
      </w:rPr>
    </w:lvl>
    <w:lvl w:ilvl="7">
      <w:start w:val="1"/>
      <w:numFmt w:val="bullet"/>
      <w:lvlText w:val="o"/>
      <w:lvlJc w:val="left"/>
      <w:pPr>
        <w:tabs>
          <w:tab w:val="num" w:pos="0"/>
        </w:tabs>
        <w:ind w:left="5726" w:hanging="360"/>
      </w:pPr>
      <w:rPr>
        <w:rFonts w:ascii="Courier New" w:hAnsi="Courier New" w:cs="Courier New" w:hint="default"/>
      </w:rPr>
    </w:lvl>
    <w:lvl w:ilvl="8">
      <w:start w:val="1"/>
      <w:numFmt w:val="bullet"/>
      <w:lvlText w:val=""/>
      <w:lvlJc w:val="left"/>
      <w:pPr>
        <w:tabs>
          <w:tab w:val="num" w:pos="0"/>
        </w:tabs>
        <w:ind w:left="6446" w:hanging="360"/>
      </w:pPr>
      <w:rPr>
        <w:rFonts w:ascii="Wingdings" w:hAnsi="Wingdings" w:cs="Wingdings" w:hint="default"/>
      </w:rPr>
    </w:lvl>
  </w:abstractNum>
  <w:abstractNum w:abstractNumId="3">
    <w:lvl w:ilvl="0">
      <w:start w:val="1"/>
      <w:numFmt w:val="decimal"/>
      <w:lvlText w:val="%1."/>
      <w:lvlJc w:val="left"/>
      <w:pPr>
        <w:tabs>
          <w:tab w:val="num" w:pos="0"/>
        </w:tabs>
        <w:ind w:left="5889" w:hanging="360"/>
      </w:pPr>
      <w:rPr>
        <w:rFonts w:cs="Times New Roman"/>
      </w:rPr>
    </w:lvl>
    <w:lvl w:ilvl="1">
      <w:start w:val="1"/>
      <w:numFmt w:val="decimal"/>
      <w:lvlText w:val="%1.%2."/>
      <w:lvlJc w:val="left"/>
      <w:pPr>
        <w:tabs>
          <w:tab w:val="num" w:pos="0"/>
        </w:tabs>
        <w:ind w:left="720" w:hanging="360"/>
      </w:pPr>
      <w:rPr>
        <w:b/>
        <w:rFonts w:cs="Times New Roman"/>
      </w:rPr>
    </w:lvl>
    <w:lvl w:ilvl="2">
      <w:start w:val="1"/>
      <w:numFmt w:val="decimal"/>
      <w:lvlText w:val="%1.%2.%3."/>
      <w:lvlJc w:val="left"/>
      <w:pPr>
        <w:tabs>
          <w:tab w:val="num" w:pos="0"/>
        </w:tabs>
        <w:ind w:left="1080" w:hanging="720"/>
      </w:pPr>
      <w:rPr>
        <w:b w:val="false"/>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lvl w:ilvl="0">
      <w:start w:val="4"/>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6">
    <w:lvl w:ilvl="0">
      <w:start w:val="1"/>
      <w:numFmt w:val="decimal"/>
      <w:lvlText w:val="%1."/>
      <w:lvlJc w:val="left"/>
      <w:pPr>
        <w:tabs>
          <w:tab w:val="num" w:pos="0"/>
        </w:tabs>
        <w:ind w:left="720" w:hanging="720"/>
      </w:pPr>
      <w:rPr/>
    </w:lvl>
    <w:lvl w:ilvl="1">
      <w:start w:val="1"/>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1.%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7">
    <w:lvl w:ilvl="0">
      <w:start w:val="3"/>
      <w:numFmt w:val="decimal"/>
      <w:lvlText w:val="%1."/>
      <w:lvlJc w:val="left"/>
      <w:pPr>
        <w:tabs>
          <w:tab w:val="num" w:pos="0"/>
        </w:tabs>
        <w:ind w:left="540" w:hanging="540"/>
      </w:pPr>
      <w:rPr/>
    </w:lvl>
    <w:lvl w:ilvl="1">
      <w:start w:val="1"/>
      <w:numFmt w:val="decimal"/>
      <w:lvlText w:val="%1.%2."/>
      <w:lvlJc w:val="left"/>
      <w:pPr>
        <w:tabs>
          <w:tab w:val="num" w:pos="0"/>
        </w:tabs>
        <w:ind w:left="557" w:hanging="540"/>
      </w:pPr>
      <w:rPr/>
    </w:lvl>
    <w:lvl w:ilvl="2">
      <w:start w:val="1"/>
      <w:numFmt w:val="decimal"/>
      <w:lvlText w:val="%1.%2.%3."/>
      <w:lvlJc w:val="left"/>
      <w:pPr>
        <w:tabs>
          <w:tab w:val="num" w:pos="0"/>
        </w:tabs>
        <w:ind w:left="754" w:hanging="720"/>
      </w:pPr>
      <w:rPr/>
    </w:lvl>
    <w:lvl w:ilvl="3">
      <w:start w:val="1"/>
      <w:numFmt w:val="decimal"/>
      <w:lvlText w:val="%1.%2.%3.%4."/>
      <w:lvlJc w:val="left"/>
      <w:pPr>
        <w:tabs>
          <w:tab w:val="num" w:pos="0"/>
        </w:tabs>
        <w:ind w:left="771" w:hanging="720"/>
      </w:pPr>
      <w:rPr/>
    </w:lvl>
    <w:lvl w:ilvl="4">
      <w:start w:val="1"/>
      <w:numFmt w:val="decimal"/>
      <w:lvlText w:val="%1.%2.%3.%4.%5."/>
      <w:lvlJc w:val="left"/>
      <w:pPr>
        <w:tabs>
          <w:tab w:val="num" w:pos="0"/>
        </w:tabs>
        <w:ind w:left="1148" w:hanging="1080"/>
      </w:pPr>
      <w:rPr/>
    </w:lvl>
    <w:lvl w:ilvl="5">
      <w:start w:val="1"/>
      <w:numFmt w:val="decimal"/>
      <w:lvlText w:val="%1.%2.%3.%4.%5.%6."/>
      <w:lvlJc w:val="left"/>
      <w:pPr>
        <w:tabs>
          <w:tab w:val="num" w:pos="0"/>
        </w:tabs>
        <w:ind w:left="1165" w:hanging="1080"/>
      </w:pPr>
      <w:rPr/>
    </w:lvl>
    <w:lvl w:ilvl="6">
      <w:start w:val="1"/>
      <w:numFmt w:val="decimal"/>
      <w:lvlText w:val="%1.%2.%3.%4.%5.%6.%7."/>
      <w:lvlJc w:val="left"/>
      <w:pPr>
        <w:tabs>
          <w:tab w:val="num" w:pos="0"/>
        </w:tabs>
        <w:ind w:left="1542" w:hanging="1440"/>
      </w:pPr>
      <w:rPr/>
    </w:lvl>
    <w:lvl w:ilvl="7">
      <w:start w:val="1"/>
      <w:numFmt w:val="decimal"/>
      <w:lvlText w:val="%1.%2.%3.%4.%5.%6.%7.%8."/>
      <w:lvlJc w:val="left"/>
      <w:pPr>
        <w:tabs>
          <w:tab w:val="num" w:pos="0"/>
        </w:tabs>
        <w:ind w:left="1559" w:hanging="1440"/>
      </w:pPr>
      <w:rPr/>
    </w:lvl>
    <w:lvl w:ilvl="8">
      <w:start w:val="1"/>
      <w:numFmt w:val="decimal"/>
      <w:lvlText w:val="%1.%2.%3.%4.%5.%6.%7.%8.%9."/>
      <w:lvlJc w:val="left"/>
      <w:pPr>
        <w:tabs>
          <w:tab w:val="num" w:pos="0"/>
        </w:tabs>
        <w:ind w:left="1936" w:hanging="1800"/>
      </w:pPr>
      <w:rPr/>
    </w:lvl>
  </w:abstractNum>
  <w:abstractNum w:abstractNumId="8">
    <w:lvl w:ilvl="0">
      <w:start w:val="3"/>
      <w:numFmt w:val="decimal"/>
      <w:lvlText w:val="%1."/>
      <w:lvlJc w:val="left"/>
      <w:pPr>
        <w:tabs>
          <w:tab w:val="num" w:pos="0"/>
        </w:tabs>
        <w:ind w:left="540" w:hanging="540"/>
      </w:pPr>
      <w:rPr/>
    </w:lvl>
    <w:lvl w:ilvl="1">
      <w:start w:val="3"/>
      <w:numFmt w:val="decimal"/>
      <w:lvlText w:val="%1.%2."/>
      <w:lvlJc w:val="left"/>
      <w:pPr>
        <w:tabs>
          <w:tab w:val="num" w:pos="0"/>
        </w:tabs>
        <w:ind w:left="555" w:hanging="540"/>
      </w:pPr>
      <w:rPr/>
    </w:lvl>
    <w:lvl w:ilvl="2">
      <w:start w:val="1"/>
      <w:numFmt w:val="decimal"/>
      <w:lvlText w:val="%1.%2.%3."/>
      <w:lvlJc w:val="left"/>
      <w:pPr>
        <w:tabs>
          <w:tab w:val="num" w:pos="0"/>
        </w:tabs>
        <w:ind w:left="750" w:hanging="720"/>
      </w:pPr>
      <w:rPr>
        <w:sz w:val="24"/>
        <w:szCs w:val="24"/>
      </w:rPr>
    </w:lvl>
    <w:lvl w:ilvl="3">
      <w:start w:val="1"/>
      <w:numFmt w:val="decimal"/>
      <w:lvlText w:val="%1.%2.%3.%4."/>
      <w:lvlJc w:val="left"/>
      <w:pPr>
        <w:tabs>
          <w:tab w:val="num" w:pos="0"/>
        </w:tabs>
        <w:ind w:left="765" w:hanging="720"/>
      </w:pPr>
      <w:rPr/>
    </w:lvl>
    <w:lvl w:ilvl="4">
      <w:start w:val="1"/>
      <w:numFmt w:val="decimal"/>
      <w:lvlText w:val="%1.%2.%3.%4.%5."/>
      <w:lvlJc w:val="left"/>
      <w:pPr>
        <w:tabs>
          <w:tab w:val="num" w:pos="0"/>
        </w:tabs>
        <w:ind w:left="1140" w:hanging="1080"/>
      </w:pPr>
      <w:rPr/>
    </w:lvl>
    <w:lvl w:ilvl="5">
      <w:start w:val="1"/>
      <w:numFmt w:val="decimal"/>
      <w:lvlText w:val="%1.%2.%3.%4.%5.%6."/>
      <w:lvlJc w:val="left"/>
      <w:pPr>
        <w:tabs>
          <w:tab w:val="num" w:pos="0"/>
        </w:tabs>
        <w:ind w:left="1155" w:hanging="1080"/>
      </w:pPr>
      <w:rPr/>
    </w:lvl>
    <w:lvl w:ilvl="6">
      <w:start w:val="1"/>
      <w:numFmt w:val="decimal"/>
      <w:lvlText w:val="%1.%2.%3.%4.%5.%6.%7."/>
      <w:lvlJc w:val="left"/>
      <w:pPr>
        <w:tabs>
          <w:tab w:val="num" w:pos="0"/>
        </w:tabs>
        <w:ind w:left="1530" w:hanging="1440"/>
      </w:pPr>
      <w:rPr/>
    </w:lvl>
    <w:lvl w:ilvl="7">
      <w:start w:val="1"/>
      <w:numFmt w:val="decimal"/>
      <w:lvlText w:val="%1.%2.%3.%4.%5.%6.%7.%8."/>
      <w:lvlJc w:val="left"/>
      <w:pPr>
        <w:tabs>
          <w:tab w:val="num" w:pos="0"/>
        </w:tabs>
        <w:ind w:left="1545" w:hanging="1440"/>
      </w:pPr>
      <w:rPr/>
    </w:lvl>
    <w:lvl w:ilvl="8">
      <w:start w:val="1"/>
      <w:numFmt w:val="decimal"/>
      <w:lvlText w:val="%1.%2.%3.%4.%5.%6.%7.%8.%9."/>
      <w:lvlJc w:val="left"/>
      <w:pPr>
        <w:tabs>
          <w:tab w:val="num" w:pos="0"/>
        </w:tabs>
        <w:ind w:left="1920" w:hanging="1800"/>
      </w:pPr>
      <w:rPr/>
    </w:lvl>
  </w:abstractNum>
  <w:abstractNum w:abstractNumId="9">
    <w:lvl w:ilvl="0">
      <w:start w:val="1"/>
      <w:numFmt w:val="decimal"/>
      <w:lvlText w:val="3.4.%1."/>
      <w:lvlJc w:val="left"/>
      <w:pPr>
        <w:tabs>
          <w:tab w:val="num" w:pos="0"/>
        </w:tabs>
        <w:ind w:left="720" w:hanging="360"/>
      </w:pPr>
      <w:rPr>
        <w:b w:val="false"/>
        <w:rFonts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3"/>
      <w:numFmt w:val="decimal"/>
      <w:lvlText w:val="%1."/>
      <w:lvlJc w:val="left"/>
      <w:pPr>
        <w:tabs>
          <w:tab w:val="num" w:pos="0"/>
        </w:tabs>
        <w:ind w:left="540" w:hanging="540"/>
      </w:pPr>
      <w:rPr/>
    </w:lvl>
    <w:lvl w:ilvl="1">
      <w:start w:val="5"/>
      <w:numFmt w:val="decimal"/>
      <w:lvlText w:val="%1.%2."/>
      <w:lvlJc w:val="left"/>
      <w:pPr>
        <w:tabs>
          <w:tab w:val="num" w:pos="0"/>
        </w:tabs>
        <w:ind w:left="557" w:hanging="540"/>
      </w:pPr>
      <w:rPr/>
    </w:lvl>
    <w:lvl w:ilvl="2">
      <w:start w:val="1"/>
      <w:numFmt w:val="decimal"/>
      <w:lvlText w:val="%1.%2.%3."/>
      <w:lvlJc w:val="left"/>
      <w:pPr>
        <w:tabs>
          <w:tab w:val="num" w:pos="0"/>
        </w:tabs>
        <w:ind w:left="754" w:hanging="720"/>
      </w:pPr>
      <w:rPr/>
    </w:lvl>
    <w:lvl w:ilvl="3">
      <w:start w:val="1"/>
      <w:numFmt w:val="decimal"/>
      <w:lvlText w:val="%1.%2.%3.%4."/>
      <w:lvlJc w:val="left"/>
      <w:pPr>
        <w:tabs>
          <w:tab w:val="num" w:pos="0"/>
        </w:tabs>
        <w:ind w:left="771" w:hanging="720"/>
      </w:pPr>
      <w:rPr/>
    </w:lvl>
    <w:lvl w:ilvl="4">
      <w:start w:val="1"/>
      <w:numFmt w:val="decimal"/>
      <w:lvlText w:val="%1.%2.%3.%4.%5."/>
      <w:lvlJc w:val="left"/>
      <w:pPr>
        <w:tabs>
          <w:tab w:val="num" w:pos="0"/>
        </w:tabs>
        <w:ind w:left="1148" w:hanging="1080"/>
      </w:pPr>
      <w:rPr/>
    </w:lvl>
    <w:lvl w:ilvl="5">
      <w:start w:val="1"/>
      <w:numFmt w:val="decimal"/>
      <w:lvlText w:val="%1.%2.%3.%4.%5.%6."/>
      <w:lvlJc w:val="left"/>
      <w:pPr>
        <w:tabs>
          <w:tab w:val="num" w:pos="0"/>
        </w:tabs>
        <w:ind w:left="1165" w:hanging="1080"/>
      </w:pPr>
      <w:rPr/>
    </w:lvl>
    <w:lvl w:ilvl="6">
      <w:start w:val="1"/>
      <w:numFmt w:val="decimal"/>
      <w:lvlText w:val="%1.%2.%3.%4.%5.%6.%7."/>
      <w:lvlJc w:val="left"/>
      <w:pPr>
        <w:tabs>
          <w:tab w:val="num" w:pos="0"/>
        </w:tabs>
        <w:ind w:left="1542" w:hanging="1440"/>
      </w:pPr>
      <w:rPr/>
    </w:lvl>
    <w:lvl w:ilvl="7">
      <w:start w:val="1"/>
      <w:numFmt w:val="decimal"/>
      <w:lvlText w:val="%1.%2.%3.%4.%5.%6.%7.%8."/>
      <w:lvlJc w:val="left"/>
      <w:pPr>
        <w:tabs>
          <w:tab w:val="num" w:pos="0"/>
        </w:tabs>
        <w:ind w:left="1559" w:hanging="1440"/>
      </w:pPr>
      <w:rPr/>
    </w:lvl>
    <w:lvl w:ilvl="8">
      <w:start w:val="1"/>
      <w:numFmt w:val="decimal"/>
      <w:lvlText w:val="%1.%2.%3.%4.%5.%6.%7.%8.%9."/>
      <w:lvlJc w:val="left"/>
      <w:pPr>
        <w:tabs>
          <w:tab w:val="num" w:pos="0"/>
        </w:tabs>
        <w:ind w:left="1936" w:hanging="1800"/>
      </w:pPr>
      <w:rPr/>
    </w:lvl>
  </w:abstractNum>
  <w:abstractNum w:abstractNumId="12">
    <w:lvl w:ilvl="0">
      <w:start w:val="1"/>
      <w:numFmt w:val="decimal"/>
      <w:lvlText w:val="4.1.%1."/>
      <w:lvlJc w:val="left"/>
      <w:pPr>
        <w:tabs>
          <w:tab w:val="num" w:pos="0"/>
        </w:tabs>
        <w:ind w:left="754" w:hanging="360"/>
      </w:pPr>
      <w:rPr>
        <w:b w:val="false"/>
        <w:rFonts w:cs="Times New Roman"/>
      </w:rPr>
    </w:lvl>
    <w:lvl w:ilvl="1">
      <w:start w:val="1"/>
      <w:numFmt w:val="lowerLetter"/>
      <w:lvlText w:val="%2."/>
      <w:lvlJc w:val="left"/>
      <w:pPr>
        <w:tabs>
          <w:tab w:val="num" w:pos="0"/>
        </w:tabs>
        <w:ind w:left="1474" w:hanging="360"/>
      </w:pPr>
      <w:rPr/>
    </w:lvl>
    <w:lvl w:ilvl="2">
      <w:start w:val="1"/>
      <w:numFmt w:val="lowerRoman"/>
      <w:lvlText w:val="%3."/>
      <w:lvlJc w:val="right"/>
      <w:pPr>
        <w:tabs>
          <w:tab w:val="num" w:pos="0"/>
        </w:tabs>
        <w:ind w:left="2194" w:hanging="180"/>
      </w:pPr>
      <w:rPr/>
    </w:lvl>
    <w:lvl w:ilvl="3">
      <w:start w:val="1"/>
      <w:numFmt w:val="decimal"/>
      <w:lvlText w:val="%4."/>
      <w:lvlJc w:val="left"/>
      <w:pPr>
        <w:tabs>
          <w:tab w:val="num" w:pos="0"/>
        </w:tabs>
        <w:ind w:left="2914" w:hanging="360"/>
      </w:pPr>
      <w:rPr/>
    </w:lvl>
    <w:lvl w:ilvl="4">
      <w:start w:val="1"/>
      <w:numFmt w:val="lowerLetter"/>
      <w:lvlText w:val="%5."/>
      <w:lvlJc w:val="left"/>
      <w:pPr>
        <w:tabs>
          <w:tab w:val="num" w:pos="0"/>
        </w:tabs>
        <w:ind w:left="3634" w:hanging="360"/>
      </w:pPr>
      <w:rPr/>
    </w:lvl>
    <w:lvl w:ilvl="5">
      <w:start w:val="1"/>
      <w:numFmt w:val="lowerRoman"/>
      <w:lvlText w:val="%6."/>
      <w:lvlJc w:val="right"/>
      <w:pPr>
        <w:tabs>
          <w:tab w:val="num" w:pos="0"/>
        </w:tabs>
        <w:ind w:left="4354" w:hanging="180"/>
      </w:pPr>
      <w:rPr/>
    </w:lvl>
    <w:lvl w:ilvl="6">
      <w:start w:val="1"/>
      <w:numFmt w:val="decimal"/>
      <w:lvlText w:val="%7."/>
      <w:lvlJc w:val="left"/>
      <w:pPr>
        <w:tabs>
          <w:tab w:val="num" w:pos="0"/>
        </w:tabs>
        <w:ind w:left="5074" w:hanging="360"/>
      </w:pPr>
      <w:rPr/>
    </w:lvl>
    <w:lvl w:ilvl="7">
      <w:start w:val="1"/>
      <w:numFmt w:val="lowerLetter"/>
      <w:lvlText w:val="%8."/>
      <w:lvlJc w:val="left"/>
      <w:pPr>
        <w:tabs>
          <w:tab w:val="num" w:pos="0"/>
        </w:tabs>
        <w:ind w:left="5794" w:hanging="360"/>
      </w:pPr>
      <w:rPr/>
    </w:lvl>
    <w:lvl w:ilvl="8">
      <w:start w:val="1"/>
      <w:numFmt w:val="lowerRoman"/>
      <w:lvlText w:val="%9."/>
      <w:lvlJc w:val="right"/>
      <w:pPr>
        <w:tabs>
          <w:tab w:val="num" w:pos="0"/>
        </w:tabs>
        <w:ind w:left="6514" w:hanging="180"/>
      </w:pPr>
      <w:rPr/>
    </w:lvl>
  </w:abstractNum>
  <w:abstractNum w:abstractNumId="13">
    <w:lvl w:ilvl="0">
      <w:start w:val="5"/>
      <w:numFmt w:val="decimal"/>
      <w:lvlText w:val="%1."/>
      <w:lvlJc w:val="left"/>
      <w:pPr>
        <w:tabs>
          <w:tab w:val="num" w:pos="0"/>
        </w:tabs>
        <w:ind w:left="540" w:hanging="540"/>
      </w:pPr>
      <w:rPr/>
    </w:lvl>
    <w:lvl w:ilvl="1">
      <w:start w:val="1"/>
      <w:numFmt w:val="decimal"/>
      <w:lvlText w:val="%1.%2."/>
      <w:lvlJc w:val="left"/>
      <w:pPr>
        <w:tabs>
          <w:tab w:val="num" w:pos="0"/>
        </w:tabs>
        <w:ind w:left="557" w:hanging="540"/>
      </w:pPr>
      <w:rPr/>
    </w:lvl>
    <w:lvl w:ilvl="2">
      <w:start w:val="1"/>
      <w:numFmt w:val="decimal"/>
      <w:lvlText w:val="%1.%2.%3."/>
      <w:lvlJc w:val="left"/>
      <w:pPr>
        <w:tabs>
          <w:tab w:val="num" w:pos="0"/>
        </w:tabs>
        <w:ind w:left="754" w:hanging="720"/>
      </w:pPr>
      <w:rPr/>
    </w:lvl>
    <w:lvl w:ilvl="3">
      <w:start w:val="1"/>
      <w:numFmt w:val="decimal"/>
      <w:lvlText w:val="%1.%2.%3.%4."/>
      <w:lvlJc w:val="left"/>
      <w:pPr>
        <w:tabs>
          <w:tab w:val="num" w:pos="0"/>
        </w:tabs>
        <w:ind w:left="771" w:hanging="720"/>
      </w:pPr>
      <w:rPr/>
    </w:lvl>
    <w:lvl w:ilvl="4">
      <w:start w:val="1"/>
      <w:numFmt w:val="decimal"/>
      <w:lvlText w:val="%1.%2.%3.%4.%5."/>
      <w:lvlJc w:val="left"/>
      <w:pPr>
        <w:tabs>
          <w:tab w:val="num" w:pos="0"/>
        </w:tabs>
        <w:ind w:left="1148" w:hanging="1080"/>
      </w:pPr>
      <w:rPr/>
    </w:lvl>
    <w:lvl w:ilvl="5">
      <w:start w:val="1"/>
      <w:numFmt w:val="decimal"/>
      <w:lvlText w:val="%1.%2.%3.%4.%5.%6."/>
      <w:lvlJc w:val="left"/>
      <w:pPr>
        <w:tabs>
          <w:tab w:val="num" w:pos="0"/>
        </w:tabs>
        <w:ind w:left="1165" w:hanging="1080"/>
      </w:pPr>
      <w:rPr/>
    </w:lvl>
    <w:lvl w:ilvl="6">
      <w:start w:val="1"/>
      <w:numFmt w:val="decimal"/>
      <w:lvlText w:val="%1.%2.%3.%4.%5.%6.%7."/>
      <w:lvlJc w:val="left"/>
      <w:pPr>
        <w:tabs>
          <w:tab w:val="num" w:pos="0"/>
        </w:tabs>
        <w:ind w:left="1542" w:hanging="1440"/>
      </w:pPr>
      <w:rPr/>
    </w:lvl>
    <w:lvl w:ilvl="7">
      <w:start w:val="1"/>
      <w:numFmt w:val="decimal"/>
      <w:lvlText w:val="%1.%2.%3.%4.%5.%6.%7.%8."/>
      <w:lvlJc w:val="left"/>
      <w:pPr>
        <w:tabs>
          <w:tab w:val="num" w:pos="0"/>
        </w:tabs>
        <w:ind w:left="1559" w:hanging="1440"/>
      </w:pPr>
      <w:rPr/>
    </w:lvl>
    <w:lvl w:ilvl="8">
      <w:start w:val="1"/>
      <w:numFmt w:val="decimal"/>
      <w:lvlText w:val="%1.%2.%3.%4.%5.%6.%7.%8.%9."/>
      <w:lvlJc w:val="left"/>
      <w:pPr>
        <w:tabs>
          <w:tab w:val="num" w:pos="0"/>
        </w:tabs>
        <w:ind w:left="1936" w:hanging="1800"/>
      </w:pPr>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decimal"/>
      <w:lvlText w:val="1.2.%1."/>
      <w:lvlJc w:val="left"/>
      <w:pPr>
        <w:tabs>
          <w:tab w:val="num" w:pos="0"/>
        </w:tabs>
        <w:ind w:left="1829" w:hanging="360"/>
      </w:pPr>
      <w:rPr>
        <w:b w:val="false"/>
        <w:rFonts w:cs="Times New Roman"/>
      </w:rPr>
    </w:lvl>
    <w:lvl w:ilvl="1">
      <w:start w:val="1"/>
      <w:numFmt w:val="lowerLetter"/>
      <w:lvlText w:val="%2."/>
      <w:lvlJc w:val="left"/>
      <w:pPr>
        <w:tabs>
          <w:tab w:val="num" w:pos="0"/>
        </w:tabs>
        <w:ind w:left="2549" w:hanging="360"/>
      </w:pPr>
      <w:rPr/>
    </w:lvl>
    <w:lvl w:ilvl="2">
      <w:start w:val="1"/>
      <w:numFmt w:val="lowerRoman"/>
      <w:lvlText w:val="%3."/>
      <w:lvlJc w:val="right"/>
      <w:pPr>
        <w:tabs>
          <w:tab w:val="num" w:pos="0"/>
        </w:tabs>
        <w:ind w:left="3269" w:hanging="180"/>
      </w:pPr>
      <w:rPr/>
    </w:lvl>
    <w:lvl w:ilvl="3">
      <w:start w:val="1"/>
      <w:numFmt w:val="decimal"/>
      <w:lvlText w:val="%4."/>
      <w:lvlJc w:val="left"/>
      <w:pPr>
        <w:tabs>
          <w:tab w:val="num" w:pos="0"/>
        </w:tabs>
        <w:ind w:left="3989" w:hanging="360"/>
      </w:pPr>
      <w:rPr/>
    </w:lvl>
    <w:lvl w:ilvl="4">
      <w:start w:val="1"/>
      <w:numFmt w:val="lowerLetter"/>
      <w:lvlText w:val="%5."/>
      <w:lvlJc w:val="left"/>
      <w:pPr>
        <w:tabs>
          <w:tab w:val="num" w:pos="0"/>
        </w:tabs>
        <w:ind w:left="4709" w:hanging="360"/>
      </w:pPr>
      <w:rPr/>
    </w:lvl>
    <w:lvl w:ilvl="5">
      <w:start w:val="1"/>
      <w:numFmt w:val="lowerRoman"/>
      <w:lvlText w:val="%6."/>
      <w:lvlJc w:val="right"/>
      <w:pPr>
        <w:tabs>
          <w:tab w:val="num" w:pos="0"/>
        </w:tabs>
        <w:ind w:left="5429" w:hanging="180"/>
      </w:pPr>
      <w:rPr/>
    </w:lvl>
    <w:lvl w:ilvl="6">
      <w:start w:val="1"/>
      <w:numFmt w:val="decimal"/>
      <w:lvlText w:val="%7."/>
      <w:lvlJc w:val="left"/>
      <w:pPr>
        <w:tabs>
          <w:tab w:val="num" w:pos="0"/>
        </w:tabs>
        <w:ind w:left="6149" w:hanging="360"/>
      </w:pPr>
      <w:rPr/>
    </w:lvl>
    <w:lvl w:ilvl="7">
      <w:start w:val="1"/>
      <w:numFmt w:val="lowerLetter"/>
      <w:lvlText w:val="%8."/>
      <w:lvlJc w:val="left"/>
      <w:pPr>
        <w:tabs>
          <w:tab w:val="num" w:pos="0"/>
        </w:tabs>
        <w:ind w:left="6869" w:hanging="360"/>
      </w:pPr>
      <w:rPr/>
    </w:lvl>
    <w:lvl w:ilvl="8">
      <w:start w:val="1"/>
      <w:numFmt w:val="lowerRoman"/>
      <w:lvlText w:val="%9."/>
      <w:lvlJc w:val="right"/>
      <w:pPr>
        <w:tabs>
          <w:tab w:val="num" w:pos="0"/>
        </w:tabs>
        <w:ind w:left="7589" w:hanging="180"/>
      </w:pPr>
      <w:rPr/>
    </w:lvl>
  </w:abstractNum>
  <w:abstractNum w:abstractNumId="16">
    <w:lvl w:ilvl="0">
      <w:start w:val="1"/>
      <w:numFmt w:val="bullet"/>
      <w:lvlText w:val=""/>
      <w:lvlJc w:val="left"/>
      <w:pPr>
        <w:tabs>
          <w:tab w:val="num" w:pos="0"/>
        </w:tabs>
        <w:ind w:left="1469" w:hanging="360"/>
      </w:pPr>
      <w:rPr>
        <w:rFonts w:ascii="Symbol" w:hAnsi="Symbol" w:cs="Symbol" w:hint="default"/>
      </w:rPr>
    </w:lvl>
    <w:lvl w:ilvl="1">
      <w:start w:val="1"/>
      <w:numFmt w:val="bullet"/>
      <w:lvlText w:val="o"/>
      <w:lvlJc w:val="left"/>
      <w:pPr>
        <w:tabs>
          <w:tab w:val="num" w:pos="0"/>
        </w:tabs>
        <w:ind w:left="2189" w:hanging="360"/>
      </w:pPr>
      <w:rPr>
        <w:rFonts w:ascii="Courier New" w:hAnsi="Courier New" w:cs="Courier New" w:hint="default"/>
      </w:rPr>
    </w:lvl>
    <w:lvl w:ilvl="2">
      <w:start w:val="1"/>
      <w:numFmt w:val="bullet"/>
      <w:lvlText w:val=""/>
      <w:lvlJc w:val="left"/>
      <w:pPr>
        <w:tabs>
          <w:tab w:val="num" w:pos="0"/>
        </w:tabs>
        <w:ind w:left="2909" w:hanging="360"/>
      </w:pPr>
      <w:rPr>
        <w:rFonts w:ascii="Wingdings" w:hAnsi="Wingdings" w:cs="Wingdings" w:hint="default"/>
      </w:rPr>
    </w:lvl>
    <w:lvl w:ilvl="3">
      <w:start w:val="1"/>
      <w:numFmt w:val="bullet"/>
      <w:lvlText w:val=""/>
      <w:lvlJc w:val="left"/>
      <w:pPr>
        <w:tabs>
          <w:tab w:val="num" w:pos="0"/>
        </w:tabs>
        <w:ind w:left="3629" w:hanging="360"/>
      </w:pPr>
      <w:rPr>
        <w:rFonts w:ascii="Symbol" w:hAnsi="Symbol" w:cs="Symbol" w:hint="default"/>
      </w:rPr>
    </w:lvl>
    <w:lvl w:ilvl="4">
      <w:start w:val="1"/>
      <w:numFmt w:val="bullet"/>
      <w:lvlText w:val="o"/>
      <w:lvlJc w:val="left"/>
      <w:pPr>
        <w:tabs>
          <w:tab w:val="num" w:pos="0"/>
        </w:tabs>
        <w:ind w:left="4349" w:hanging="360"/>
      </w:pPr>
      <w:rPr>
        <w:rFonts w:ascii="Courier New" w:hAnsi="Courier New" w:cs="Courier New" w:hint="default"/>
      </w:rPr>
    </w:lvl>
    <w:lvl w:ilvl="5">
      <w:start w:val="1"/>
      <w:numFmt w:val="bullet"/>
      <w:lvlText w:val=""/>
      <w:lvlJc w:val="left"/>
      <w:pPr>
        <w:tabs>
          <w:tab w:val="num" w:pos="0"/>
        </w:tabs>
        <w:ind w:left="5069" w:hanging="360"/>
      </w:pPr>
      <w:rPr>
        <w:rFonts w:ascii="Wingdings" w:hAnsi="Wingdings" w:cs="Wingdings" w:hint="default"/>
      </w:rPr>
    </w:lvl>
    <w:lvl w:ilvl="6">
      <w:start w:val="1"/>
      <w:numFmt w:val="bullet"/>
      <w:lvlText w:val=""/>
      <w:lvlJc w:val="left"/>
      <w:pPr>
        <w:tabs>
          <w:tab w:val="num" w:pos="0"/>
        </w:tabs>
        <w:ind w:left="5789" w:hanging="360"/>
      </w:pPr>
      <w:rPr>
        <w:rFonts w:ascii="Symbol" w:hAnsi="Symbol" w:cs="Symbol" w:hint="default"/>
      </w:rPr>
    </w:lvl>
    <w:lvl w:ilvl="7">
      <w:start w:val="1"/>
      <w:numFmt w:val="bullet"/>
      <w:lvlText w:val="o"/>
      <w:lvlJc w:val="left"/>
      <w:pPr>
        <w:tabs>
          <w:tab w:val="num" w:pos="0"/>
        </w:tabs>
        <w:ind w:left="6509" w:hanging="360"/>
      </w:pPr>
      <w:rPr>
        <w:rFonts w:ascii="Courier New" w:hAnsi="Courier New" w:cs="Courier New" w:hint="default"/>
      </w:rPr>
    </w:lvl>
    <w:lvl w:ilvl="8">
      <w:start w:val="1"/>
      <w:numFmt w:val="bullet"/>
      <w:lvlText w:val=""/>
      <w:lvlJc w:val="left"/>
      <w:pPr>
        <w:tabs>
          <w:tab w:val="num" w:pos="0"/>
        </w:tabs>
        <w:ind w:left="722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30"/>
  <w:trackRevisions/>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documentProtection w:edit="trackedChanges" w:enforcement="1"/>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825ac"/>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qFormat/>
    <w:rsid w:val="00886f7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
    <w:qFormat/>
    <w:rsid w:val="00886f70"/>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886f70"/>
    <w:rPr>
      <w:rFonts w:ascii="Arial" w:hAnsi="Arial" w:eastAsia="Times New Roman" w:cs="Arial"/>
      <w:b/>
      <w:bCs/>
      <w:kern w:val="2"/>
      <w:sz w:val="32"/>
      <w:szCs w:val="32"/>
      <w:lang w:eastAsia="ru-RU"/>
    </w:rPr>
  </w:style>
  <w:style w:type="character" w:styleId="3" w:customStyle="1">
    <w:name w:val="Заголовок 3 Знак"/>
    <w:basedOn w:val="DefaultParagraphFont"/>
    <w:qFormat/>
    <w:rsid w:val="00886f70"/>
    <w:rPr>
      <w:rFonts w:ascii="Cambria" w:hAnsi="Cambria" w:eastAsia="Times New Roman" w:cs="Times New Roman"/>
      <w:b/>
      <w:bCs/>
      <w:color w:val="4F81BD"/>
      <w:sz w:val="20"/>
      <w:szCs w:val="20"/>
      <w:lang w:val="x-none" w:eastAsia="x-none"/>
    </w:rPr>
  </w:style>
  <w:style w:type="character" w:styleId="Style7" w:customStyle="1">
    <w:name w:val="Заголовок Знак"/>
    <w:basedOn w:val="DefaultParagraphFont"/>
    <w:qFormat/>
    <w:rsid w:val="00886f70"/>
    <w:rPr>
      <w:rFonts w:ascii="Times New Roman" w:hAnsi="Times New Roman" w:eastAsia="Times New Roman" w:cs="Times New Roman"/>
      <w:b/>
      <w:bCs/>
      <w:sz w:val="24"/>
      <w:szCs w:val="24"/>
      <w:lang w:eastAsia="ru-RU"/>
    </w:rPr>
  </w:style>
  <w:style w:type="character" w:styleId="2" w:customStyle="1">
    <w:name w:val="Основной текст с отступом 2 Знак"/>
    <w:basedOn w:val="DefaultParagraphFont"/>
    <w:link w:val="BodyTextIndent2"/>
    <w:qFormat/>
    <w:rsid w:val="00886f70"/>
    <w:rPr>
      <w:rFonts w:ascii="Times New Roman" w:hAnsi="Times New Roman" w:eastAsia="Times New Roman" w:cs="Times New Roman"/>
      <w:sz w:val="24"/>
      <w:szCs w:val="20"/>
      <w:lang w:eastAsia="ru-RU"/>
    </w:rPr>
  </w:style>
  <w:style w:type="character" w:styleId="Style8" w:customStyle="1">
    <w:name w:val="Текст выноски Знак"/>
    <w:basedOn w:val="DefaultParagraphFont"/>
    <w:link w:val="BalloonText"/>
    <w:semiHidden/>
    <w:qFormat/>
    <w:rsid w:val="00886f70"/>
    <w:rPr>
      <w:rFonts w:ascii="Tahoma" w:hAnsi="Tahoma" w:eastAsia="Times New Roman" w:cs="Tahoma"/>
      <w:sz w:val="16"/>
      <w:szCs w:val="16"/>
      <w:lang w:eastAsia="ru-RU"/>
    </w:rPr>
  </w:style>
  <w:style w:type="character" w:styleId="21" w:customStyle="1">
    <w:name w:val="Основной текст 2 Знак"/>
    <w:basedOn w:val="DefaultParagraphFont"/>
    <w:link w:val="BodyText2"/>
    <w:qFormat/>
    <w:rsid w:val="00886f70"/>
    <w:rPr>
      <w:rFonts w:ascii="Times New Roman" w:hAnsi="Times New Roman" w:eastAsia="Times New Roman" w:cs="Times New Roman"/>
      <w:sz w:val="24"/>
      <w:szCs w:val="24"/>
      <w:lang w:eastAsia="ru-RU"/>
    </w:rPr>
  </w:style>
  <w:style w:type="character" w:styleId="Style9" w:customStyle="1">
    <w:name w:val="Основной текст Знак"/>
    <w:basedOn w:val="DefaultParagraphFont"/>
    <w:qFormat/>
    <w:rsid w:val="00886f70"/>
    <w:rPr>
      <w:rFonts w:ascii="Times New Roman" w:hAnsi="Times New Roman" w:eastAsia="Times New Roman" w:cs="Times New Roman"/>
      <w:sz w:val="20"/>
      <w:szCs w:val="20"/>
      <w:lang w:eastAsia="ru-RU"/>
    </w:rPr>
  </w:style>
  <w:style w:type="character" w:styleId="Style10" w:customStyle="1">
    <w:name w:val="Нижний колонтитул Знак"/>
    <w:basedOn w:val="DefaultParagraphFont"/>
    <w:uiPriority w:val="99"/>
    <w:qFormat/>
    <w:rsid w:val="00886f70"/>
    <w:rPr>
      <w:rFonts w:ascii="Times New Roman" w:hAnsi="Times New Roman" w:eastAsia="Times New Roman" w:cs="Times New Roman"/>
      <w:sz w:val="20"/>
      <w:szCs w:val="20"/>
      <w:lang w:eastAsia="ru-RU"/>
    </w:rPr>
  </w:style>
  <w:style w:type="character" w:styleId="Pagenumber">
    <w:name w:val="page number"/>
    <w:basedOn w:val="DefaultParagraphFont"/>
    <w:qFormat/>
    <w:rsid w:val="00886f70"/>
    <w:rPr/>
  </w:style>
  <w:style w:type="character" w:styleId="31" w:customStyle="1">
    <w:name w:val="Основной текст 3 Знак"/>
    <w:basedOn w:val="DefaultParagraphFont"/>
    <w:link w:val="BodyText3"/>
    <w:qFormat/>
    <w:rsid w:val="00886f70"/>
    <w:rPr>
      <w:rFonts w:ascii="Times New Roman" w:hAnsi="Times New Roman" w:eastAsia="Times New Roman" w:cs="Times New Roman"/>
      <w:sz w:val="16"/>
      <w:szCs w:val="16"/>
      <w:lang w:val="x-none" w:eastAsia="x-none"/>
    </w:rPr>
  </w:style>
  <w:style w:type="character" w:styleId="Annotationreference">
    <w:name w:val="annotation reference"/>
    <w:qFormat/>
    <w:rsid w:val="00886f70"/>
    <w:rPr>
      <w:sz w:val="16"/>
      <w:szCs w:val="16"/>
    </w:rPr>
  </w:style>
  <w:style w:type="character" w:styleId="Style11" w:customStyle="1">
    <w:name w:val="Текст примечания Знак"/>
    <w:basedOn w:val="DefaultParagraphFont"/>
    <w:link w:val="Annotationtext"/>
    <w:qFormat/>
    <w:rsid w:val="00886f70"/>
    <w:rPr>
      <w:rFonts w:ascii="Times New Roman" w:hAnsi="Times New Roman" w:eastAsia="Times New Roman" w:cs="Times New Roman"/>
      <w:sz w:val="20"/>
      <w:szCs w:val="20"/>
      <w:lang w:eastAsia="ru-RU"/>
    </w:rPr>
  </w:style>
  <w:style w:type="character" w:styleId="Style12" w:customStyle="1">
    <w:name w:val="Тема примечания Знак"/>
    <w:basedOn w:val="Style11"/>
    <w:link w:val="Annotationsubject"/>
    <w:qFormat/>
    <w:rsid w:val="00886f70"/>
    <w:rPr>
      <w:rFonts w:ascii="Times New Roman" w:hAnsi="Times New Roman" w:eastAsia="Times New Roman" w:cs="Times New Roman"/>
      <w:b/>
      <w:bCs/>
      <w:sz w:val="20"/>
      <w:szCs w:val="20"/>
      <w:lang w:val="x-none" w:eastAsia="x-none"/>
    </w:rPr>
  </w:style>
  <w:style w:type="character" w:styleId="Style13" w:customStyle="1">
    <w:name w:val="Основной текст с отступом Знак"/>
    <w:basedOn w:val="DefaultParagraphFont"/>
    <w:qFormat/>
    <w:rsid w:val="00886f70"/>
    <w:rPr>
      <w:rFonts w:ascii="Times New Roman" w:hAnsi="Times New Roman" w:eastAsia="Times New Roman" w:cs="Times New Roman"/>
      <w:sz w:val="20"/>
      <w:szCs w:val="20"/>
      <w:lang w:eastAsia="ru-RU"/>
    </w:rPr>
  </w:style>
  <w:style w:type="character" w:styleId="Style14" w:customStyle="1">
    <w:name w:val="комментарий"/>
    <w:uiPriority w:val="99"/>
    <w:qFormat/>
    <w:rsid w:val="00886f70"/>
    <w:rPr>
      <w:rFonts w:cs="Times New Roman"/>
      <w:b/>
      <w:bCs/>
      <w:i/>
      <w:iCs/>
      <w:shd w:fill="FFFF99" w:val="clear"/>
    </w:rPr>
  </w:style>
  <w:style w:type="character" w:styleId="Style15" w:customStyle="1">
    <w:name w:val="Текст сноски Знак"/>
    <w:basedOn w:val="DefaultParagraphFont"/>
    <w:uiPriority w:val="99"/>
    <w:qFormat/>
    <w:rsid w:val="00886f70"/>
    <w:rPr>
      <w:rFonts w:ascii="Times New Roman" w:hAnsi="Times New Roman" w:eastAsia="Times New Roman" w:cs="Times New Roman"/>
      <w:sz w:val="20"/>
      <w:szCs w:val="20"/>
      <w:lang w:eastAsia="ru-RU"/>
    </w:rPr>
  </w:style>
  <w:style w:type="character" w:styleId="Style16" w:customStyle="1">
    <w:name w:val="Символ сноски"/>
    <w:uiPriority w:val="99"/>
    <w:qFormat/>
    <w:rsid w:val="00886f70"/>
    <w:rPr>
      <w:vertAlign w:val="superscript"/>
    </w:rPr>
  </w:style>
  <w:style w:type="character" w:styleId="FootnoteReference">
    <w:name w:val="Footnote Reference"/>
    <w:rPr>
      <w:vertAlign w:val="superscript"/>
    </w:rPr>
  </w:style>
  <w:style w:type="character" w:styleId="Style17" w:customStyle="1">
    <w:name w:val="Схема документа Знак"/>
    <w:basedOn w:val="DefaultParagraphFont"/>
    <w:link w:val="DocumentMap"/>
    <w:semiHidden/>
    <w:qFormat/>
    <w:rsid w:val="00886f70"/>
    <w:rPr>
      <w:rFonts w:ascii="Tahoma" w:hAnsi="Tahoma" w:eastAsia="Times New Roman" w:cs="Tahoma"/>
      <w:sz w:val="20"/>
      <w:szCs w:val="20"/>
      <w:shd w:fill="000080" w:val="clear"/>
      <w:lang w:eastAsia="ru-RU"/>
    </w:rPr>
  </w:style>
  <w:style w:type="character" w:styleId="Style18" w:customStyle="1">
    <w:name w:val="Верхний колонтитул Знак"/>
    <w:basedOn w:val="DefaultParagraphFont"/>
    <w:uiPriority w:val="99"/>
    <w:qFormat/>
    <w:rsid w:val="00886f70"/>
    <w:rPr>
      <w:rFonts w:ascii="Times New Roman" w:hAnsi="Times New Roman" w:eastAsia="Times New Roman" w:cs="Times New Roman"/>
      <w:sz w:val="20"/>
      <w:szCs w:val="20"/>
      <w:lang w:eastAsia="ru-RU"/>
    </w:rPr>
  </w:style>
  <w:style w:type="character" w:styleId="Hyperlink">
    <w:name w:val="Hyperlink"/>
    <w:uiPriority w:val="99"/>
    <w:rsid w:val="00886f70"/>
    <w:rPr>
      <w:color w:val="0000FF"/>
      <w:u w:val="single"/>
    </w:rPr>
  </w:style>
  <w:style w:type="character" w:styleId="Style19" w:customStyle="1">
    <w:name w:val="Абзац списка Знак"/>
    <w:link w:val="ListParagraph"/>
    <w:uiPriority w:val="34"/>
    <w:qFormat/>
    <w:locked/>
    <w:rsid w:val="00b80bab"/>
    <w:rPr>
      <w:rFonts w:ascii="Times New Roman" w:hAnsi="Times New Roman" w:eastAsia="Times New Roman" w:cs="Times New Roman"/>
      <w:sz w:val="20"/>
      <w:szCs w:val="20"/>
      <w:lang w:eastAsia="ru-RU"/>
    </w:rPr>
  </w:style>
  <w:style w:type="character" w:styleId="Style20" w:customStyle="1">
    <w:name w:val="Без интервала Знак"/>
    <w:link w:val="NoSpacing"/>
    <w:uiPriority w:val="1"/>
    <w:qFormat/>
    <w:locked/>
    <w:rsid w:val="004565cd"/>
    <w:rPr>
      <w:rFonts w:ascii="Calibri" w:hAnsi="Calibri" w:eastAsia="Times New Roman" w:cs="Times New Roman"/>
      <w:lang w:eastAsia="ru-RU"/>
    </w:rPr>
  </w:style>
  <w:style w:type="character" w:styleId="32" w:customStyle="1">
    <w:name w:val="Основной текст с отступом 3 Знак"/>
    <w:basedOn w:val="DefaultParagraphFont"/>
    <w:link w:val="BodyTextIndent3"/>
    <w:qFormat/>
    <w:rsid w:val="00f57b7e"/>
    <w:rPr>
      <w:rFonts w:ascii="Times New Roman" w:hAnsi="Times New Roman" w:eastAsia="Times New Roman" w:cs="Times New Roman"/>
      <w:sz w:val="16"/>
      <w:szCs w:val="16"/>
      <w:lang w:eastAsia="ru-RU"/>
    </w:rPr>
  </w:style>
  <w:style w:type="character" w:styleId="22" w:customStyle="1">
    <w:name w:val="Стиль2 Знак"/>
    <w:link w:val="23"/>
    <w:uiPriority w:val="99"/>
    <w:qFormat/>
    <w:locked/>
    <w:rsid w:val="001e3f0a"/>
    <w:rPr>
      <w:rFonts w:ascii="Times New Roman" w:hAnsi="Times New Roman" w:eastAsia="Times New Roman" w:cs="Times New Roman"/>
      <w:sz w:val="24"/>
      <w:szCs w:val="24"/>
      <w:lang w:eastAsia="ru-RU"/>
    </w:rPr>
  </w:style>
  <w:style w:type="character" w:styleId="Linenumber1">
    <w:name w:val="line number1"/>
    <w:qFormat/>
    <w:rPr/>
  </w:style>
  <w:style w:type="character" w:styleId="LineNumber">
    <w:name w:val="Line Number"/>
    <w:rPr/>
  </w:style>
  <w:style w:type="paragraph" w:styleId="Style21">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886f70"/>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2">
    <w:name w:val="Указатель"/>
    <w:basedOn w:val="Normal"/>
    <w:qFormat/>
    <w:pPr>
      <w:suppressLineNumbers/>
    </w:pPr>
    <w:rPr/>
  </w:style>
  <w:style w:type="paragraph" w:styleId="Title">
    <w:name w:val="Title"/>
    <w:basedOn w:val="Normal"/>
    <w:next w:val="BodyText"/>
    <w:link w:val="Style7"/>
    <w:qFormat/>
    <w:rsid w:val="00886f70"/>
    <w:pPr>
      <w:jc w:val="center"/>
    </w:pPr>
    <w:rPr>
      <w:b/>
      <w:bCs/>
      <w:sz w:val="24"/>
      <w:szCs w:val="24"/>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rFonts w:cs="Arial Unicode MS"/>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Style23" w:customStyle="1">
    <w:name w:val="Таблицы (моноширинный)"/>
    <w:basedOn w:val="Normal"/>
    <w:next w:val="Normal"/>
    <w:qFormat/>
    <w:rsid w:val="00886f70"/>
    <w:pPr>
      <w:jc w:val="both"/>
    </w:pPr>
    <w:rPr>
      <w:rFonts w:ascii="Courier New" w:hAnsi="Courier New" w:cs="Courier New"/>
    </w:rPr>
  </w:style>
  <w:style w:type="paragraph" w:styleId="BodyTextIndent2">
    <w:name w:val="Body Text Indent 2"/>
    <w:basedOn w:val="Normal"/>
    <w:link w:val="2"/>
    <w:qFormat/>
    <w:rsid w:val="00886f70"/>
    <w:pPr>
      <w:ind w:left="1843" w:hanging="0"/>
      <w:jc w:val="both"/>
    </w:pPr>
    <w:rPr>
      <w:sz w:val="24"/>
    </w:rPr>
  </w:style>
  <w:style w:type="paragraph" w:styleId="BalloonText">
    <w:name w:val="Balloon Text"/>
    <w:basedOn w:val="Normal"/>
    <w:link w:val="Style8"/>
    <w:semiHidden/>
    <w:qFormat/>
    <w:rsid w:val="00886f70"/>
    <w:pPr/>
    <w:rPr>
      <w:rFonts w:ascii="Tahoma" w:hAnsi="Tahoma" w:cs="Tahoma"/>
      <w:sz w:val="16"/>
      <w:szCs w:val="16"/>
    </w:rPr>
  </w:style>
  <w:style w:type="paragraph" w:styleId="BodyText2">
    <w:name w:val="Body Text 2"/>
    <w:basedOn w:val="Normal"/>
    <w:link w:val="21"/>
    <w:qFormat/>
    <w:rsid w:val="00886f70"/>
    <w:pPr>
      <w:widowControl/>
      <w:spacing w:lineRule="auto" w:line="480" w:before="0" w:after="120"/>
    </w:pPr>
    <w:rPr>
      <w:sz w:val="24"/>
      <w:szCs w:val="24"/>
    </w:rPr>
  </w:style>
  <w:style w:type="paragraph" w:styleId="Style24" w:customStyle="1">
    <w:name w:val="Колонтитул"/>
    <w:basedOn w:val="Normal"/>
    <w:qFormat/>
    <w:pPr/>
    <w:rPr/>
  </w:style>
  <w:style w:type="paragraph" w:styleId="Footer">
    <w:name w:val="Footer"/>
    <w:basedOn w:val="Normal"/>
    <w:link w:val="Style10"/>
    <w:uiPriority w:val="99"/>
    <w:rsid w:val="00886f70"/>
    <w:pPr>
      <w:tabs>
        <w:tab w:val="clear" w:pos="708"/>
        <w:tab w:val="center" w:pos="4677" w:leader="none"/>
        <w:tab w:val="right" w:pos="9355" w:leader="none"/>
      </w:tabs>
    </w:pPr>
    <w:rPr/>
  </w:style>
  <w:style w:type="paragraph" w:styleId="BodyText3">
    <w:name w:val="Body Text 3"/>
    <w:basedOn w:val="Normal"/>
    <w:link w:val="31"/>
    <w:qFormat/>
    <w:rsid w:val="00886f70"/>
    <w:pPr>
      <w:spacing w:before="0" w:after="120"/>
    </w:pPr>
    <w:rPr>
      <w:sz w:val="16"/>
      <w:szCs w:val="16"/>
      <w:lang w:val="x-none" w:eastAsia="x-none"/>
    </w:rPr>
  </w:style>
  <w:style w:type="paragraph" w:styleId="Annotationtext">
    <w:name w:val="annotation text"/>
    <w:basedOn w:val="Normal"/>
    <w:link w:val="Style11"/>
    <w:qFormat/>
    <w:rsid w:val="00886f70"/>
    <w:pPr/>
    <w:rPr/>
  </w:style>
  <w:style w:type="paragraph" w:styleId="Annotationsubject">
    <w:name w:val="annotation subject"/>
    <w:basedOn w:val="Annotationtext"/>
    <w:next w:val="Annotationtext"/>
    <w:link w:val="Style12"/>
    <w:qFormat/>
    <w:rsid w:val="00886f70"/>
    <w:pPr/>
    <w:rPr>
      <w:b/>
      <w:bCs/>
      <w:lang w:val="x-none" w:eastAsia="x-none"/>
    </w:rPr>
  </w:style>
  <w:style w:type="paragraph" w:styleId="ListParagraph">
    <w:name w:val="List Paragraph"/>
    <w:basedOn w:val="Normal"/>
    <w:link w:val="Style19"/>
    <w:uiPriority w:val="34"/>
    <w:qFormat/>
    <w:rsid w:val="00886f70"/>
    <w:pPr>
      <w:spacing w:before="0" w:after="0"/>
      <w:ind w:left="720" w:hanging="0"/>
      <w:contextualSpacing/>
    </w:pPr>
    <w:rPr/>
  </w:style>
  <w:style w:type="paragraph" w:styleId="Style25" w:customStyle="1">
    <w:name w:val="Знак Знак Знак Знак Знак Знак Знак Знак Знак"/>
    <w:basedOn w:val="Normal"/>
    <w:uiPriority w:val="99"/>
    <w:qFormat/>
    <w:rsid w:val="00886f70"/>
    <w:pPr>
      <w:widowControl/>
      <w:spacing w:lineRule="exact" w:line="240" w:before="0" w:after="160"/>
      <w:jc w:val="both"/>
    </w:pPr>
    <w:rPr>
      <w:rFonts w:ascii="Verdana" w:hAnsi="Verdana"/>
      <w:sz w:val="22"/>
      <w:lang w:val="en-US" w:eastAsia="en-US"/>
    </w:rPr>
  </w:style>
  <w:style w:type="paragraph" w:styleId="Style26" w:customStyle="1">
    <w:name w:val="Подпункт договора"/>
    <w:basedOn w:val="Normal"/>
    <w:qFormat/>
    <w:rsid w:val="00886f70"/>
    <w:pPr>
      <w:widowControl/>
      <w:tabs>
        <w:tab w:val="clear" w:pos="708"/>
        <w:tab w:val="left" w:pos="360" w:leader="none"/>
      </w:tabs>
      <w:jc w:val="both"/>
    </w:pPr>
    <w:rPr>
      <w:rFonts w:ascii="Arial" w:hAnsi="Arial"/>
    </w:rPr>
  </w:style>
  <w:style w:type="paragraph" w:styleId="ConsNormal" w:customStyle="1">
    <w:name w:val="ConsNormal"/>
    <w:qFormat/>
    <w:rsid w:val="00886f70"/>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3"/>
    <w:rsid w:val="00886f70"/>
    <w:pPr>
      <w:spacing w:before="0" w:after="120"/>
      <w:ind w:left="283" w:hanging="0"/>
    </w:pPr>
    <w:rPr/>
  </w:style>
  <w:style w:type="paragraph" w:styleId="Style27" w:customStyle="1">
    <w:name w:val="Знак"/>
    <w:basedOn w:val="Normal"/>
    <w:qFormat/>
    <w:rsid w:val="00886f70"/>
    <w:pPr>
      <w:widowControl/>
      <w:spacing w:lineRule="exact" w:line="240" w:before="0" w:after="160"/>
    </w:pPr>
    <w:rPr>
      <w:rFonts w:ascii="Verdana" w:hAnsi="Verdana" w:cs="Verdana"/>
      <w:lang w:val="en-US" w:eastAsia="en-US"/>
    </w:rPr>
  </w:style>
  <w:style w:type="paragraph" w:styleId="FootnoteText">
    <w:name w:val="Footnote Text"/>
    <w:basedOn w:val="Normal"/>
    <w:link w:val="Style15"/>
    <w:uiPriority w:val="99"/>
    <w:rsid w:val="00886f70"/>
    <w:pPr/>
    <w:rPr/>
  </w:style>
  <w:style w:type="paragraph" w:styleId="ListBullet3">
    <w:name w:val="List Bullet 3"/>
    <w:basedOn w:val="Normal"/>
    <w:uiPriority w:val="99"/>
    <w:unhideWhenUsed/>
    <w:qFormat/>
    <w:rsid w:val="00886f70"/>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886f70"/>
    <w:pPr>
      <w:widowControl/>
      <w:tabs>
        <w:tab w:val="clear" w:pos="708"/>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7"/>
    <w:semiHidden/>
    <w:qFormat/>
    <w:rsid w:val="00886f70"/>
    <w:pPr>
      <w:shd w:val="clear" w:color="auto" w:fill="000080"/>
    </w:pPr>
    <w:rPr>
      <w:rFonts w:ascii="Tahoma" w:hAnsi="Tahoma" w:cs="Tahoma"/>
    </w:rPr>
  </w:style>
  <w:style w:type="paragraph" w:styleId="Revision">
    <w:name w:val="Revision"/>
    <w:uiPriority w:val="99"/>
    <w:semiHidden/>
    <w:qFormat/>
    <w:rsid w:val="00886f70"/>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8"/>
    <w:uiPriority w:val="99"/>
    <w:rsid w:val="00886f70"/>
    <w:pPr>
      <w:tabs>
        <w:tab w:val="clear" w:pos="708"/>
        <w:tab w:val="center" w:pos="4677" w:leader="none"/>
        <w:tab w:val="right" w:pos="9355" w:leader="none"/>
      </w:tabs>
    </w:pPr>
    <w:rPr/>
  </w:style>
  <w:style w:type="paragraph" w:styleId="Style28" w:customStyle="1">
    <w:name w:val="Пункт договора"/>
    <w:basedOn w:val="Normal"/>
    <w:qFormat/>
    <w:rsid w:val="00886f70"/>
    <w:pPr>
      <w:jc w:val="both"/>
    </w:pPr>
    <w:rPr>
      <w:rFonts w:ascii="Arial" w:hAnsi="Arial"/>
    </w:rPr>
  </w:style>
  <w:style w:type="paragraph" w:styleId="11" w:customStyle="1">
    <w:name w:val="Знак Знак Знак Знак Знак Знак Знак Знак Знак1"/>
    <w:basedOn w:val="Normal"/>
    <w:qFormat/>
    <w:rsid w:val="00886f70"/>
    <w:pPr>
      <w:widowControl/>
      <w:spacing w:lineRule="exact" w:line="240" w:before="0" w:after="160"/>
      <w:jc w:val="both"/>
    </w:pPr>
    <w:rPr>
      <w:rFonts w:ascii="Verdana" w:hAnsi="Verdana"/>
      <w:sz w:val="22"/>
      <w:lang w:val="en-US" w:eastAsia="en-US"/>
    </w:rPr>
  </w:style>
  <w:style w:type="paragraph" w:styleId="12" w:customStyle="1">
    <w:name w:val="Обычный1"/>
    <w:qFormat/>
    <w:rsid w:val="00886f70"/>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886f70"/>
    <w:pPr>
      <w:widowControl w:val="false"/>
      <w:suppressAutoHyphens w:val="true"/>
      <w:bidi w:val="0"/>
      <w:spacing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Default" w:customStyle="1">
    <w:name w:val="Default"/>
    <w:qFormat/>
    <w:rsid w:val="00225071"/>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NoSpacing">
    <w:name w:val="No Spacing"/>
    <w:link w:val="Style20"/>
    <w:uiPriority w:val="1"/>
    <w:qFormat/>
    <w:rsid w:val="004565cd"/>
    <w:pPr>
      <w:widowControl/>
      <w:suppressAutoHyphens w:val="true"/>
      <w:bidi w:val="0"/>
      <w:spacing w:before="0" w:after="0"/>
      <w:ind w:right="113" w:hanging="0"/>
      <w:jc w:val="center"/>
    </w:pPr>
    <w:rPr>
      <w:rFonts w:ascii="Calibri" w:hAnsi="Calibri" w:eastAsia="Times New Roman" w:cs="Times New Roman" w:asciiTheme="minorHAnsi" w:hAnsiTheme="minorHAnsi"/>
      <w:color w:val="auto"/>
      <w:kern w:val="0"/>
      <w:sz w:val="22"/>
      <w:szCs w:val="22"/>
      <w:lang w:val="ru-RU" w:eastAsia="ru-RU" w:bidi="ar-SA"/>
    </w:rPr>
  </w:style>
  <w:style w:type="paragraph" w:styleId="Style29" w:customStyle="1">
    <w:name w:val="Название раздела инструкции"/>
    <w:basedOn w:val="Normal"/>
    <w:autoRedefine/>
    <w:qFormat/>
    <w:rsid w:val="00f57b7e"/>
    <w:pPr>
      <w:widowControl/>
      <w:ind w:left="574" w:hanging="432"/>
      <w:jc w:val="center"/>
    </w:pPr>
    <w:rPr>
      <w:b/>
      <w:sz w:val="28"/>
      <w:szCs w:val="28"/>
    </w:rPr>
  </w:style>
  <w:style w:type="paragraph" w:styleId="BodyTextIndent3">
    <w:name w:val="Body Text Indent 3"/>
    <w:basedOn w:val="Normal"/>
    <w:link w:val="32"/>
    <w:qFormat/>
    <w:rsid w:val="00f57b7e"/>
    <w:pPr>
      <w:widowControl/>
      <w:spacing w:before="0" w:after="120"/>
      <w:ind w:left="283" w:hanging="0"/>
    </w:pPr>
    <w:rPr>
      <w:sz w:val="16"/>
      <w:szCs w:val="16"/>
    </w:rPr>
  </w:style>
  <w:style w:type="paragraph" w:styleId="TOC1">
    <w:name w:val="TOC 1"/>
    <w:basedOn w:val="Normal"/>
    <w:next w:val="Normal"/>
    <w:autoRedefine/>
    <w:uiPriority w:val="39"/>
    <w:rsid w:val="00f57b7e"/>
    <w:pPr>
      <w:widowControl/>
    </w:pPr>
    <w:rPr>
      <w:sz w:val="28"/>
      <w:szCs w:val="28"/>
    </w:rPr>
  </w:style>
  <w:style w:type="paragraph" w:styleId="TOC3">
    <w:name w:val="TOC 3"/>
    <w:basedOn w:val="Normal"/>
    <w:next w:val="Normal"/>
    <w:autoRedefine/>
    <w:uiPriority w:val="39"/>
    <w:semiHidden/>
    <w:unhideWhenUsed/>
    <w:rsid w:val="00ee49ee"/>
    <w:pPr>
      <w:spacing w:before="0" w:after="100"/>
      <w:ind w:left="400" w:hanging="0"/>
    </w:pPr>
    <w:rPr/>
  </w:style>
  <w:style w:type="paragraph" w:styleId="TOC4">
    <w:name w:val="TOC 4"/>
    <w:basedOn w:val="Normal"/>
    <w:next w:val="Normal"/>
    <w:autoRedefine/>
    <w:uiPriority w:val="39"/>
    <w:semiHidden/>
    <w:unhideWhenUsed/>
    <w:rsid w:val="00ee49ee"/>
    <w:pPr>
      <w:spacing w:before="0" w:after="100"/>
      <w:ind w:left="600" w:hanging="0"/>
    </w:pPr>
    <w:rPr/>
  </w:style>
  <w:style w:type="paragraph" w:styleId="Style30" w:customStyle="1">
    <w:name w:val="Таблица"/>
    <w:basedOn w:val="Normal"/>
    <w:qFormat/>
    <w:rsid w:val="005532d0"/>
    <w:pPr>
      <w:widowControl/>
      <w:ind w:firstLine="567"/>
    </w:pPr>
    <w:rPr/>
  </w:style>
  <w:style w:type="paragraph" w:styleId="23" w:customStyle="1">
    <w:name w:val="Стиль2"/>
    <w:basedOn w:val="Normal"/>
    <w:link w:val="22"/>
    <w:uiPriority w:val="99"/>
    <w:qFormat/>
    <w:rsid w:val="001e3f0a"/>
    <w:pPr>
      <w:widowControl/>
      <w:tabs>
        <w:tab w:val="clear" w:pos="708"/>
        <w:tab w:val="left" w:pos="360" w:leader="none"/>
        <w:tab w:val="left" w:pos="900" w:leader="none"/>
      </w:tabs>
      <w:ind w:firstLine="567"/>
      <w:jc w:val="both"/>
    </w:pPr>
    <w:rPr>
      <w:sz w:val="24"/>
      <w:szCs w:val="24"/>
    </w:rPr>
  </w:style>
  <w:style w:type="paragraph" w:styleId="Style31">
    <w:name w:val="Содержимое таблицы"/>
    <w:basedOn w:val="Normal"/>
    <w:qFormat/>
    <w:pPr>
      <w:widowControl w:val="false"/>
      <w:suppressLineNumbers/>
    </w:pPr>
    <w:rPr/>
  </w:style>
  <w:style w:type="paragraph" w:styleId="Style32">
    <w:name w:val="Заголовок таблицы"/>
    <w:basedOn w:val="Style31"/>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e">
    <w:name w:val="Table Grid"/>
    <w:basedOn w:val="a1"/>
    <w:uiPriority w:val="59"/>
    <w:rsid w:val="00886f7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header" Target="header8.xml"/><Relationship Id="rId17" Type="http://schemas.openxmlformats.org/officeDocument/2006/relationships/header" Target="header9.xml"/><Relationship Id="rId18" Type="http://schemas.openxmlformats.org/officeDocument/2006/relationships/footer" Target="footer8.xml"/><Relationship Id="rId19" Type="http://schemas.openxmlformats.org/officeDocument/2006/relationships/footer" Target="footer9.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Relationship Id="rId25" Type="http://schemas.openxmlformats.org/officeDocument/2006/relationships/customXml" Target="../customXml/item2.xml"/><Relationship Id="rId26" Type="http://schemas.openxmlformats.org/officeDocument/2006/relationships/customXml" Target="../customXml/item3.xml"/><Relationship Id="rId27"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AEEA5-E2B6-4B76-A826-4F29FF9531A3}">
  <ds:schemaRef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2006/metadata/properties"/>
    <ds:schemaRef ds:uri="http://purl.org/dc/term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C76085CE-3EE5-4257-A854-521088406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3B29469-CEFB-4C63-A023-2AFB44A96B18}">
  <ds:schemaRefs>
    <ds:schemaRef ds:uri="http://schemas.microsoft.com/sharepoint/v3/contenttype/forms"/>
  </ds:schemaRefs>
</ds:datastoreItem>
</file>

<file path=customXml/itemProps4.xml><?xml version="1.0" encoding="utf-8"?>
<ds:datastoreItem xmlns:ds="http://schemas.openxmlformats.org/officeDocument/2006/customXml" ds:itemID="{434D8027-9F4E-4AC2-91EE-D4375900C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Application>AlterOffice/3.4.0.9$Linux_X86_64 LibreOffice_project/b8daf9e823b1a5463a2f48435ddc2e8696e7d4fc</Application>
  <AppVersion>15.0000</AppVersion>
  <Pages>11</Pages>
  <Words>1786</Words>
  <Characters>12198</Characters>
  <CharactersWithSpaces>13666</CharactersWithSpaces>
  <Paragraphs>267</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2026-07-05T14:04:00Z</dcterms:created>
  <dc:creator>Быстрова Дарья Андреевна</dc:creator>
  <dc:description/>
  <dc:language>ru-RU</dc:language>
  <cp:lastModifiedBy>kulaginane@corp.gidroogk.com</cp:lastModifiedBy>
  <dcterms:modified xsi:type="dcterms:W3CDTF">2026-08-24T10:08:03Z</dcterms:modified>
  <cp:revision>147</cp:revision>
  <dc:subject/>
  <dc:title/>
</cp:coreProperties>
</file>

<file path=docProps/custom.xml><?xml version="1.0" encoding="utf-8"?>
<Properties xmlns="http://schemas.openxmlformats.org/officeDocument/2006/custom-properties" xmlns:vt="http://schemas.openxmlformats.org/officeDocument/2006/docPropsVTypes"/>
</file>