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footer4.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footer3.xml" ContentType="application/vnd.openxmlformats-officedocument.wordprocessingml.footer+xml"/>
  <Override PartName="/word/header3.xml" ContentType="application/vnd.openxmlformats-officedocument.wordprocessingml.header+xml"/>
  <Override PartName="/word/styles.xml" ContentType="application/vnd.openxmlformats-officedocument.wordprocessingml.styles+xml"/>
  <Override PartName="/word/header4.xml" ContentType="application/vnd.openxmlformats-officedocument.wordprocessingml.header+xml"/>
  <Override PartName="/word/footer2.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header5.xml" ContentType="application/vnd.openxmlformats-officedocument.wordprocessingml.header+xml"/>
  <Override PartName="/word/header6.xml" ContentType="application/vnd.openxmlformats-officedocument.wordprocessingml.header+xml"/>
  <Override PartName="/customXml/_rels/item1.xml.rels" ContentType="application/vnd.openxmlformats-package.relationships+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itemProps3.xml" ContentType="application/vnd.openxmlformats-officedocument.customXmlProperties+xml"/>
  <Override PartName="/customXml/item3.xml" ContentType="application/xml"/>
  <Override PartName="/customXml/item4.xml" ContentType="application/xml"/>
  <Override PartName="/customXml/itemProps1.xml" ContentType="application/vnd.openxmlformats-officedocument.customXmlProperties+xml"/>
  <Override PartName="/customXml/itemProps4.xml" ContentType="application/vnd.openxmlformats-officedocument.customXmlProperties+xml"/>
  <Override PartName="/customXml/item1.xml" ContentType="application/xml"/>
  <Override PartName="/customXml/item2.xml" ContentType="application/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9"/>
          <w:tab w:val="left" w:pos="6926" w:leader="none"/>
        </w:tabs>
        <w:jc w:val="center"/>
        <w:rPr>
          <w:b/>
          <w:sz w:val="24"/>
          <w:szCs w:val="24"/>
        </w:rPr>
      </w:pPr>
      <w:r>
        <w:rPr>
          <w:b/>
          <w:bCs/>
          <w:sz w:val="24"/>
          <w:szCs w:val="24"/>
        </w:rPr>
        <w:t>Договор поставки</w:t>
      </w:r>
    </w:p>
    <w:p>
      <w:pPr>
        <w:pStyle w:val="Normal"/>
        <w:shd w:val="clear" w:color="auto" w:fill="FFFFFF"/>
        <w:rPr>
          <w:b/>
          <w:bCs/>
          <w:sz w:val="24"/>
          <w:szCs w:val="24"/>
        </w:rPr>
      </w:pPr>
      <w:r>
        <w:rPr>
          <w:b/>
          <w:bCs/>
          <w:sz w:val="24"/>
          <w:szCs w:val="24"/>
        </w:rPr>
      </w:r>
    </w:p>
    <w:p>
      <w:pPr>
        <w:pStyle w:val="Normal"/>
        <w:shd w:val="clear" w:color="auto" w:fill="FFFFFF"/>
        <w:tabs>
          <w:tab w:val="clear" w:pos="709"/>
          <w:tab w:val="right" w:pos="9639" w:leader="none"/>
        </w:tabs>
        <w:jc w:val="right"/>
        <w:rPr>
          <w:bCs/>
          <w:sz w:val="24"/>
          <w:szCs w:val="24"/>
        </w:rPr>
      </w:pPr>
      <w:r>
        <w:rPr>
          <w:bCs/>
          <w:sz w:val="24"/>
          <w:szCs w:val="24"/>
        </w:rPr>
        <w:t>г. _________</w:t>
        <w:tab/>
        <w:t>«____» _________ 20___ г.</w:t>
      </w:r>
    </w:p>
    <w:p>
      <w:pPr>
        <w:pStyle w:val="Normal"/>
        <w:shd w:val="clear" w:color="auto" w:fill="FFFFFF"/>
        <w:tabs>
          <w:tab w:val="clear" w:pos="709"/>
          <w:tab w:val="right" w:pos="9639" w:leader="none"/>
        </w:tabs>
        <w:jc w:val="right"/>
        <w:rPr>
          <w:bCs/>
          <w:sz w:val="24"/>
          <w:szCs w:val="24"/>
        </w:rPr>
      </w:pPr>
      <w:r>
        <w:rPr>
          <w:bCs/>
          <w:sz w:val="24"/>
          <w:szCs w:val="24"/>
        </w:rPr>
      </w:r>
    </w:p>
    <w:p>
      <w:pPr>
        <w:pStyle w:val="Normal"/>
        <w:ind w:firstLine="709"/>
        <w:jc w:val="both"/>
        <w:rPr>
          <w:spacing w:val="10"/>
          <w:sz w:val="24"/>
          <w:szCs w:val="24"/>
        </w:rPr>
      </w:pPr>
      <w:r>
        <w:rPr>
          <w:b/>
          <w:sz w:val="24"/>
          <w:szCs w:val="24"/>
        </w:rPr>
        <w:t xml:space="preserve">Публичное акционерное общество «Федеральная гидрогенерирующая компания – РусГидро» </w:t>
      </w:r>
      <w:r>
        <w:rPr>
          <w:sz w:val="24"/>
          <w:szCs w:val="24"/>
        </w:rPr>
        <w:t>(ПАО «РусГидро»)</w:t>
      </w:r>
      <w:r>
        <w:rPr>
          <w:spacing w:val="2"/>
          <w:sz w:val="24"/>
          <w:szCs w:val="24"/>
        </w:rPr>
        <w:t xml:space="preserve">, (далее – </w:t>
      </w:r>
      <w:r>
        <w:rPr>
          <w:sz w:val="24"/>
          <w:szCs w:val="24"/>
        </w:rPr>
        <w:t>«Покупатель»), в лице _____________________</w:t>
      </w:r>
      <w:r>
        <w:rPr>
          <w:spacing w:val="4"/>
          <w:sz w:val="24"/>
          <w:szCs w:val="24"/>
        </w:rPr>
        <w:t>, действующего на основании ________, с одной стороны, и</w:t>
      </w:r>
      <w:r>
        <w:rPr>
          <w:spacing w:val="10"/>
          <w:sz w:val="24"/>
          <w:szCs w:val="24"/>
        </w:rPr>
        <w:t xml:space="preserve"> </w:t>
      </w:r>
    </w:p>
    <w:p>
      <w:pPr>
        <w:pStyle w:val="Normal"/>
        <w:ind w:firstLine="709"/>
        <w:jc w:val="both"/>
        <w:rPr>
          <w:sz w:val="24"/>
          <w:szCs w:val="24"/>
        </w:rPr>
      </w:pPr>
      <w:r>
        <w:rPr>
          <w:b/>
          <w:spacing w:val="10"/>
          <w:sz w:val="24"/>
          <w:szCs w:val="24"/>
        </w:rPr>
        <w:t>____________________</w:t>
      </w:r>
      <w:r>
        <w:rPr>
          <w:bCs/>
          <w:sz w:val="24"/>
          <w:szCs w:val="24"/>
        </w:rPr>
        <w:t xml:space="preserve"> </w:t>
      </w:r>
      <w:r>
        <w:rPr>
          <w:sz w:val="24"/>
          <w:szCs w:val="24"/>
        </w:rPr>
        <w:t xml:space="preserve">(далее – «Поставщик»), в лице _________________________, действующего на основании ___________________, с другой стороны, </w:t>
      </w:r>
    </w:p>
    <w:p>
      <w:pPr>
        <w:pStyle w:val="Normal"/>
        <w:ind w:firstLine="709"/>
        <w:jc w:val="both"/>
        <w:rPr>
          <w:sz w:val="24"/>
          <w:szCs w:val="24"/>
        </w:rPr>
      </w:pPr>
      <w:r>
        <w:rPr>
          <w:sz w:val="24"/>
          <w:szCs w:val="24"/>
        </w:rPr>
        <w:t xml:space="preserve">совместно в дальнейшем именуемые «Стороны», а по отдельности – «Сторона», </w:t>
        <w:br/>
      </w:r>
      <w:r>
        <w:rPr>
          <w:sz w:val="24"/>
          <w:szCs w:val="24"/>
          <w:highlight w:val="lightGray"/>
          <w:lang w:eastAsia="en-US"/>
        </w:rPr>
        <w:t>по результатам состязательного отбора по лот</w:t>
      </w:r>
      <w:r>
        <w:rPr>
          <w:rFonts w:eastAsia="Times New Roman" w:cs="Times New Roman"/>
          <w:color w:val="auto"/>
          <w:kern w:val="0"/>
          <w:sz w:val="24"/>
          <w:szCs w:val="24"/>
          <w:highlight w:val="lightGray"/>
          <w:lang w:val="ru-RU" w:eastAsia="ru-RU" w:bidi="ar-SA"/>
        </w:rPr>
        <w:t>у №</w:t>
      </w:r>
      <w:r>
        <w:rPr>
          <w:rFonts w:eastAsia="Times New Roman" w:cs="Times New Roman"/>
          <w:color w:val="auto"/>
          <w:kern w:val="0"/>
          <w:sz w:val="24"/>
          <w:szCs w:val="24"/>
          <w:highlight w:val="lightGray"/>
          <w:lang w:val="ru-RU" w:eastAsia="en-US" w:bidi="ar-SA"/>
        </w:rPr>
        <w:t>0055-ТПиР БЕЗОП-2026-ЧеГЭС</w:t>
      </w:r>
      <w:r>
        <w:rPr>
          <w:sz w:val="24"/>
          <w:szCs w:val="24"/>
          <w:highlight w:val="lightGray"/>
          <w:lang w:eastAsia="en-US"/>
        </w:rPr>
        <w:t>и на основании протокола __________ от «___» _________ г. №_______,</w:t>
      </w:r>
    </w:p>
    <w:p>
      <w:pPr>
        <w:pStyle w:val="Normal"/>
        <w:ind w:firstLine="709"/>
        <w:jc w:val="both"/>
        <w:rPr>
          <w:spacing w:val="10"/>
          <w:sz w:val="24"/>
          <w:szCs w:val="24"/>
        </w:rPr>
      </w:pPr>
      <w:r>
        <w:rPr>
          <w:sz w:val="24"/>
          <w:szCs w:val="24"/>
        </w:rPr>
        <w:t>заключили настоящий договор поставки (далее – «Договор») о нижеследующем:</w:t>
      </w:r>
    </w:p>
    <w:p>
      <w:pPr>
        <w:pStyle w:val="Normal"/>
        <w:shd w:val="clear" w:color="auto" w:fill="FFFFFF"/>
        <w:rPr>
          <w:bCs/>
          <w:sz w:val="24"/>
          <w:szCs w:val="24"/>
          <w:lang w:val="x-none"/>
        </w:rPr>
      </w:pPr>
      <w:r>
        <w:rPr>
          <w:bCs/>
          <w:sz w:val="24"/>
          <w:szCs w:val="24"/>
          <w:lang w:val="x-none"/>
        </w:rPr>
      </w:r>
    </w:p>
    <w:p>
      <w:pPr>
        <w:pStyle w:val="Normal"/>
        <w:shd w:val="clear" w:color="auto" w:fill="FFFFFF"/>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9"/>
          <w:tab w:val="left" w:pos="567" w:leader="none"/>
          <w:tab w:val="left" w:pos="1134" w:leader="none"/>
        </w:tabs>
        <w:ind w:left="0" w:firstLine="708"/>
        <w:jc w:val="both"/>
        <w:textAlignment w:val="baseline"/>
        <w:rPr>
          <w:sz w:val="24"/>
          <w:szCs w:val="24"/>
          <w:lang w:eastAsia="en-US"/>
        </w:rPr>
      </w:pPr>
      <w:r>
        <w:rPr>
          <w:b/>
          <w:sz w:val="24"/>
          <w:szCs w:val="24"/>
          <w:lang w:eastAsia="en-US"/>
        </w:rPr>
        <w:t xml:space="preserve"> </w:t>
      </w: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9"/>
          <w:tab w:val="left" w:pos="0" w:leader="none"/>
        </w:tabs>
        <w:ind w:left="0" w:firstLine="709"/>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от 25.12.1998 № 132, подписываемый Сторонами после завершения приемки Товара по количеству, качеству и комплектности.</w:t>
      </w:r>
    </w:p>
    <w:p>
      <w:pPr>
        <w:pStyle w:val="ListParagraph"/>
        <w:shd w:val="clear" w:color="auto" w:fill="FFFFFF"/>
        <w:tabs>
          <w:tab w:val="clear" w:pos="709"/>
          <w:tab w:val="left" w:pos="0" w:leader="none"/>
        </w:tabs>
        <w:ind w:left="0" w:firstLine="709"/>
        <w:jc w:val="both"/>
        <w:textAlignment w:val="baseline"/>
        <w:rPr>
          <w:b/>
          <w:sz w:val="24"/>
          <w:szCs w:val="24"/>
          <w:lang w:eastAsia="en-US"/>
        </w:rPr>
      </w:pPr>
      <w:r>
        <w:rPr>
          <w:b/>
          <w:bCs/>
          <w:sz w:val="24"/>
          <w:szCs w:val="24"/>
        </w:rPr>
        <w:t>«Национальный режим»</w:t>
      </w:r>
      <w:r>
        <w:rPr>
          <w:bCs/>
          <w:sz w:val="24"/>
          <w:szCs w:val="24"/>
        </w:rPr>
        <w:t xml:space="preserve"> - 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r>
        <w:rPr>
          <w:b/>
          <w:sz w:val="24"/>
          <w:szCs w:val="24"/>
          <w:lang w:eastAsia="en-US"/>
        </w:rPr>
        <w:t xml:space="preserve"> </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«Партия Товара»</w:t>
      </w:r>
      <w:r>
        <w:rPr>
          <w:sz w:val="24"/>
          <w:szCs w:val="24"/>
          <w:lang w:eastAsia="en-US"/>
        </w:rPr>
        <w:t xml:space="preserve"> – часть Товара, единовременно поставляемая Покупателю Поставщиком, объем, состав и стоимость которой определяется Спецификацией, являющейся приложением к Договору.</w:t>
      </w:r>
    </w:p>
    <w:p>
      <w:pPr>
        <w:pStyle w:val="Heading3"/>
        <w:keepNext w:val="false"/>
        <w:tabs>
          <w:tab w:val="clear" w:pos="709"/>
          <w:tab w:val="left" w:pos="0" w:leader="none"/>
        </w:tabs>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sz w:val="24"/>
          <w:szCs w:val="24"/>
          <w:lang w:eastAsia="en-US"/>
        </w:rPr>
      </w:pPr>
      <w:r>
        <w:rPr>
          <w:b/>
          <w:sz w:val="24"/>
          <w:szCs w:val="24"/>
          <w:lang w:eastAsia="en-US"/>
        </w:rPr>
        <w:t>«Проектная документация»</w:t>
      </w:r>
      <w:r>
        <w:rPr>
          <w:sz w:val="24"/>
          <w:szCs w:val="24"/>
          <w:lang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pPr>
        <w:pStyle w:val="Normal"/>
        <w:ind w:firstLine="709"/>
        <w:jc w:val="both"/>
        <w:rPr>
          <w:sz w:val="24"/>
          <w:szCs w:val="24"/>
          <w:lang w:eastAsia="en-US"/>
        </w:rPr>
      </w:pPr>
      <w:r>
        <w:rPr>
          <w:sz w:val="24"/>
          <w:szCs w:val="24"/>
          <w:lang w:eastAsia="en-US"/>
        </w:rPr>
        <w:t xml:space="preserve">Состав разделов Проектной документации определяется Применимым правом. </w:t>
      </w:r>
    </w:p>
    <w:p>
      <w:pPr>
        <w:pStyle w:val="Normal"/>
        <w:ind w:firstLine="709"/>
        <w:jc w:val="both"/>
        <w:rPr>
          <w:b/>
          <w:sz w:val="24"/>
          <w:szCs w:val="24"/>
          <w:lang w:eastAsia="en-US"/>
        </w:rPr>
      </w:pPr>
      <w:r>
        <w:rPr>
          <w:sz w:val="24"/>
          <w:szCs w:val="24"/>
          <w:lang w:eastAsia="en-US"/>
        </w:rPr>
        <w:t>В состав Проектной документации может включаться также иная документация, необходимая для выполнения работ и эксплуатации объекта капитального строительства, разработанная, в том числе, на основании Технического задания Покупателя.</w:t>
      </w:r>
    </w:p>
    <w:p>
      <w:pPr>
        <w:pStyle w:val="Normal"/>
        <w:tabs>
          <w:tab w:val="clear" w:pos="709"/>
          <w:tab w:val="left" w:pos="567" w:leader="none"/>
        </w:tabs>
        <w:ind w:firstLine="708"/>
        <w:jc w:val="both"/>
        <w:rPr>
          <w:sz w:val="24"/>
          <w:szCs w:val="24"/>
          <w:highlight w:val="lightGray"/>
          <w:lang w:eastAsia="en-US"/>
        </w:rPr>
      </w:pPr>
      <w:r>
        <w:rPr>
          <w:b/>
          <w:sz w:val="24"/>
          <w:szCs w:val="24"/>
          <w:highlight w:val="lightGray"/>
          <w:lang w:eastAsia="en-US"/>
        </w:rPr>
        <w:t xml:space="preserve">«Рабочая документация» </w:t>
      </w:r>
      <w:r>
        <w:rPr>
          <w:sz w:val="24"/>
          <w:szCs w:val="24"/>
          <w:highlight w:val="lightGray"/>
          <w:lang w:eastAsia="en-US"/>
        </w:rPr>
        <w:t>–</w:t>
      </w:r>
      <w:r>
        <w:rPr>
          <w:b/>
          <w:sz w:val="24"/>
          <w:szCs w:val="24"/>
          <w:highlight w:val="lightGray"/>
          <w:lang w:eastAsia="en-US"/>
        </w:rPr>
        <w:t xml:space="preserve"> </w:t>
      </w:r>
      <w:r>
        <w:rPr>
          <w:sz w:val="24"/>
          <w:szCs w:val="24"/>
          <w:highlight w:val="lightGray"/>
          <w:lang w:eastAsia="en-US"/>
        </w:rPr>
        <w:t>совокупность текстовых и графических документов 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для производства строительных и монтажных работ, обеспечения строительства оборудованием, изделиями и материалами и / или изготовления строительных изделий, содержащая:</w:t>
      </w:r>
    </w:p>
    <w:p>
      <w:pPr>
        <w:pStyle w:val="ListParagraph"/>
        <w:numPr>
          <w:ilvl w:val="0"/>
          <w:numId w:val="9"/>
        </w:numPr>
        <w:tabs>
          <w:tab w:val="clear" w:pos="709"/>
          <w:tab w:val="left" w:pos="567" w:leader="none"/>
          <w:tab w:val="left" w:pos="1134" w:leader="none"/>
        </w:tabs>
        <w:ind w:left="0" w:firstLine="709"/>
        <w:jc w:val="both"/>
        <w:rPr>
          <w:b/>
          <w:lang w:eastAsia="en-US"/>
        </w:rPr>
      </w:pPr>
      <w:r>
        <w:rPr>
          <w:sz w:val="24"/>
          <w:szCs w:val="24"/>
          <w:highlight w:val="lightGray"/>
          <w:lang w:eastAsia="en-US"/>
        </w:rPr>
        <w:t>рабочие чертежи основного комплекта, спецификации оборудования и изделий;</w:t>
      </w:r>
    </w:p>
    <w:p>
      <w:pPr>
        <w:pStyle w:val="ListParagraph"/>
        <w:numPr>
          <w:ilvl w:val="0"/>
          <w:numId w:val="9"/>
        </w:numPr>
        <w:tabs>
          <w:tab w:val="clear" w:pos="709"/>
          <w:tab w:val="left" w:pos="567" w:leader="none"/>
          <w:tab w:val="left" w:pos="1134" w:leader="none"/>
        </w:tabs>
        <w:ind w:left="0" w:firstLine="709"/>
        <w:jc w:val="both"/>
        <w:rPr>
          <w:b/>
          <w:lang w:eastAsia="en-US"/>
        </w:rPr>
      </w:pPr>
      <w:r>
        <w:rPr>
          <w:sz w:val="24"/>
          <w:szCs w:val="24"/>
          <w:highlight w:val="lightGray"/>
          <w:lang w:eastAsia="en-US"/>
        </w:rPr>
        <w:t>документы, разработанные в дополнение к рабочим чертежам основного комплекта;</w:t>
      </w:r>
    </w:p>
    <w:p>
      <w:pPr>
        <w:pStyle w:val="ListParagraph"/>
        <w:numPr>
          <w:ilvl w:val="0"/>
          <w:numId w:val="9"/>
        </w:numPr>
        <w:tabs>
          <w:tab w:val="clear" w:pos="709"/>
          <w:tab w:val="left" w:pos="567" w:leader="none"/>
          <w:tab w:val="left" w:pos="1134" w:leader="none"/>
        </w:tabs>
        <w:ind w:left="0" w:firstLine="709"/>
        <w:jc w:val="both"/>
        <w:rPr>
          <w:b/>
          <w:lang w:eastAsia="en-US"/>
        </w:rPr>
      </w:pPr>
      <w:r>
        <w:rPr>
          <w:sz w:val="24"/>
          <w:szCs w:val="24"/>
          <w:highlight w:val="lightGray"/>
          <w:lang w:eastAsia="en-US"/>
        </w:rPr>
        <w:t>сметную документацию.</w:t>
      </w:r>
    </w:p>
    <w:p>
      <w:pPr>
        <w:pStyle w:val="Normal"/>
        <w:ind w:firstLine="708"/>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9"/>
          <w:tab w:val="left" w:pos="567" w:leader="none"/>
        </w:tabs>
        <w:overflowPunct w:val="true"/>
        <w:spacing w:before="0" w:after="0"/>
        <w:ind w:firstLine="708"/>
        <w:jc w:val="both"/>
        <w:textAlignment w:val="baseline"/>
        <w:rPr/>
      </w:pPr>
      <w:r>
        <w:rPr>
          <w:rFonts w:ascii="Times New Roman" w:hAnsi="Times New Roman"/>
          <w:color w:val="000000"/>
          <w:sz w:val="24"/>
          <w:szCs w:val="24"/>
          <w:lang w:val="ru-RU" w:eastAsia="en-US"/>
        </w:rPr>
        <w:t xml:space="preserve">«Универсальный передаточный документ», «УПД» </w:t>
      </w:r>
      <w:r>
        <w:rPr>
          <w:rFonts w:ascii="Times New Roman" w:hAnsi="Times New Roman"/>
          <w:b w:val="false"/>
          <w:color w:val="000000"/>
          <w:sz w:val="24"/>
          <w:szCs w:val="24"/>
          <w:lang w:val="ru-RU" w:eastAsia="en-US"/>
        </w:rPr>
        <w:t>–</w:t>
      </w:r>
      <w:r>
        <w:rPr>
          <w:rFonts w:ascii="Times New Roman" w:hAnsi="Times New Roman"/>
          <w:color w:val="000000"/>
          <w:sz w:val="24"/>
          <w:szCs w:val="24"/>
          <w:lang w:val="ru-RU" w:eastAsia="en-US"/>
        </w:rPr>
        <w:t xml:space="preserve"> </w:t>
      </w:r>
      <w:r>
        <w:rPr>
          <w:rFonts w:ascii="Times New Roman" w:hAnsi="Times New Roman"/>
          <w:b w:val="false"/>
          <w:color w:val="000000"/>
          <w:sz w:val="24"/>
          <w:szCs w:val="24"/>
          <w:lang w:val="ru-RU" w:eastAsia="en-US"/>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ascii="Times New Roman" w:hAnsi="Times New Roman"/>
          <w:b w:val="false"/>
          <w:bCs w:val="false"/>
          <w:color w:val="000000"/>
          <w:sz w:val="24"/>
          <w:szCs w:val="24"/>
          <w:lang w:val="ru-RU" w:eastAsia="en-US"/>
        </w:rPr>
        <w:t>.</w:t>
      </w:r>
    </w:p>
    <w:p>
      <w:pPr>
        <w:pStyle w:val="Heading3"/>
        <w:tabs>
          <w:tab w:val="clear" w:pos="709"/>
          <w:tab w:val="left" w:pos="0" w:leader="none"/>
        </w:tabs>
        <w:spacing w:before="0" w:after="0"/>
        <w:ind w:firstLine="708"/>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shd w:val="clear" w:color="auto" w:fill="FFFFFF"/>
        <w:ind w:firstLine="709"/>
        <w:jc w:val="center"/>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Предмет Договора</w:t>
      </w:r>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Поставщик обязуется в порядке и сроки, установленные Договором, передать в собственность Покупателю</w:t>
      </w:r>
      <w:r>
        <w:rPr>
          <w:rFonts w:eastAsia="Calibri"/>
          <w:bCs/>
          <w:sz w:val="24"/>
          <w:szCs w:val="24"/>
          <w:lang w:eastAsia="en-US"/>
        </w:rPr>
        <w:t xml:space="preserve"> </w:t>
      </w:r>
      <w:r>
        <w:rPr>
          <w:rFonts w:eastAsia="Calibri"/>
          <w:bCs/>
          <w:sz w:val="24"/>
          <w:szCs w:val="24"/>
          <w:highlight w:val="lightGray"/>
          <w:lang w:eastAsia="en-US"/>
        </w:rPr>
        <w:t>контейнеры сухогрузные 20 футов (144 шт.), контейнеры сухогрузные 40 футов (9 шт.)</w:t>
      </w:r>
      <w:r>
        <w:rPr>
          <w:bCs/>
          <w:sz w:val="24"/>
          <w:szCs w:val="24"/>
        </w:rPr>
        <w:t xml:space="preserve"> (далее – «Товар») в соответствии со Спецификацией (Приложение № 1 к Договору) и Техническими требованиями (Приложение № 2 к Договору), а Покупатель обязуется принять Товар и уплатить Цену Договора.</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Поставка Товара по Договору осуществляется для нужд Филиала ПАО «РусГидро» - «Чебоксарская ГЭС»</w:t>
      </w:r>
      <w:r>
        <w:rPr>
          <w:bCs/>
          <w:sz w:val="24"/>
          <w:szCs w:val="24"/>
          <w:highlight w:val="lightGray"/>
        </w:rPr>
        <w:t>.</w:t>
      </w:r>
    </w:p>
    <w:p>
      <w:pPr>
        <w:pStyle w:val="Normal"/>
        <w:numPr>
          <w:ilvl w:val="1"/>
          <w:numId w:val="2"/>
        </w:numPr>
        <w:shd w:val="clear" w:color="auto" w:fill="FFFFFF"/>
        <w:tabs>
          <w:tab w:val="clear" w:pos="709"/>
          <w:tab w:val="left" w:pos="0" w:leader="none"/>
          <w:tab w:val="left" w:pos="1134" w:leader="none"/>
        </w:tabs>
        <w:ind w:left="0" w:firstLine="709"/>
        <w:rPr>
          <w:bCs/>
          <w:sz w:val="24"/>
          <w:szCs w:val="24"/>
        </w:rPr>
      </w:pPr>
      <w:r>
        <w:rPr>
          <w:bCs/>
          <w:sz w:val="24"/>
          <w:szCs w:val="24"/>
        </w:rPr>
        <w:t>Место поставки Товара: Филиал ПАО «РусГидро» - «Чебоксарская ГЭС», Российская Федерация, Чувашская Республика, г. Новочебоксарск, ул. Набережная, влд. 34, территория Филиала; Филиал ПАО «РусГидро» - «Чебоксарская ГЭС», Российская Федерация, Чувашская Республика, г Новочебоксарск, ул. Набережная, д.44, территория ОРУ (согласно таблице №1 Технических требований (Приложение № 2 к Договору)</w:t>
      </w:r>
      <w:r>
        <w:rPr>
          <w:sz w:val="24"/>
          <w:szCs w:val="24"/>
        </w:rPr>
        <w:t xml:space="preserve"> (далее – «Место поставки»).</w:t>
      </w:r>
    </w:p>
    <w:p>
      <w:pPr>
        <w:pStyle w:val="Normal"/>
        <w:numPr>
          <w:ilvl w:val="1"/>
          <w:numId w:val="2"/>
        </w:numPr>
        <w:shd w:val="clear" w:color="auto" w:fill="FFFFFF"/>
        <w:tabs>
          <w:tab w:val="clear" w:pos="709"/>
          <w:tab w:val="left" w:pos="0" w:leader="none"/>
          <w:tab w:val="left" w:pos="540" w:leader="none"/>
          <w:tab w:val="left" w:pos="1134" w:leader="none"/>
        </w:tabs>
        <w:ind w:left="0" w:firstLine="709"/>
        <w:jc w:val="both"/>
        <w:rPr>
          <w:bCs/>
          <w:sz w:val="24"/>
          <w:szCs w:val="24"/>
        </w:rPr>
      </w:pPr>
      <w:r>
        <w:rPr>
          <w:bCs/>
          <w:sz w:val="24"/>
          <w:szCs w:val="24"/>
        </w:rPr>
        <w:t>Общий срок поставки Товара:</w:t>
      </w:r>
    </w:p>
    <w:p>
      <w:pPr>
        <w:pStyle w:val="Normal"/>
        <w:numPr>
          <w:ilvl w:val="2"/>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Начало – </w:t>
      </w:r>
      <w:r>
        <w:rPr>
          <w:bCs/>
          <w:sz w:val="24"/>
          <w:szCs w:val="24"/>
          <w:highlight w:val="lightGray"/>
        </w:rPr>
        <w:t>с даты, следующей за датой заключения Договора</w:t>
      </w:r>
      <w:r>
        <w:rPr>
          <w:bCs/>
          <w:sz w:val="24"/>
          <w:szCs w:val="24"/>
        </w:rPr>
        <w:t>.</w:t>
      </w:r>
    </w:p>
    <w:p>
      <w:pPr>
        <w:pStyle w:val="Normal"/>
        <w:numPr>
          <w:ilvl w:val="2"/>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Окончание – </w:t>
      </w:r>
      <w:r>
        <w:rPr>
          <w:bCs/>
          <w:iCs/>
          <w:sz w:val="24"/>
          <w:szCs w:val="24"/>
        </w:rPr>
        <w:t xml:space="preserve"> </w:t>
      </w:r>
      <w:r>
        <w:rPr>
          <w:bCs/>
          <w:iCs/>
          <w:sz w:val="24"/>
          <w:szCs w:val="24"/>
          <w:highlight w:val="lightGray"/>
        </w:rPr>
        <w:t>в течение 30 (тридцати) рабочих дней с даты заключения Договора</w:t>
      </w:r>
      <w:r>
        <w:rPr>
          <w:bCs/>
          <w:sz w:val="24"/>
          <w:szCs w:val="24"/>
        </w:rPr>
        <w:t>.</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Сроки поставки Товара (партий Товара) указаны в Календарном графике поставки Товара (Приложение № 3 к Договору) в рамках общих сроков, указанных в пункте 1.4 Договора. </w:t>
      </w:r>
    </w:p>
    <w:p>
      <w:pPr>
        <w:pStyle w:val="Normal"/>
        <w:shd w:val="clear" w:color="auto" w:fill="FFFFFF"/>
        <w:tabs>
          <w:tab w:val="clear" w:pos="709"/>
          <w:tab w:val="left" w:pos="540" w:leader="none"/>
        </w:tabs>
        <w:ind w:left="1134" w:hanging="0"/>
        <w:jc w:val="both"/>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Цена Договора и порядок расчетов</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sz w:val="24"/>
          <w:szCs w:val="24"/>
        </w:rPr>
        <w:t xml:space="preserve">Цена Договора в соответствии со Спецификацией (Приложение № 1 к Договору) </w:t>
      </w:r>
      <w:r>
        <w:rPr>
          <w:bCs/>
          <w:sz w:val="24"/>
          <w:szCs w:val="24"/>
        </w:rPr>
        <w:t xml:space="preserve">является </w:t>
      </w:r>
      <w:r>
        <w:rPr>
          <w:bCs/>
          <w:sz w:val="24"/>
          <w:szCs w:val="24"/>
          <w:highlight w:val="lightGray"/>
        </w:rPr>
        <w:t>твердой</w:t>
      </w:r>
      <w:r>
        <w:rPr>
          <w:bCs/>
          <w:sz w:val="24"/>
          <w:szCs w:val="24"/>
        </w:rPr>
        <w:t xml:space="preserve"> и составляет </w:t>
      </w:r>
      <w:r>
        <w:rPr>
          <w:sz w:val="24"/>
          <w:szCs w:val="24"/>
          <w:highlight w:val="lightGray"/>
        </w:rPr>
        <w:t>_______</w:t>
      </w:r>
      <w:r>
        <w:rPr>
          <w:bCs/>
          <w:sz w:val="24"/>
          <w:szCs w:val="24"/>
        </w:rPr>
        <w:t xml:space="preserve"> (</w:t>
      </w:r>
      <w:r>
        <w:rPr>
          <w:sz w:val="24"/>
          <w:szCs w:val="24"/>
          <w:highlight w:val="lightGray"/>
        </w:rPr>
        <w:t>__________________</w:t>
      </w:r>
      <w:r>
        <w:rPr>
          <w:bCs/>
          <w:sz w:val="24"/>
          <w:szCs w:val="24"/>
          <w:highlight w:val="lightGray"/>
        </w:rPr>
        <w:t>)</w:t>
      </w:r>
      <w:r>
        <w:rPr>
          <w:bCs/>
          <w:sz w:val="24"/>
          <w:szCs w:val="24"/>
        </w:rPr>
        <w:t xml:space="preserve"> рублей </w:t>
      </w:r>
      <w:r>
        <w:rPr>
          <w:sz w:val="24"/>
          <w:szCs w:val="24"/>
          <w:highlight w:val="lightGray"/>
        </w:rPr>
        <w:t>___</w:t>
      </w:r>
      <w:r>
        <w:rPr>
          <w:bCs/>
          <w:sz w:val="24"/>
          <w:szCs w:val="24"/>
        </w:rPr>
        <w:t xml:space="preserve"> копеек без учета НДС, при этом НДС исчисляется дополнительно по ставке, установленной ст. 164 Налогового Кодекса РФ.</w:t>
      </w:r>
    </w:p>
    <w:p>
      <w:pPr>
        <w:pStyle w:val="ListParagraph"/>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производство и / или приобретение Товара;</w:t>
      </w:r>
    </w:p>
    <w:p>
      <w:pPr>
        <w:pStyle w:val="ListParagraph"/>
        <w:numPr>
          <w:ilvl w:val="0"/>
          <w:numId w:val="0"/>
        </w:numPr>
        <w:shd w:val="clear" w:color="auto" w:fill="FFFFFF"/>
        <w:tabs>
          <w:tab w:val="clear" w:pos="709"/>
          <w:tab w:val="left" w:pos="1418" w:leader="none"/>
        </w:tabs>
        <w:ind w:left="0" w:hanging="0"/>
        <w:jc w:val="both"/>
        <w:rPr>
          <w:bCs/>
          <w:sz w:val="24"/>
          <w:szCs w:val="24"/>
        </w:rPr>
      </w:pPr>
      <w:r>
        <w:rPr>
          <w:bCs/>
          <w:sz w:val="24"/>
          <w:szCs w:val="24"/>
        </w:rPr>
        <w:t xml:space="preserve">        </w:t>
      </w:r>
      <w:r>
        <w:rPr>
          <w:bCs/>
          <w:sz w:val="24"/>
          <w:szCs w:val="24"/>
        </w:rPr>
        <w:t xml:space="preserve">2.2.2. транспортировку Товара до Места поставки, погрузку,  стоимость тары и упаковки, лицензий, необходимых для использования Товара (если применимо); </w:t>
      </w:r>
    </w:p>
    <w:p>
      <w:pPr>
        <w:pStyle w:val="Normal"/>
        <w:numPr>
          <w:ilvl w:val="0"/>
          <w:numId w:val="0"/>
        </w:numPr>
        <w:shd w:val="clear" w:color="auto" w:fill="FFFFFF"/>
        <w:tabs>
          <w:tab w:val="clear" w:pos="709"/>
          <w:tab w:val="left" w:pos="1418" w:leader="none"/>
        </w:tabs>
        <w:ind w:left="0" w:hanging="0"/>
        <w:jc w:val="both"/>
        <w:rPr>
          <w:bCs/>
          <w:sz w:val="24"/>
          <w:szCs w:val="24"/>
        </w:rPr>
      </w:pPr>
      <w:r>
        <w:rPr>
          <w:bCs/>
          <w:sz w:val="24"/>
          <w:szCs w:val="24"/>
        </w:rPr>
        <w:t xml:space="preserve">      </w:t>
      </w:r>
      <w:r>
        <w:rPr>
          <w:bCs/>
          <w:sz w:val="24"/>
          <w:szCs w:val="24"/>
        </w:rPr>
        <w:t>2.2.3 подлежащие уплате налоги, сборы и пошлины (в том числе по таможенному оформлению Товара, если применимо)</w:t>
      </w:r>
      <w:r>
        <w:rPr>
          <w:bCs/>
          <w:sz w:val="24"/>
          <w:szCs w:val="24"/>
          <w:lang w:val="en-US"/>
        </w:rPr>
        <w:t>;</w:t>
      </w:r>
    </w:p>
    <w:p>
      <w:pPr>
        <w:pStyle w:val="Normal"/>
        <w:numPr>
          <w:ilvl w:val="0"/>
          <w:numId w:val="0"/>
        </w:numPr>
        <w:shd w:val="clear" w:color="auto" w:fill="FFFFFF"/>
        <w:tabs>
          <w:tab w:val="clear" w:pos="709"/>
          <w:tab w:val="left" w:pos="1418" w:leader="none"/>
        </w:tabs>
        <w:ind w:left="0" w:hanging="0"/>
        <w:jc w:val="both"/>
        <w:rPr>
          <w:bCs/>
          <w:sz w:val="24"/>
          <w:szCs w:val="24"/>
        </w:rPr>
      </w:pPr>
      <w:r>
        <w:rPr>
          <w:bCs/>
          <w:sz w:val="24"/>
          <w:szCs w:val="24"/>
        </w:rPr>
        <w:t xml:space="preserve">      </w:t>
      </w:r>
      <w:r>
        <w:rPr>
          <w:bCs/>
          <w:sz w:val="24"/>
          <w:szCs w:val="24"/>
        </w:rPr>
        <w:t xml:space="preserve">2.2.4. заработную плату, накладные и командировочные расходы, перемещение и размещение персонала Поставщика; </w:t>
      </w:r>
    </w:p>
    <w:p>
      <w:pPr>
        <w:pStyle w:val="Normal"/>
        <w:numPr>
          <w:ilvl w:val="0"/>
          <w:numId w:val="0"/>
        </w:numPr>
        <w:shd w:val="clear" w:color="auto" w:fill="FFFFFF"/>
        <w:tabs>
          <w:tab w:val="clear" w:pos="709"/>
          <w:tab w:val="left" w:pos="1418" w:leader="none"/>
        </w:tabs>
        <w:ind w:left="0" w:hanging="0"/>
        <w:jc w:val="both"/>
        <w:rPr>
          <w:bCs/>
          <w:sz w:val="24"/>
          <w:szCs w:val="24"/>
        </w:rPr>
      </w:pPr>
      <w:r>
        <w:rPr>
          <w:bCs/>
          <w:sz w:val="24"/>
          <w:szCs w:val="24"/>
        </w:rPr>
        <w:t xml:space="preserve">       </w:t>
      </w:r>
      <w:r>
        <w:rPr>
          <w:bCs/>
          <w:sz w:val="24"/>
          <w:szCs w:val="24"/>
        </w:rPr>
        <w:t xml:space="preserve">2.2.5. 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9"/>
          <w:tab w:val="left" w:pos="568" w:leader="none"/>
          <w:tab w:val="left" w:pos="1134" w:leader="none"/>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2"/>
        </w:numPr>
        <w:shd w:val="clear" w:color="auto" w:fill="FFFFFF"/>
        <w:tabs>
          <w:tab w:val="clear" w:pos="709"/>
          <w:tab w:val="left" w:pos="0" w:leader="none"/>
          <w:tab w:val="left" w:pos="1134" w:leader="none"/>
        </w:tabs>
        <w:ind w:left="0" w:firstLine="709"/>
        <w:jc w:val="both"/>
        <w:rPr>
          <w:sz w:val="24"/>
          <w:szCs w:val="24"/>
        </w:rPr>
      </w:pPr>
      <w:r>
        <w:rPr>
          <w:sz w:val="24"/>
          <w:szCs w:val="24"/>
        </w:rPr>
        <w:t xml:space="preserve">Оплата по Договору осуществляется Покупателем в следующем порядке: </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32"/>
          <w:szCs w:val="24"/>
        </w:rPr>
      </w:pPr>
      <w:r>
        <w:rPr>
          <w:sz w:val="24"/>
        </w:rPr>
        <w:t>Авансовые платежи за каждую партию Товара в размере 50 (пятидесяти) процентов от стоимости соответствующей партии Товара, определенной без учета НДС, кроме того НДС по ставке, установленной статьей 164 НК РФ на дату осуществления платежа, выплачиваются Поставщику в течение 30 (тридцати) календарных дней с даты получения Покупателем счета, выставленного Поставщиком, и с учетом пункта 2.4.3 Договора.</w:t>
      </w:r>
    </w:p>
    <w:p>
      <w:pPr>
        <w:pStyle w:val="ListParagraph"/>
        <w:numPr>
          <w:ilvl w:val="2"/>
          <w:numId w:val="2"/>
        </w:numPr>
        <w:ind w:left="0" w:firstLine="709"/>
        <w:jc w:val="both"/>
        <w:rPr>
          <w:sz w:val="24"/>
        </w:rPr>
      </w:pPr>
      <w:r>
        <w:rPr>
          <w:sz w:val="24"/>
        </w:rPr>
        <w:t>Последующие платежи в размере разницы между стоимостью каждой Партии Товара, определенной без учета НДС, кроме того НДС по ставке, установленной статьей 164 НК РФ на дату подписания сторонами ТОРГ-12/</w:t>
      </w:r>
      <w:bookmarkStart w:id="0" w:name="_GoBack"/>
      <w:bookmarkEnd w:id="0"/>
      <w:r>
        <w:rPr>
          <w:sz w:val="24"/>
        </w:rPr>
        <w:t>УПД и суммой авансового платежа, ранее уплаченного Покупателем в соответствии с пунктом 2.4.1 Договора, выплачиваются в течение  7 (семи) рабочих дней с даты подписания Сторонами Накладной ТОРГ-12/УПД, на основании счета, выставленного Поставщиком, и с учетом пункта 2.4.3 Договора.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Индексация Цены Договора не допускается.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Поставщик обязан представить Покупателю счета-фактуры/УПД,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2"/>
        </w:numPr>
        <w:tabs>
          <w:tab w:val="clear" w:pos="709"/>
          <w:tab w:val="left" w:pos="1134" w:leader="none"/>
        </w:tabs>
        <w:ind w:left="0" w:firstLine="709"/>
        <w:jc w:val="both"/>
        <w:rPr>
          <w:sz w:val="24"/>
          <w:szCs w:val="24"/>
        </w:rPr>
      </w:pPr>
      <w:r>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 w:val="left" w:pos="1276" w:leader="none"/>
        </w:tabs>
        <w:ind w:left="0" w:firstLine="709"/>
        <w:jc w:val="both"/>
        <w:rPr>
          <w:sz w:val="24"/>
          <w:szCs w:val="24"/>
        </w:rPr>
      </w:pPr>
      <w:r>
        <w:rPr>
          <w:sz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iCs/>
          <w:sz w:val="24"/>
          <w:szCs w:val="24"/>
        </w:rPr>
        <w:t>Поставщика перед Покупателем</w:t>
      </w:r>
      <w:r>
        <w:rPr>
          <w:sz w:val="24"/>
        </w:rPr>
        <w:t>,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Normal"/>
        <w:ind w:firstLine="709"/>
        <w:jc w:val="both"/>
        <w:rPr>
          <w:sz w:val="24"/>
          <w:szCs w:val="24"/>
        </w:rPr>
      </w:pPr>
      <w:r>
        <w:rPr>
          <w:sz w:val="24"/>
        </w:rPr>
        <w:t>Покупатель направляет Поставщику уведомление о проведении сальдо взаимных обязательств Сторон по Договору.</w:t>
      </w:r>
    </w:p>
    <w:p>
      <w:pPr>
        <w:pStyle w:val="Normal"/>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Порядок поставки и приемки Товара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sz w:val="24"/>
          <w:szCs w:val="24"/>
        </w:rPr>
        <w:t>Поставка Товара осуществляется партиями в Место поставки, указанное в пункте 1.3 Договора.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Качество, комплектность, количество и ассортимент поставляемого по Договору Товара должны соответствовать  требованиям Договора и Покупателя,</w:t>
      </w:r>
      <w:r>
        <w:rPr>
          <w:b/>
          <w:bCs/>
          <w:sz w:val="24"/>
          <w:szCs w:val="24"/>
        </w:rPr>
        <w:t xml:space="preserve"> </w:t>
      </w:r>
      <w:r>
        <w:rPr>
          <w:bCs/>
          <w:sz w:val="24"/>
          <w:szCs w:val="24"/>
        </w:rPr>
        <w:t>в том числе, указанным в Спецификации (Приложение № 1 к Договору), а также Применимого права.</w:t>
      </w:r>
    </w:p>
    <w:p>
      <w:pPr>
        <w:pStyle w:val="Normal"/>
        <w:widowControl/>
        <w:shd w:val="clear" w:color="auto" w:fill="FFFFFF"/>
        <w:tabs>
          <w:tab w:val="clear" w:pos="709"/>
          <w:tab w:val="left" w:pos="1134" w:leader="none"/>
        </w:tabs>
        <w:ind w:firstLine="709"/>
        <w:jc w:val="both"/>
        <w:rPr>
          <w:bCs/>
          <w:sz w:val="24"/>
          <w:szCs w:val="24"/>
        </w:rPr>
      </w:pPr>
      <w:r>
        <w:rPr>
          <w:bCs/>
          <w:sz w:val="24"/>
          <w:szCs w:val="24"/>
          <w:highlight w:val="lightGray"/>
        </w:rPr>
        <w:t xml:space="preserve">Поставщик не вправе производить </w:t>
      </w:r>
      <w:r>
        <w:rPr>
          <w:sz w:val="24"/>
          <w:szCs w:val="24"/>
          <w:highlight w:val="lightGray"/>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Поставляемый Товар должен быть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Одновременно с передачей партии Товара Поставщик обязан передать Покупателю оригиналы следующих относящихся к Товару документов: </w:t>
      </w:r>
    </w:p>
    <w:p>
      <w:pPr>
        <w:pStyle w:val="Normal"/>
        <w:numPr>
          <w:ilvl w:val="0"/>
          <w:numId w:val="3"/>
        </w:numPr>
        <w:shd w:val="clear" w:color="auto" w:fill="FFFFFF"/>
        <w:tabs>
          <w:tab w:val="clear" w:pos="709"/>
          <w:tab w:val="left" w:pos="1418" w:leader="none"/>
        </w:tabs>
        <w:ind w:left="0" w:firstLine="709"/>
        <w:jc w:val="both"/>
        <w:rPr>
          <w:sz w:val="24"/>
          <w:szCs w:val="24"/>
        </w:rPr>
      </w:pPr>
      <w:r>
        <w:rPr>
          <w:sz w:val="24"/>
          <w:szCs w:val="24"/>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2</w:t>
      </w:r>
      <w:r>
        <w:rPr>
          <w:sz w:val="24"/>
          <w:szCs w:val="24"/>
          <w:highlight w:val="lightGray"/>
        </w:rPr>
        <w:t>(двух)</w:t>
      </w:r>
      <w:r>
        <w:rPr>
          <w:sz w:val="24"/>
          <w:szCs w:val="24"/>
        </w:rPr>
        <w:t xml:space="preserve"> экз.;</w:t>
      </w:r>
    </w:p>
    <w:p>
      <w:pPr>
        <w:pStyle w:val="Normal"/>
        <w:numPr>
          <w:ilvl w:val="0"/>
          <w:numId w:val="3"/>
        </w:numPr>
        <w:shd w:val="clear" w:color="auto" w:fill="FFFFFF"/>
        <w:tabs>
          <w:tab w:val="clear" w:pos="709"/>
          <w:tab w:val="left" w:pos="1418" w:leader="none"/>
        </w:tabs>
        <w:ind w:left="0" w:firstLine="709"/>
        <w:jc w:val="both"/>
        <w:rPr>
          <w:sz w:val="24"/>
          <w:szCs w:val="24"/>
        </w:rPr>
      </w:pPr>
      <w:r>
        <w:rPr>
          <w:sz w:val="24"/>
          <w:szCs w:val="24"/>
        </w:rPr>
        <w:t>накладная ТОРГ-12/УПД в 2</w:t>
      </w:r>
      <w:r>
        <w:rPr>
          <w:sz w:val="24"/>
          <w:szCs w:val="24"/>
          <w:highlight w:val="lightGray"/>
        </w:rPr>
        <w:t>(двух)</w:t>
      </w:r>
      <w:r>
        <w:rPr>
          <w:sz w:val="24"/>
          <w:szCs w:val="24"/>
        </w:rPr>
        <w:t xml:space="preserve"> экз.</w:t>
      </w:r>
    </w:p>
    <w:p>
      <w:pPr>
        <w:pStyle w:val="Normal"/>
        <w:numPr>
          <w:ilvl w:val="0"/>
          <w:numId w:val="3"/>
        </w:numPr>
        <w:shd w:val="clear" w:color="auto" w:fill="FFFFFF"/>
        <w:tabs>
          <w:tab w:val="clear" w:pos="709"/>
          <w:tab w:val="left" w:pos="1418" w:leader="none"/>
        </w:tabs>
        <w:ind w:left="0" w:firstLine="709"/>
        <w:jc w:val="both"/>
        <w:rPr>
          <w:sz w:val="24"/>
          <w:szCs w:val="24"/>
        </w:rPr>
      </w:pPr>
      <w:r>
        <w:rPr>
          <w:sz w:val="24"/>
          <w:szCs w:val="24"/>
        </w:rPr>
        <w:t>акт приема-передачи (с указанием уникальных идентификационных номеров контейнеров) в 2 (двух) экз.</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ListParagraph"/>
        <w:shd w:val="clear" w:color="auto" w:fill="FFFFFF"/>
        <w:tabs>
          <w:tab w:val="clear" w:pos="709"/>
          <w:tab w:val="left" w:pos="1134" w:leader="none"/>
          <w:tab w:val="left" w:pos="1418" w:leader="none"/>
        </w:tabs>
        <w:ind w:left="0" w:firstLine="709"/>
        <w:jc w:val="both"/>
        <w:rPr>
          <w:bCs/>
          <w:sz w:val="24"/>
          <w:szCs w:val="24"/>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bookmarkStart w:id="1"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1"/>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Отдельные требования к упаковке и маркировке негабаритного Товара, </w:t>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 xml:space="preserve">Погрузка, доставка </w:t>
      </w:r>
      <w:r>
        <w:rPr>
          <w:rStyle w:val="Style14"/>
          <w:sz w:val="24"/>
          <w:szCs w:val="24"/>
          <w:highlight w:val="lightGray"/>
        </w:rPr>
        <w:t xml:space="preserve"> </w:t>
      </w:r>
      <w:r>
        <w:rPr>
          <w:sz w:val="24"/>
          <w:szCs w:val="24"/>
        </w:rPr>
        <w:t xml:space="preserve"> </w:t>
      </w:r>
      <w:r>
        <w:rPr>
          <w:bCs/>
          <w:sz w:val="24"/>
          <w:szCs w:val="24"/>
        </w:rPr>
        <w:t>осуществляется</w:t>
      </w:r>
      <w:r>
        <w:rPr>
          <w:sz w:val="24"/>
          <w:szCs w:val="24"/>
        </w:rPr>
        <w:t xml:space="preserve"> Поставщиком. Стоимость погрузки, доставки включена в стоимость Товара.</w:t>
      </w:r>
    </w:p>
    <w:p>
      <w:pPr>
        <w:pStyle w:val="ListParagraph"/>
        <w:widowContro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bookmarkStart w:id="2" w:name="_Ref361396594"/>
      <w:r>
        <w:rPr>
          <w:sz w:val="24"/>
          <w:szCs w:val="24"/>
        </w:rPr>
        <w:t>Датой поставки партии Товара является дата подписания Сторонами Накладной ТОРГ-12/УПД.</w:t>
      </w:r>
      <w:bookmarkEnd w:id="2"/>
      <w:r>
        <w:rPr>
          <w:sz w:val="24"/>
          <w:szCs w:val="24"/>
        </w:rPr>
        <w:t xml:space="preserve">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Приемка партии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w:t>
      </w:r>
      <w:r>
        <w:rPr>
          <w:sz w:val="24"/>
          <w:szCs w:val="24"/>
          <w:highlight w:val="lightGray"/>
        </w:rPr>
        <w:t>3 (трех)</w:t>
      </w:r>
      <w:r>
        <w:rPr>
          <w:sz w:val="24"/>
          <w:szCs w:val="24"/>
        </w:rPr>
        <w:t xml:space="preserve">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партии Товара в срок, письменно согласованный с Покупателем. </w:t>
      </w:r>
    </w:p>
    <w:p>
      <w:pPr>
        <w:pStyle w:val="ListParagraph"/>
        <w:shd w:val="clear" w:color="auto" w:fill="FFFFFF"/>
        <w:tabs>
          <w:tab w:val="clear" w:pos="709"/>
          <w:tab w:val="left" w:pos="1418" w:leader="none"/>
        </w:tabs>
        <w:ind w:left="0" w:firstLine="709"/>
        <w:jc w:val="both"/>
        <w:rPr>
          <w:sz w:val="24"/>
          <w:szCs w:val="24"/>
        </w:rPr>
      </w:pPr>
      <w:bookmarkStart w:id="3" w:name="_Ref361408232"/>
      <w:r>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3"/>
      <w:r>
        <w:rPr>
          <w:sz w:val="24"/>
          <w:szCs w:val="24"/>
        </w:rPr>
        <w:t xml:space="preserve">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Приемка партии Товара со вскрытием тары и упаковки производится Покупателем в присутствии представителя Поставщика в течение </w:t>
      </w:r>
      <w:r>
        <w:rPr>
          <w:sz w:val="24"/>
          <w:szCs w:val="24"/>
          <w:highlight w:val="lightGray"/>
        </w:rPr>
        <w:t>10 (десяти)</w:t>
      </w:r>
      <w:r>
        <w:rPr>
          <w:sz w:val="24"/>
          <w:szCs w:val="24"/>
        </w:rPr>
        <w:t xml:space="preserve"> рабочих дней </w:t>
        <w:br/>
        <w:t>с даты подписания Покупателем транспортных документов. В случае отсутствия замечаний Покупатель подписывает Накладную ТОРГ-12/УПД.</w:t>
      </w:r>
    </w:p>
    <w:p>
      <w:pPr>
        <w:pStyle w:val="Normal"/>
        <w:numPr>
          <w:ilvl w:val="1"/>
          <w:numId w:val="2"/>
        </w:numPr>
        <w:shd w:val="clear" w:color="auto" w:fill="FFFFFF"/>
        <w:tabs>
          <w:tab w:val="clear" w:pos="709"/>
          <w:tab w:val="left" w:pos="568" w:leader="none"/>
          <w:tab w:val="left" w:pos="1134" w:leader="none"/>
          <w:tab w:val="left" w:pos="1418" w:leader="none"/>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партии Товара.</w:t>
      </w:r>
    </w:p>
    <w:p>
      <w:pPr>
        <w:pStyle w:val="Normal"/>
        <w:numPr>
          <w:ilvl w:val="1"/>
          <w:numId w:val="2"/>
        </w:numPr>
        <w:shd w:val="clear" w:color="auto" w:fill="FFFFFF"/>
        <w:tabs>
          <w:tab w:val="clear" w:pos="709"/>
          <w:tab w:val="left" w:pos="1418" w:leader="none"/>
        </w:tabs>
        <w:ind w:left="0" w:firstLine="709"/>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 / или дефектов партии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партии Товара, от которой отказался Покупатель, возвратить ее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9"/>
          <w:tab w:val="left" w:pos="1283" w:leader="none"/>
          <w:tab w:val="left" w:pos="1851" w:leader="none"/>
        </w:tabs>
        <w:ind w:firstLine="709"/>
        <w:jc w:val="both"/>
        <w:rPr>
          <w:sz w:val="24"/>
          <w:szCs w:val="24"/>
        </w:rPr>
      </w:pPr>
      <w:r>
        <w:rPr>
          <w:sz w:val="24"/>
          <w:szCs w:val="24"/>
        </w:rPr>
        <w:t>Если Поставщик не вывезет партию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ТОРГ-12/УПД.</w:t>
      </w:r>
    </w:p>
    <w:p>
      <w:pPr>
        <w:pStyle w:val="Normal"/>
        <w:shd w:val="clear" w:color="auto" w:fill="FFFFFF"/>
        <w:jc w:val="both"/>
        <w:rPr>
          <w:sz w:val="24"/>
          <w:szCs w:val="24"/>
        </w:rPr>
      </w:pPr>
      <w:r>
        <w:rPr>
          <w:sz w:val="24"/>
          <w:szCs w:val="24"/>
        </w:rPr>
      </w:r>
    </w:p>
    <w:p>
      <w:pPr>
        <w:pStyle w:val="ListParagraph"/>
        <w:numPr>
          <w:ilvl w:val="0"/>
          <w:numId w:val="2"/>
        </w:numPr>
        <w:shd w:val="clear" w:color="auto" w:fill="FFFFFF"/>
        <w:tabs>
          <w:tab w:val="clear" w:pos="709"/>
          <w:tab w:val="left" w:pos="284" w:leader="none"/>
        </w:tabs>
        <w:ind w:left="0" w:hanging="0"/>
        <w:jc w:val="center"/>
        <w:rPr>
          <w:b/>
          <w:sz w:val="24"/>
          <w:szCs w:val="24"/>
        </w:rPr>
      </w:pPr>
      <w:r>
        <w:rPr>
          <w:b/>
          <w:sz w:val="24"/>
          <w:szCs w:val="24"/>
        </w:rPr>
        <w:t>Гарантийный срок</w:t>
      </w:r>
    </w:p>
    <w:p>
      <w:pPr>
        <w:pStyle w:val="ListParagraph"/>
        <w:numPr>
          <w:ilvl w:val="1"/>
          <w:numId w:val="2"/>
        </w:numPr>
        <w:tabs>
          <w:tab w:val="left" w:pos="709" w:leader="none"/>
          <w:tab w:val="left" w:pos="1134" w:leader="none"/>
        </w:tabs>
        <w:ind w:left="0" w:firstLine="709"/>
        <w:jc w:val="both"/>
        <w:rPr>
          <w:sz w:val="24"/>
          <w:szCs w:val="24"/>
        </w:rPr>
      </w:pPr>
      <w:r>
        <w:rPr>
          <w:sz w:val="24"/>
          <w:szCs w:val="24"/>
        </w:rPr>
        <w:t xml:space="preserve">Гарантийный срок на Товар, поставленный по Договору, составляет </w:t>
      </w:r>
      <w:r>
        <w:rPr>
          <w:bCs/>
          <w:sz w:val="24"/>
          <w:szCs w:val="24"/>
          <w:lang w:eastAsia="x-none"/>
        </w:rPr>
        <w:t>не менее 3 (трех) календарных месяцев и начинает течь</w:t>
      </w:r>
      <w:r>
        <w:rPr>
          <w:sz w:val="24"/>
          <w:szCs w:val="24"/>
        </w:rPr>
        <w:t xml:space="preserve"> с даты подписания Сторонами Накладной ТОРГ-12/УПД.</w:t>
      </w:r>
      <w:r>
        <w:rPr/>
        <w:t xml:space="preserve"> </w:t>
      </w:r>
      <w:r>
        <w:rPr>
          <w:sz w:val="24"/>
          <w:szCs w:val="24"/>
        </w:rPr>
        <w:t xml:space="preserve">Гарантийный срок может быть продлен в соответствии с условиями Договора. </w:t>
      </w:r>
    </w:p>
    <w:p>
      <w:pPr>
        <w:pStyle w:val="ListParagraph"/>
        <w:tabs>
          <w:tab w:val="clear" w:pos="709"/>
          <w:tab w:val="left" w:pos="1134" w:leader="none"/>
          <w:tab w:val="left" w:pos="1851" w:leader="none"/>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4" w:name="OLE_LINK5"/>
      <w:bookmarkStart w:id="5" w:name="OLE_LINK6"/>
      <w:r>
        <w:rPr>
          <w:sz w:val="24"/>
          <w:szCs w:val="24"/>
        </w:rPr>
        <w:t>Покупателем в соответствии с пунктом 4.3 Договора</w:t>
      </w:r>
      <w:bookmarkEnd w:id="4"/>
      <w:bookmarkEnd w:id="5"/>
      <w:r>
        <w:rPr>
          <w:sz w:val="24"/>
          <w:szCs w:val="24"/>
        </w:rPr>
        <w:t xml:space="preserve">, путем замены или ремонта Товара. </w:t>
      </w:r>
    </w:p>
    <w:p>
      <w:pPr>
        <w:pStyle w:val="Normal"/>
        <w:shd w:val="clear" w:color="auto" w:fill="FFFFFF"/>
        <w:ind w:firstLine="709"/>
        <w:jc w:val="both"/>
        <w:rPr>
          <w:sz w:val="24"/>
          <w:szCs w:val="24"/>
        </w:rPr>
      </w:pPr>
      <w:r>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Normal"/>
        <w:widowControl/>
        <w:numPr>
          <w:ilvl w:val="0"/>
          <w:numId w:val="0"/>
        </w:numPr>
        <w:shd w:val="clear" w:color="auto" w:fill="FFFFFF"/>
        <w:suppressAutoHyphens w:val="true"/>
        <w:bidi w:val="0"/>
        <w:spacing w:before="0" w:after="0"/>
        <w:ind w:left="0" w:hanging="0"/>
        <w:jc w:val="both"/>
        <w:rPr>
          <w:sz w:val="24"/>
        </w:rPr>
      </w:pPr>
      <w:r>
        <w:rPr>
          <w:sz w:val="24"/>
        </w:rPr>
      </w:r>
    </w:p>
    <w:p>
      <w:pPr>
        <w:pStyle w:val="Normal"/>
        <w:widowControl/>
        <w:numPr>
          <w:ilvl w:val="0"/>
          <w:numId w:val="0"/>
        </w:numPr>
        <w:shd w:val="clear" w:color="auto" w:fill="FFFFFF"/>
        <w:ind w:left="0" w:hanging="0"/>
        <w:jc w:val="both"/>
        <w:rPr>
          <w:sz w:val="24"/>
        </w:rPr>
      </w:pPr>
      <w:r>
        <w:rPr>
          <w:sz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Ответственность Сторон</w:t>
      </w:r>
    </w:p>
    <w:p>
      <w:pPr>
        <w:pStyle w:val="ListParagraph"/>
        <w:numPr>
          <w:ilvl w:val="1"/>
          <w:numId w:val="2"/>
        </w:numPr>
        <w:tabs>
          <w:tab w:val="clear" w:pos="709"/>
          <w:tab w:val="left" w:pos="1276" w:leader="none"/>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Покупатель не несет ответственности за ненадлежащее исполнение обязательств 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Normal"/>
        <w:widowControl/>
        <w:numPr>
          <w:ilvl w:val="1"/>
          <w:numId w:val="2"/>
        </w:numPr>
        <w:tabs>
          <w:tab w:val="clear" w:pos="709"/>
          <w:tab w:val="left" w:pos="1276" w:leader="none"/>
        </w:tabs>
        <w:ind w:left="0" w:firstLine="709"/>
        <w:jc w:val="both"/>
        <w:rPr>
          <w:bCs/>
          <w:sz w:val="24"/>
          <w:szCs w:val="24"/>
        </w:rPr>
      </w:pPr>
      <w:r>
        <w:rPr>
          <w:bCs/>
          <w:sz w:val="24"/>
          <w:szCs w:val="24"/>
        </w:rPr>
        <w:t>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одна десятая) процента от несвоевременно оплаченной суммы за каждый день просрочки.</w:t>
      </w:r>
    </w:p>
    <w:p>
      <w:pPr>
        <w:pStyle w:val="Normal"/>
        <w:widowControl/>
        <w:numPr>
          <w:ilvl w:val="1"/>
          <w:numId w:val="2"/>
        </w:numPr>
        <w:tabs>
          <w:tab w:val="clear" w:pos="709"/>
          <w:tab w:val="left" w:pos="1276" w:leader="none"/>
        </w:tabs>
        <w:ind w:left="0" w:firstLine="709"/>
        <w:jc w:val="both"/>
        <w:rPr>
          <w:bCs/>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в том числе установленных Календарным графиком поставки Товара (Приложение № 3 к Договору), а также в случае несвоевременного устранения выявленных недостатков Товара, Покупатель вправе требовать уплаты Поставщиком:</w:t>
      </w:r>
    </w:p>
    <w:p>
      <w:pPr>
        <w:pStyle w:val="ListParagraph"/>
        <w:widowControl/>
        <w:numPr>
          <w:ilvl w:val="2"/>
          <w:numId w:val="2"/>
        </w:numPr>
        <w:tabs>
          <w:tab w:val="clear" w:pos="709"/>
          <w:tab w:val="left" w:pos="1276" w:leader="none"/>
        </w:tabs>
        <w:ind w:left="0" w:firstLine="709"/>
        <w:jc w:val="both"/>
        <w:rPr>
          <w:bCs/>
          <w:sz w:val="24"/>
          <w:szCs w:val="24"/>
        </w:rPr>
      </w:pPr>
      <w:r>
        <w:rPr>
          <w:sz w:val="24"/>
          <w:szCs w:val="24"/>
        </w:rPr>
        <w:t>Неустойки в размере 0,1 (ноль целых</w:t>
      </w:r>
      <w:r>
        <w:rPr>
          <w:rFonts w:eastAsia="Calibri"/>
          <w:bCs/>
          <w:sz w:val="24"/>
          <w:szCs w:val="24"/>
        </w:rPr>
        <w:t xml:space="preserve"> и одна десятая) </w:t>
      </w:r>
      <w:r>
        <w:rPr>
          <w:bCs/>
          <w:sz w:val="24"/>
          <w:szCs w:val="24"/>
        </w:rPr>
        <w:t xml:space="preserve">процента от цены </w:t>
      </w:r>
      <w:r>
        <w:rPr>
          <w:rFonts w:eastAsia="Calibri"/>
          <w:bCs/>
          <w:sz w:val="24"/>
          <w:szCs w:val="24"/>
        </w:rPr>
        <w:t>Партии Товара</w:t>
      </w:r>
      <w:r>
        <w:rPr>
          <w:bCs/>
          <w:sz w:val="24"/>
          <w:szCs w:val="24"/>
        </w:rPr>
        <w:t xml:space="preserve"> за каждый день просрочки;</w:t>
      </w:r>
    </w:p>
    <w:p>
      <w:pPr>
        <w:pStyle w:val="ListParagraph"/>
        <w:widowControl/>
        <w:numPr>
          <w:ilvl w:val="2"/>
          <w:numId w:val="2"/>
        </w:numPr>
        <w:tabs>
          <w:tab w:val="clear" w:pos="709"/>
          <w:tab w:val="left" w:pos="1276" w:leader="none"/>
        </w:tabs>
        <w:ind w:left="0" w:firstLine="709"/>
        <w:jc w:val="both"/>
        <w:rPr>
          <w:bCs/>
          <w:sz w:val="24"/>
          <w:szCs w:val="24"/>
        </w:rPr>
      </w:pPr>
      <w:r>
        <w:rPr>
          <w:sz w:val="24"/>
          <w:szCs w:val="24"/>
        </w:rPr>
        <w:t>Неустойки в размере</w:t>
      </w:r>
      <w:r>
        <w:rPr>
          <w:bCs/>
          <w:sz w:val="24"/>
          <w:szCs w:val="24"/>
        </w:rPr>
        <w:t xml:space="preserve"> 0,1 </w:t>
      </w:r>
      <w:r>
        <w:rPr>
          <w:sz w:val="24"/>
          <w:szCs w:val="24"/>
        </w:rPr>
        <w:t>(ноль целых и одна десятая) процента</w:t>
      </w:r>
      <w:r>
        <w:rPr>
          <w:bCs/>
          <w:sz w:val="24"/>
          <w:szCs w:val="24"/>
        </w:rPr>
        <w:t xml:space="preserve"> от Цены Договора за каждый день просрочки - в случае несвоевременного устранения недостатков, влияющих на возможность эксплуатации (использования) Товара в целом</w:t>
      </w:r>
      <w:r>
        <w:rPr>
          <w:rFonts w:eastAsia="Calibri"/>
          <w:bCs/>
          <w:sz w:val="24"/>
          <w:szCs w:val="24"/>
        </w:rPr>
        <w:t>;</w:t>
      </w:r>
    </w:p>
    <w:p>
      <w:pPr>
        <w:pStyle w:val="ListParagraph"/>
        <w:widowControl/>
        <w:numPr>
          <w:ilvl w:val="2"/>
          <w:numId w:val="2"/>
        </w:numPr>
        <w:tabs>
          <w:tab w:val="clear" w:pos="709"/>
          <w:tab w:val="left" w:pos="1276" w:leader="none"/>
        </w:tabs>
        <w:ind w:left="0" w:firstLine="709"/>
        <w:jc w:val="both"/>
        <w:rPr>
          <w:bCs/>
          <w:sz w:val="24"/>
          <w:szCs w:val="24"/>
        </w:rPr>
      </w:pPr>
      <w:r>
        <w:rPr>
          <w:sz w:val="24"/>
          <w:szCs w:val="24"/>
        </w:rPr>
        <w:t>Неустойки в</w:t>
      </w:r>
      <w:r>
        <w:rPr>
          <w:bCs/>
          <w:sz w:val="24"/>
          <w:szCs w:val="24"/>
        </w:rPr>
        <w:t xml:space="preserve"> размере 0,1 </w:t>
      </w:r>
      <w:r>
        <w:rPr>
          <w:sz w:val="24"/>
          <w:szCs w:val="24"/>
        </w:rPr>
        <w:t>(ноль целых и одна десятая) процента</w:t>
      </w:r>
      <w:r>
        <w:rPr>
          <w:bCs/>
          <w:sz w:val="24"/>
          <w:szCs w:val="24"/>
        </w:rPr>
        <w:t xml:space="preserve"> от стоимости Партии Товара за каждый день просрочки - в случае несвоевременного устранения недостатков, не влияющих на возможность эксплуатации (использования) Товара в целом.</w:t>
      </w:r>
    </w:p>
    <w:p>
      <w:pPr>
        <w:pStyle w:val="ListParagraph"/>
        <w:widowControl/>
        <w:numPr>
          <w:ilvl w:val="1"/>
          <w:numId w:val="2"/>
        </w:numPr>
        <w:tabs>
          <w:tab w:val="clear" w:pos="709"/>
          <w:tab w:val="left" w:pos="1276" w:leader="none"/>
          <w:tab w:val="left" w:pos="1701" w:leader="none"/>
        </w:tabs>
        <w:ind w:left="0" w:firstLine="709"/>
        <w:jc w:val="both"/>
        <w:rPr>
          <w:sz w:val="24"/>
          <w:szCs w:val="24"/>
        </w:rPr>
      </w:pPr>
      <w:r>
        <w:rPr>
          <w:rFonts w:eastAsia="Calibri"/>
          <w:bCs/>
          <w:sz w:val="24"/>
          <w:szCs w:val="24"/>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r>
        <w:rPr>
          <w:sz w:val="24"/>
          <w:szCs w:val="24"/>
        </w:rPr>
        <w:t>.</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4 к Договору. </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Если в результате составления и выставления Поставщиком счетов-фактур/УПД </w:t>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ind w:left="0" w:firstLine="709"/>
        <w:jc w:val="both"/>
        <w:rPr>
          <w:bCs/>
          <w:sz w:val="24"/>
          <w:szCs w:val="24"/>
        </w:rPr>
      </w:pPr>
      <w:r>
        <w:rPr>
          <w:bCs/>
          <w:sz w:val="24"/>
          <w:szCs w:val="24"/>
        </w:rPr>
        <w:t>В случае нарушения Поставщиком сроков предоставления счетов-фактур/УПД, установленных пунктом 2.7 Договора, Покупатель вправе требовать уплаты Поставщиком штрафа в размере 50 000 (Пятидесяти тысяч) рублей за каждый случай нарушения.</w:t>
      </w:r>
    </w:p>
    <w:p>
      <w:pPr>
        <w:pStyle w:val="ListParagraph"/>
        <w:numPr>
          <w:ilvl w:val="1"/>
          <w:numId w:val="2"/>
        </w:numPr>
        <w:ind w:left="0" w:firstLine="709"/>
        <w:jc w:val="both"/>
        <w:rPr>
          <w:sz w:val="24"/>
          <w:szCs w:val="24"/>
          <w:highlight w:val="lightGray"/>
        </w:rPr>
      </w:pPr>
      <w:r>
        <w:rPr>
          <w:bCs/>
          <w:sz w:val="24"/>
          <w:szCs w:val="24"/>
        </w:rPr>
        <w:t>Поставщик несет ответственность перед Покупателем за причиненный ущерб в размере фактически понесенных и документально подтвержденных расходов, возникших 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widowControl/>
        <w:numPr>
          <w:ilvl w:val="1"/>
          <w:numId w:val="2"/>
        </w:numPr>
        <w:shd w:val="clear" w:color="auto" w:fill="FFFFFF"/>
        <w:ind w:left="0" w:firstLine="709"/>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2"/>
        </w:numPr>
        <w:shd w:val="clear" w:color="auto" w:fill="FFFFFF"/>
        <w:ind w:left="0" w:firstLine="709"/>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2"/>
        </w:numPr>
        <w:shd w:val="clear" w:color="auto" w:fill="FFFFFF"/>
        <w:ind w:left="0" w:firstLine="709"/>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2"/>
        </w:numPr>
        <w:shd w:val="clear" w:color="auto" w:fill="FFFFFF"/>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9"/>
          <w:tab w:val="left" w:pos="0" w:leader="none"/>
        </w:tabs>
        <w:ind w:left="0" w:hanging="0"/>
        <w:jc w:val="center"/>
        <w:rPr>
          <w:b/>
          <w:bCs/>
          <w:sz w:val="24"/>
          <w:szCs w:val="24"/>
        </w:rPr>
      </w:pPr>
      <w:r>
        <w:rPr>
          <w:b/>
          <w:bCs/>
          <w:sz w:val="24"/>
          <w:szCs w:val="24"/>
        </w:rPr>
        <w:t>Конфиденциальность</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4"/>
        </w:numPr>
        <w:tabs>
          <w:tab w:val="left" w:pos="0" w:leader="none"/>
          <w:tab w:val="left" w:pos="709" w:leader="none"/>
          <w:tab w:val="left" w:pos="1418" w:leader="none"/>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4"/>
        </w:numPr>
        <w:tabs>
          <w:tab w:val="left" w:pos="0" w:leader="none"/>
          <w:tab w:val="left" w:pos="709" w:leader="none"/>
          <w:tab w:val="left" w:pos="1418" w:leader="none"/>
        </w:tabs>
        <w:ind w:left="0" w:firstLine="709"/>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4"/>
        </w:numPr>
        <w:tabs>
          <w:tab w:val="clear" w:pos="709"/>
          <w:tab w:val="left" w:pos="0" w:leader="none"/>
          <w:tab w:val="left" w:pos="1418" w:leader="none"/>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4"/>
        </w:numPr>
        <w:tabs>
          <w:tab w:val="clear" w:pos="709"/>
          <w:tab w:val="left" w:pos="0" w:leader="none"/>
          <w:tab w:val="left" w:pos="1418" w:leader="none"/>
        </w:tabs>
        <w:ind w:left="0" w:firstLine="709"/>
        <w:jc w:val="both"/>
        <w:rPr>
          <w:bCs/>
          <w:sz w:val="24"/>
          <w:szCs w:val="24"/>
        </w:rPr>
      </w:pPr>
      <w:r>
        <w:rPr>
          <w:bCs/>
          <w:sz w:val="24"/>
          <w:szCs w:val="24"/>
        </w:rPr>
        <w:t>учетные регистры бухгалтерского учета;</w:t>
      </w:r>
    </w:p>
    <w:p>
      <w:pPr>
        <w:pStyle w:val="Normal"/>
        <w:widowControl/>
        <w:numPr>
          <w:ilvl w:val="0"/>
          <w:numId w:val="4"/>
        </w:numPr>
        <w:tabs>
          <w:tab w:val="clear" w:pos="709"/>
          <w:tab w:val="left" w:pos="0" w:leader="none"/>
          <w:tab w:val="left" w:pos="1418" w:leader="none"/>
        </w:tabs>
        <w:ind w:left="0" w:firstLine="709"/>
        <w:jc w:val="both"/>
        <w:rPr>
          <w:bCs/>
          <w:sz w:val="24"/>
          <w:szCs w:val="24"/>
        </w:rPr>
      </w:pPr>
      <w:r>
        <w:rPr>
          <w:bCs/>
          <w:sz w:val="24"/>
          <w:szCs w:val="24"/>
        </w:rPr>
        <w:t>бизнес-планы;</w:t>
      </w:r>
    </w:p>
    <w:p>
      <w:pPr>
        <w:pStyle w:val="Normal"/>
        <w:widowControl/>
        <w:numPr>
          <w:ilvl w:val="0"/>
          <w:numId w:val="4"/>
        </w:numPr>
        <w:tabs>
          <w:tab w:val="clear" w:pos="709"/>
          <w:tab w:val="left" w:pos="0" w:leader="none"/>
          <w:tab w:val="left" w:pos="1418" w:leader="none"/>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4"/>
        </w:numPr>
        <w:tabs>
          <w:tab w:val="clear" w:pos="709"/>
          <w:tab w:val="left" w:pos="0" w:leader="none"/>
          <w:tab w:val="left" w:pos="1418" w:leader="none"/>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4"/>
        </w:numPr>
        <w:tabs>
          <w:tab w:val="clear" w:pos="709"/>
          <w:tab w:val="left" w:pos="0" w:leader="none"/>
          <w:tab w:val="left" w:pos="1418" w:leader="none"/>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4"/>
        </w:numPr>
        <w:tabs>
          <w:tab w:val="clear" w:pos="709"/>
          <w:tab w:val="left" w:pos="0" w:leader="none"/>
          <w:tab w:val="left" w:pos="1418" w:leader="none"/>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4"/>
        </w:numPr>
        <w:tabs>
          <w:tab w:val="clear" w:pos="709"/>
          <w:tab w:val="left" w:pos="0" w:leader="none"/>
          <w:tab w:val="left" w:pos="1418" w:leader="none"/>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4"/>
        </w:numPr>
        <w:tabs>
          <w:tab w:val="clear" w:pos="709"/>
          <w:tab w:val="left" w:pos="0" w:leader="none"/>
          <w:tab w:val="left" w:pos="1418" w:leader="none"/>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bookmarkStart w:id="6"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6"/>
      <w:r>
        <w:rPr>
          <w:bCs/>
          <w:sz w:val="24"/>
          <w:szCs w:val="24"/>
        </w:rPr>
        <w:t xml:space="preserve">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 9.6.7 Договора.</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bookmarkStart w:id="7"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7"/>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bookmarkStart w:id="8"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8"/>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ListParagraph"/>
        <w:widowControl/>
        <w:shd w:val="clear" w:color="auto" w:fill="FFFFFF"/>
        <w:tabs>
          <w:tab w:val="clear" w:pos="709"/>
          <w:tab w:val="left" w:pos="1134" w:leader="none"/>
        </w:tabs>
        <w:ind w:left="709" w:hanging="0"/>
        <w:jc w:val="both"/>
        <w:rPr>
          <w:sz w:val="24"/>
          <w:szCs w:val="24"/>
        </w:rPr>
      </w:pPr>
      <w:r>
        <w:rPr>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Разрешение споров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shd w:val="clear" w:color="auto" w:fill="FFFFFF"/>
        <w:tabs>
          <w:tab w:val="clear" w:pos="709"/>
          <w:tab w:val="left" w:pos="0" w:leader="none"/>
        </w:tabs>
        <w:ind w:left="0" w:firstLine="709"/>
        <w:jc w:val="both"/>
        <w:rPr>
          <w:bCs/>
          <w:sz w:val="24"/>
          <w:szCs w:val="24"/>
        </w:rPr>
      </w:pPr>
      <w:r>
        <w:rPr>
          <w:bCs/>
          <w:sz w:val="24"/>
          <w:szCs w:val="24"/>
        </w:rPr>
        <w:t xml:space="preserve">Споры, указанные в пункте 7.1 Договора, которые не были урегулированы Сторонами путем переговоров, подлежат разрешению в Арбитражном суде  </w:t>
      </w:r>
      <w:r>
        <w:rPr>
          <w:bCs/>
          <w:sz w:val="24"/>
          <w:szCs w:val="24"/>
          <w:highlight w:val="lightGray"/>
        </w:rPr>
        <w:t>Чувашской Республики</w:t>
      </w:r>
      <w:r>
        <w:rPr>
          <w:bCs/>
          <w:sz w:val="24"/>
          <w:szCs w:val="24"/>
        </w:rPr>
        <w:t xml:space="preserve"> в соответствии с законодательством Российской Федерации.,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sz w:val="24"/>
          <w:szCs w:val="24"/>
          <w:highlight w:val="lightGray"/>
        </w:rPr>
        <w:t>13.8</w:t>
      </w:r>
      <w:r>
        <w:rPr>
          <w:bCs/>
          <w:sz w:val="24"/>
          <w:szCs w:val="24"/>
        </w:rPr>
        <w:t xml:space="preserve">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Условия настоящего раздела Договора сохраняют свою силу в случае признания Договора незаключенным и / или недействительным.</w:t>
      </w:r>
    </w:p>
    <w:p>
      <w:pPr>
        <w:pStyle w:val="Normal"/>
        <w:shd w:val="clear" w:color="auto" w:fill="FFFFFF"/>
        <w:jc w:val="both"/>
        <w:rPr>
          <w:bCs/>
          <w:sz w:val="24"/>
          <w:szCs w:val="24"/>
        </w:rPr>
      </w:pPr>
      <w:r>
        <w:rPr>
          <w:bCs/>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Антикоррупционная оговорка</w:t>
      </w:r>
    </w:p>
    <w:p>
      <w:pPr>
        <w:pStyle w:val="ListParagraph"/>
        <w:numPr>
          <w:ilvl w:val="1"/>
          <w:numId w:val="2"/>
        </w:numPr>
        <w:shd w:val="clear" w:color="auto" w:fill="FFFFFF"/>
        <w:tabs>
          <w:tab w:val="clear" w:pos="709"/>
          <w:tab w:val="left" w:pos="1134" w:leader="none"/>
        </w:tabs>
        <w:ind w:lef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8.2.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8.3.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8.4.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8.5.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8.6.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color w:val="000000"/>
          <w:sz w:val="24"/>
          <w:szCs w:val="24"/>
        </w:rPr>
      </w:pPr>
      <w:r>
        <w:rPr>
          <w:color w:val="000000"/>
          <w:sz w:val="24"/>
          <w:szCs w:val="24"/>
        </w:rPr>
        <w:t xml:space="preserve">8.7.  Каналы связи Линия доверия Группы РусГидро: </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8.7.1. Электронная почта: ld@rushydro.ru.</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8.7.2. Специальная форма «обратной связи», размещенная на официальном сайте ПАО «РусГидро» в сети интернет: http://www.rushydro.ru/ (далее перейти по ссылке «Линия доверия» и заполнить поля специальной формы «обратной связи»).</w:t>
      </w:r>
    </w:p>
    <w:p>
      <w:pPr>
        <w:pStyle w:val="Normal"/>
        <w:ind w:firstLine="709"/>
        <w:jc w:val="both"/>
        <w:rPr>
          <w:sz w:val="24"/>
          <w:szCs w:val="24"/>
        </w:rPr>
      </w:pPr>
      <w:r>
        <w:rPr>
          <w:sz w:val="24"/>
          <w:szCs w:val="24"/>
        </w:rPr>
        <w:t>8.7.3.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jc w:val="both"/>
        <w:rPr>
          <w:sz w:val="24"/>
          <w:szCs w:val="24"/>
        </w:rPr>
      </w:pPr>
      <w:r>
        <w:rPr>
          <w:sz w:val="24"/>
          <w:szCs w:val="24"/>
        </w:rPr>
      </w:r>
    </w:p>
    <w:p>
      <w:pPr>
        <w:pStyle w:val="Normal"/>
        <w:widowControl/>
        <w:numPr>
          <w:ilvl w:val="0"/>
          <w:numId w:val="2"/>
        </w:numPr>
        <w:shd w:val="clear" w:color="auto" w:fill="FFFFFF"/>
        <w:spacing w:lineRule="auto" w:line="259" w:before="0" w:after="0"/>
        <w:ind w:left="0" w:hanging="0"/>
        <w:contextualSpacing/>
        <w:jc w:val="center"/>
        <w:rPr>
          <w:b/>
          <w:bCs/>
          <w:sz w:val="24"/>
          <w:szCs w:val="24"/>
        </w:rPr>
      </w:pPr>
      <w:r>
        <w:rPr>
          <w:b/>
          <w:bCs/>
          <w:sz w:val="24"/>
          <w:szCs w:val="24"/>
        </w:rPr>
        <w:t>Особые положения</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z w:val="24"/>
            <w:szCs w:val="24"/>
          </w:rPr>
          <w:t>№ 18162/09</w:t>
        </w:r>
      </w:hyperlink>
      <w:r>
        <w:rPr>
          <w:bCs/>
          <w:sz w:val="24"/>
          <w:szCs w:val="24"/>
        </w:rPr>
        <w:t xml:space="preserve"> и от 25.05.2010 </w:t>
      </w:r>
      <w:hyperlink r:id="rId3">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bCs/>
            <w:sz w:val="24"/>
            <w:szCs w:val="24"/>
          </w:rPr>
          <w:t>Критери</w:t>
        </w:r>
      </w:hyperlink>
      <w:r>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пункте 10.1 Договора, а также обеспечить прекращение участия таких организаций в исполнении Договора.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В случае нарушения Поставщиком обязательств, установленных пунктами 10.1, 10.2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10.1, 10.2 Договора.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Штраф, предусмотренный пунктом 10.4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11ние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При этом Покупатель не будет считаться просрочившим и / или нарушившим свои обязательства по Договору.</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pPr>
        <w:pStyle w:val="Normal"/>
        <w:shd w:val="clear" w:color="auto" w:fill="FFFFFF"/>
        <w:jc w:val="both"/>
        <w:rPr>
          <w:sz w:val="24"/>
          <w:szCs w:val="24"/>
        </w:rPr>
      </w:pPr>
      <w:r>
        <w:rPr>
          <w:sz w:val="24"/>
          <w:szCs w:val="24"/>
        </w:rPr>
      </w:r>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0"/>
        <w:jc w:val="center"/>
        <w:rPr>
          <w:b/>
          <w:sz w:val="24"/>
          <w:szCs w:val="24"/>
        </w:rPr>
      </w:pPr>
      <w:r>
        <w:rPr>
          <w:b/>
          <w:bCs/>
          <w:sz w:val="24"/>
          <w:szCs w:val="24"/>
        </w:rPr>
        <w:t>Заверения</w:t>
      </w:r>
      <w:r>
        <w:rPr>
          <w:b/>
          <w:sz w:val="24"/>
          <w:szCs w:val="24"/>
        </w:rPr>
        <w:t xml:space="preserve"> Сторон</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6"/>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6"/>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6"/>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6"/>
        </w:numPr>
        <w:shd w:val="clear" w:color="auto" w:fill="FFFFFF"/>
        <w:tabs>
          <w:tab w:val="left" w:pos="0" w:leader="none"/>
          <w:tab w:val="left" w:pos="709" w:leader="none"/>
          <w:tab w:val="left" w:pos="1418" w:leader="none"/>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6"/>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8"/>
        </w:numPr>
        <w:shd w:val="clear" w:color="auto" w:fill="FFFFFF"/>
        <w:tabs>
          <w:tab w:val="left" w:pos="0" w:leader="none"/>
          <w:tab w:val="left" w:pos="709"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8"/>
        </w:numPr>
        <w:shd w:val="clear" w:color="auto" w:fill="FFFFFF"/>
        <w:tabs>
          <w:tab w:val="left" w:pos="0" w:leader="none"/>
          <w:tab w:val="left" w:pos="709"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8"/>
        </w:numPr>
        <w:shd w:val="clear" w:color="auto" w:fill="FFFFFF"/>
        <w:tabs>
          <w:tab w:val="left" w:pos="0" w:leader="none"/>
          <w:tab w:val="left" w:pos="709" w:leader="none"/>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8"/>
        </w:numPr>
        <w:shd w:val="clear" w:color="auto" w:fill="FFFFFF"/>
        <w:tabs>
          <w:tab w:val="left" w:pos="0" w:leader="none"/>
          <w:tab w:val="left" w:pos="709" w:leader="none"/>
        </w:tabs>
        <w:ind w:left="0" w:firstLine="709"/>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7"/>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pPr>
        <w:pStyle w:val="ListParagraph"/>
        <w:widowControl/>
        <w:numPr>
          <w:ilvl w:val="0"/>
          <w:numId w:val="7"/>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7"/>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7"/>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вся информация, предоставленная Покупателю, является достоверной, полной </w:t>
        <w:br/>
        <w:t>и точной, и Поставщик не скрыл никаких обстоятельств, которые при их обнаружении могли 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09"/>
          <w:tab w:val="left" w:pos="1418" w:leader="none"/>
        </w:tabs>
        <w:ind w:left="0" w:firstLine="709"/>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обязан 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9"/>
          <w:tab w:val="left" w:pos="1134" w:leader="none"/>
          <w:tab w:val="left" w:pos="1418" w:leader="none"/>
        </w:tabs>
        <w:ind w:left="709" w:hanging="0"/>
        <w:jc w:val="both"/>
        <w:rPr>
          <w:sz w:val="24"/>
          <w:szCs w:val="24"/>
        </w:rPr>
      </w:pPr>
      <w:r>
        <w:rPr>
          <w:sz w:val="24"/>
          <w:szCs w:val="24"/>
        </w:rPr>
      </w:r>
    </w:p>
    <w:p>
      <w:pPr>
        <w:pStyle w:val="ListParagraph"/>
        <w:widowControl/>
        <w:numPr>
          <w:ilvl w:val="0"/>
          <w:numId w:val="2"/>
        </w:numPr>
        <w:shd w:val="clear" w:color="auto" w:fill="FFFFFF"/>
        <w:ind w:left="0" w:hanging="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w:t>
      </w:r>
      <w:r>
        <w:rPr>
          <w:sz w:val="24"/>
          <w:szCs w:val="24"/>
          <w:highlight w:val="lightGray"/>
        </w:rPr>
        <w:t>13.8</w:t>
      </w:r>
      <w:r>
        <w:rPr>
          <w:sz w:val="24"/>
          <w:szCs w:val="24"/>
        </w:rPr>
        <w:t xml:space="preserve">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ListParagraph"/>
        <w:shd w:val="clear" w:color="auto" w:fill="FFFFFF"/>
        <w:tabs>
          <w:tab w:val="clear" w:pos="709"/>
          <w:tab w:val="left" w:pos="0" w:leader="none"/>
          <w:tab w:val="left" w:pos="1418" w:leader="none"/>
        </w:tabs>
        <w:ind w:left="0" w:firstLine="709"/>
        <w:jc w:val="both"/>
        <w:rPr>
          <w:sz w:val="24"/>
          <w:szCs w:val="24"/>
        </w:rPr>
      </w:pPr>
      <w:r>
        <w:rPr>
          <w:sz w:val="24"/>
          <w:szCs w:val="24"/>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Стороны установили, что существенным нарушением Договора Поставщиком является:</w:t>
      </w:r>
    </w:p>
    <w:p>
      <w:pPr>
        <w:pStyle w:val="ListParagraph"/>
        <w:widowControl/>
        <w:numPr>
          <w:ilvl w:val="0"/>
          <w:numId w:val="5"/>
        </w:numPr>
        <w:tabs>
          <w:tab w:val="clear" w:pos="709"/>
          <w:tab w:val="left" w:pos="0" w:leader="none"/>
          <w:tab w:val="left" w:pos="1418" w:leader="none"/>
        </w:tabs>
        <w:ind w:left="0" w:right="23" w:firstLine="709"/>
        <w:jc w:val="both"/>
        <w:rPr>
          <w:sz w:val="24"/>
          <w:szCs w:val="24"/>
        </w:rPr>
      </w:pPr>
      <w:r>
        <w:rPr>
          <w:sz w:val="24"/>
          <w:szCs w:val="24"/>
        </w:rPr>
        <w:t>нарушение Поставщиком общего срока поставки Товара по Договору, а также промежуточных сроков поставки Товара, установленных Договором, более чем на 60 (шестьдесят) календарных дней по причинам, не зависящим от Покупателя;</w:t>
      </w:r>
    </w:p>
    <w:p>
      <w:pPr>
        <w:pStyle w:val="ListParagraph"/>
        <w:widowControl/>
        <w:numPr>
          <w:ilvl w:val="0"/>
          <w:numId w:val="5"/>
        </w:numPr>
        <w:tabs>
          <w:tab w:val="clear" w:pos="709"/>
          <w:tab w:val="left" w:pos="0" w:leader="none"/>
          <w:tab w:val="left" w:pos="1418" w:leader="none"/>
        </w:tabs>
        <w:ind w:left="0" w:right="23" w:firstLine="709"/>
        <w:jc w:val="both"/>
        <w:rPr>
          <w:sz w:val="24"/>
          <w:szCs w:val="24"/>
        </w:rPr>
      </w:pPr>
      <w:r>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pPr>
        <w:pStyle w:val="ListParagraph"/>
        <w:widowControl/>
        <w:numPr>
          <w:ilvl w:val="0"/>
          <w:numId w:val="5"/>
        </w:numPr>
        <w:tabs>
          <w:tab w:val="clear" w:pos="709"/>
          <w:tab w:val="left" w:pos="0" w:leader="none"/>
          <w:tab w:val="left" w:pos="1418" w:leader="none"/>
        </w:tabs>
        <w:ind w:left="0" w:right="23" w:firstLine="709"/>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ListParagraph"/>
        <w:widowControl/>
        <w:numPr>
          <w:ilvl w:val="0"/>
          <w:numId w:val="5"/>
        </w:numPr>
        <w:tabs>
          <w:tab w:val="clear" w:pos="709"/>
          <w:tab w:val="left" w:pos="0" w:leader="none"/>
          <w:tab w:val="left" w:pos="1418" w:leader="none"/>
        </w:tabs>
        <w:ind w:left="0" w:right="23" w:firstLine="709"/>
        <w:jc w:val="both"/>
        <w:rPr>
          <w:sz w:val="24"/>
          <w:szCs w:val="24"/>
        </w:rPr>
      </w:pPr>
      <w:r>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ListParagraph"/>
        <w:widowControl/>
        <w:numPr>
          <w:ilvl w:val="0"/>
          <w:numId w:val="5"/>
        </w:numPr>
        <w:tabs>
          <w:tab w:val="clear" w:pos="709"/>
          <w:tab w:val="left" w:pos="0" w:leader="none"/>
          <w:tab w:val="left" w:pos="1418" w:leader="none"/>
        </w:tabs>
        <w:ind w:left="0" w:right="23" w:firstLine="709"/>
        <w:jc w:val="both"/>
        <w:rPr>
          <w:sz w:val="24"/>
          <w:szCs w:val="24"/>
        </w:rPr>
      </w:pPr>
      <w:r>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w:t>
        <w:br/>
        <w:t>об обстоятельствах, указанных в разделе 11 Договора, и имеющих существенное значение для его заключения и исполнения.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отказа Покупателя от Договора в случаях, предусмотренных пунктами 12.2, 12.3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ListParagraph"/>
        <w:widowControl/>
        <w:shd w:val="clear" w:color="auto" w:fill="FFFFFF"/>
        <w:tabs>
          <w:tab w:val="clear" w:pos="709"/>
          <w:tab w:val="left" w:pos="0" w:leader="none"/>
        </w:tabs>
        <w:ind w:left="709" w:hanging="0"/>
        <w:jc w:val="both"/>
        <w:rPr>
          <w:bCs/>
          <w:sz w:val="24"/>
          <w:szCs w:val="24"/>
        </w:rPr>
      </w:pPr>
      <w:r>
        <w:rPr>
          <w:bCs/>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Заключительные положения</w:t>
      </w:r>
    </w:p>
    <w:p>
      <w:pPr>
        <w:pStyle w:val="ListParagraph"/>
        <w:widowControl/>
        <w:numPr>
          <w:ilvl w:val="1"/>
          <w:numId w:val="2"/>
        </w:numPr>
        <w:shd w:val="clear" w:color="auto" w:fill="FFFFFF"/>
        <w:tabs>
          <w:tab w:val="clear" w:pos="709"/>
          <w:tab w:val="left" w:pos="142" w:leader="none"/>
          <w:tab w:val="left" w:pos="1418" w:leader="none"/>
        </w:tabs>
        <w:ind w:left="0" w:firstLine="709"/>
        <w:jc w:val="both"/>
        <w:rPr>
          <w:sz w:val="24"/>
          <w:szCs w:val="24"/>
        </w:rPr>
      </w:pPr>
      <w:r>
        <w:rPr>
          <w:sz w:val="24"/>
          <w:szCs w:val="24"/>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p>
    <w:p>
      <w:pPr>
        <w:pStyle w:val="Normal"/>
        <w:widowControl/>
        <w:numPr>
          <w:ilvl w:val="1"/>
          <w:numId w:val="2"/>
        </w:numPr>
        <w:tabs>
          <w:tab w:val="clear" w:pos="709"/>
          <w:tab w:val="left" w:pos="142" w:leader="none"/>
        </w:tabs>
        <w:snapToGrid w:val="false"/>
        <w:ind w:left="0" w:firstLine="709"/>
        <w:jc w:val="both"/>
        <w:rPr>
          <w:sz w:val="24"/>
          <w:szCs w:val="24"/>
          <w:highlight w:val="lightGray"/>
          <w:lang w:eastAsia="en-US"/>
        </w:rPr>
      </w:pPr>
      <w:r>
        <w:rPr>
          <w:sz w:val="24"/>
          <w:szCs w:val="24"/>
          <w:highlight w:val="lightGray"/>
          <w:lang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tabs>
          <w:tab w:val="clear" w:pos="709"/>
          <w:tab w:val="left" w:pos="142" w:leader="none"/>
        </w:tabs>
        <w:ind w:firstLine="709"/>
        <w:jc w:val="both"/>
        <w:rPr>
          <w:sz w:val="24"/>
          <w:szCs w:val="24"/>
          <w:lang w:eastAsia="en-US"/>
        </w:rPr>
      </w:pPr>
      <w:r>
        <w:rPr>
          <w:sz w:val="24"/>
          <w:szCs w:val="24"/>
          <w:highlight w:val="lightGray"/>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sz w:val="24"/>
          <w:szCs w:val="24"/>
          <w:highlight w:val="lightGray"/>
        </w:rPr>
        <w:t>13.7</w:t>
      </w:r>
      <w:r>
        <w:rPr>
          <w:sz w:val="24"/>
          <w:szCs w:val="24"/>
        </w:rPr>
        <w:t xml:space="preserve">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 xml:space="preserve">в письменной форме в порядке, предусмотренном пунктом </w:t>
      </w:r>
      <w:r>
        <w:rPr>
          <w:sz w:val="24"/>
          <w:szCs w:val="24"/>
          <w:highlight w:val="lightGray"/>
        </w:rPr>
        <w:t>13.8</w:t>
      </w:r>
      <w:r>
        <w:rPr>
          <w:sz w:val="24"/>
          <w:szCs w:val="24"/>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bookmarkStart w:id="9" w:name="_Ref361338004"/>
      <w:r>
        <w:rPr>
          <w:sz w:val="24"/>
          <w:szCs w:val="24"/>
        </w:rPr>
        <w:t xml:space="preserve">Стороны обязуются уведомлять друг друга об изменении адреса и / или реквизитов, указанных в разделе 15 Договора, не позднее 3 (трех) рабочих дней после такого изменения в порядке, установленном пунктом </w:t>
      </w:r>
      <w:r>
        <w:rPr>
          <w:sz w:val="24"/>
          <w:szCs w:val="24"/>
          <w:highlight w:val="lightGray"/>
        </w:rPr>
        <w:t>13.8</w:t>
      </w:r>
      <w:r>
        <w:rPr>
          <w:sz w:val="24"/>
          <w:szCs w:val="24"/>
        </w:rPr>
        <w:t xml:space="preserve"> Договора.</w:t>
      </w:r>
      <w:bookmarkEnd w:id="9"/>
      <w:r>
        <w:rPr>
          <w:sz w:val="24"/>
          <w:szCs w:val="24"/>
        </w:rPr>
        <w:t xml:space="preserve"> </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pPr>
        <w:pStyle w:val="ListParagraph"/>
        <w:numPr>
          <w:ilvl w:val="2"/>
          <w:numId w:val="2"/>
        </w:numPr>
        <w:ind w:left="0" w:firstLine="709"/>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
        </w:numPr>
        <w:ind w:left="0" w:firstLine="709"/>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pPr>
        <w:pStyle w:val="ListParagraph"/>
        <w:numPr>
          <w:ilvl w:val="2"/>
          <w:numId w:val="2"/>
        </w:numPr>
        <w:ind w:left="0" w:firstLine="709"/>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sz w:val="24"/>
          <w:szCs w:val="24"/>
          <w:highlight w:val="lightGray"/>
        </w:rPr>
        <w:t>13.8.1 – 13.8.2</w:t>
      </w:r>
      <w:r>
        <w:rPr>
          <w:bCs/>
          <w:sz w:val="24"/>
          <w:szCs w:val="24"/>
        </w:rPr>
        <w:t xml:space="preserve"> Договора. </w:t>
      </w:r>
    </w:p>
    <w:p>
      <w:pPr>
        <w:pStyle w:val="Normal"/>
        <w:widowControl/>
        <w:numPr>
          <w:ilvl w:val="1"/>
          <w:numId w:val="2"/>
        </w:numPr>
        <w:tabs>
          <w:tab w:val="clear" w:pos="709"/>
          <w:tab w:val="left" w:pos="0" w:leader="none"/>
          <w:tab w:val="left" w:pos="1418"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sz w:val="24"/>
          <w:szCs w:val="24"/>
        </w:rPr>
        <w:t xml:space="preserve">Уступка (передача), в том числе в залог, прав (требований) к Покупателю </w:t>
        <w:br/>
        <w:t>по денежным обязательствам, принадлежащих Поставщику на основании Договора, допускается только с предварительного письменного согласия Покупателя и оформляется трехсторонним договором</w:t>
      </w:r>
      <w:r>
        <w:rPr>
          <w:bCs/>
          <w:sz w:val="24"/>
          <w:szCs w:val="24"/>
        </w:rPr>
        <w:t>.</w:t>
      </w:r>
      <w:r>
        <w:rPr>
          <w:sz w:val="24"/>
          <w:szCs w:val="24"/>
        </w:rPr>
        <w:t xml:space="preserve">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Договор составлен в 2 (двух) оригинальных экземплярах, имеющих равную юридическую силу, по 1 (одному) для каждой из Сторон</w:t>
      </w:r>
      <w:r>
        <w:rPr>
          <w:sz w:val="24"/>
          <w:szCs w:val="24"/>
          <w:highlight w:val="lightGray"/>
        </w:rPr>
        <w:t>.</w:t>
      </w:r>
    </w:p>
    <w:p>
      <w:pPr>
        <w:pStyle w:val="Normal"/>
        <w:shd w:val="clear" w:color="auto" w:fill="FFFFFF"/>
        <w:ind w:firstLine="567"/>
        <w:jc w:val="both"/>
        <w:rPr>
          <w:sz w:val="24"/>
          <w:szCs w:val="24"/>
        </w:rPr>
      </w:pPr>
      <w:r>
        <w:rPr>
          <w:sz w:val="24"/>
          <w:szCs w:val="24"/>
        </w:rPr>
      </w:r>
    </w:p>
    <w:p>
      <w:pPr>
        <w:pStyle w:val="Normal"/>
        <w:widowControl/>
        <w:numPr>
          <w:ilvl w:val="0"/>
          <w:numId w:val="2"/>
        </w:numPr>
        <w:shd w:val="clear" w:color="auto" w:fill="FFFFFF"/>
        <w:tabs>
          <w:tab w:val="clear" w:pos="709"/>
          <w:tab w:val="left" w:pos="284" w:leader="none"/>
        </w:tabs>
        <w:spacing w:lineRule="auto" w:line="259" w:before="0" w:after="0"/>
        <w:contextualSpacing/>
        <w:jc w:val="center"/>
        <w:rPr>
          <w:b/>
          <w:bCs/>
          <w:sz w:val="24"/>
          <w:szCs w:val="24"/>
        </w:rPr>
      </w:pPr>
      <w:r>
        <w:rPr>
          <w:b/>
          <w:bCs/>
          <w:sz w:val="24"/>
          <w:szCs w:val="24"/>
        </w:rPr>
        <w:t xml:space="preserve">Список приложений </w:t>
      </w:r>
    </w:p>
    <w:p>
      <w:pPr>
        <w:pStyle w:val="Normal"/>
        <w:widowControl/>
        <w:shd w:val="clear" w:color="auto" w:fill="FFFFFF"/>
        <w:tabs>
          <w:tab w:val="clear" w:pos="709"/>
          <w:tab w:val="left" w:pos="0" w:leader="none"/>
        </w:tabs>
        <w:ind w:firstLine="709"/>
        <w:jc w:val="both"/>
        <w:rPr>
          <w:rFonts w:eastAsia="Calibri"/>
          <w:sz w:val="24"/>
          <w:szCs w:val="24"/>
          <w:lang w:eastAsia="en-US"/>
        </w:rPr>
      </w:pPr>
      <w:r>
        <w:rPr>
          <w:rFonts w:eastAsia="Calibri"/>
          <w:sz w:val="24"/>
          <w:szCs w:val="24"/>
          <w:lang w:eastAsia="en-US"/>
        </w:rPr>
        <w:t>Приложение № 1 – Спецификация.</w:t>
      </w:r>
    </w:p>
    <w:p>
      <w:pPr>
        <w:pStyle w:val="Normal"/>
        <w:widowControl/>
        <w:shd w:val="clear" w:color="auto" w:fill="FFFFFF"/>
        <w:tabs>
          <w:tab w:val="clear" w:pos="709"/>
          <w:tab w:val="left" w:pos="0" w:leader="none"/>
          <w:tab w:val="left" w:pos="2694" w:leader="none"/>
        </w:tabs>
        <w:ind w:firstLine="709"/>
        <w:jc w:val="both"/>
        <w:rPr>
          <w:rFonts w:eastAsia="Calibri"/>
          <w:sz w:val="24"/>
          <w:szCs w:val="24"/>
          <w:lang w:eastAsia="en-US"/>
        </w:rPr>
      </w:pPr>
      <w:r>
        <w:rPr>
          <w:rFonts w:eastAsia="Calibri"/>
          <w:sz w:val="24"/>
          <w:szCs w:val="24"/>
          <w:lang w:eastAsia="en-US"/>
        </w:rPr>
        <w:t xml:space="preserve">Приложение № 2 – </w:t>
      </w:r>
      <w:r>
        <w:rPr>
          <w:sz w:val="24"/>
          <w:szCs w:val="24"/>
          <w:lang w:eastAsia="x-none"/>
        </w:rPr>
        <w:t>Технические требования.</w:t>
      </w:r>
    </w:p>
    <w:p>
      <w:pPr>
        <w:pStyle w:val="Normal"/>
        <w:widowControl/>
        <w:shd w:val="clear" w:color="auto" w:fill="FFFFFF"/>
        <w:tabs>
          <w:tab w:val="clear" w:pos="709"/>
          <w:tab w:val="left" w:pos="0" w:leader="none"/>
          <w:tab w:val="left" w:pos="2694" w:leader="none"/>
        </w:tabs>
        <w:ind w:firstLine="709"/>
        <w:jc w:val="both"/>
        <w:rPr>
          <w:sz w:val="24"/>
          <w:szCs w:val="24"/>
          <w:lang w:eastAsia="x-none"/>
        </w:rPr>
      </w:pPr>
      <w:r>
        <w:rPr>
          <w:sz w:val="24"/>
          <w:szCs w:val="24"/>
          <w:lang w:eastAsia="x-none"/>
        </w:rPr>
        <w:t>Приложение № 3 –</w:t>
      </w:r>
      <w:r>
        <w:rPr>
          <w:rFonts w:eastAsia="Calibri"/>
          <w:sz w:val="24"/>
          <w:szCs w:val="24"/>
          <w:lang w:eastAsia="en-US"/>
        </w:rPr>
        <w:t xml:space="preserve"> Календарный график поставки Товара.</w:t>
      </w:r>
    </w:p>
    <w:p>
      <w:pPr>
        <w:pStyle w:val="Normal"/>
        <w:ind w:firstLine="709"/>
        <w:jc w:val="both"/>
        <w:rPr>
          <w:bCs/>
          <w:sz w:val="24"/>
          <w:szCs w:val="24"/>
        </w:rPr>
      </w:pPr>
      <w:r>
        <w:rPr>
          <w:bCs/>
          <w:sz w:val="24"/>
          <w:szCs w:val="24"/>
        </w:rPr>
        <w:t xml:space="preserve">Приложение № 4 </w:t>
      </w:r>
      <w:r>
        <w:rPr>
          <w:rFonts w:eastAsia="Calibri"/>
          <w:sz w:val="24"/>
          <w:szCs w:val="24"/>
          <w:lang w:eastAsia="en-US"/>
        </w:rPr>
        <w:t>–</w:t>
      </w:r>
      <w:r>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widowControl w:val="false"/>
        <w:suppressAutoHyphens w:val="true"/>
        <w:bidi w:val="0"/>
        <w:spacing w:before="0" w:after="0"/>
        <w:ind w:firstLine="709"/>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Адреса и платежные реквизиты Сторон</w:t>
      </w:r>
    </w:p>
    <w:p>
      <w:pPr>
        <w:pStyle w:val="ListParagraph"/>
        <w:widowControl/>
        <w:shd w:val="clear" w:color="auto" w:fill="FFFFFF"/>
        <w:tabs>
          <w:tab w:val="clear" w:pos="709"/>
          <w:tab w:val="left" w:pos="426" w:leader="none"/>
        </w:tabs>
        <w:ind w:left="360" w:hanging="0"/>
        <w:rPr>
          <w:b/>
          <w:bCs/>
          <w:sz w:val="24"/>
          <w:szCs w:val="24"/>
        </w:rPr>
      </w:pPr>
      <w:r>
        <w:rPr>
          <w:b/>
          <w:bCs/>
          <w:sz w:val="24"/>
          <w:szCs w:val="24"/>
        </w:rPr>
      </w:r>
    </w:p>
    <w:tbl>
      <w:tblPr>
        <w:tblW w:w="9890" w:type="dxa"/>
        <w:jc w:val="left"/>
        <w:tblInd w:w="108" w:type="dxa"/>
        <w:tblLayout w:type="fixed"/>
        <w:tblCellMar>
          <w:top w:w="0" w:type="dxa"/>
          <w:left w:w="108" w:type="dxa"/>
          <w:bottom w:w="0" w:type="dxa"/>
          <w:right w:w="108" w:type="dxa"/>
        </w:tblCellMar>
        <w:tblLook w:noVBand="0" w:val="01e0" w:noHBand="0" w:lastColumn="1" w:firstColumn="1" w:lastRow="1" w:firstRow="1"/>
      </w:tblPr>
      <w:tblGrid>
        <w:gridCol w:w="4769"/>
        <w:gridCol w:w="159"/>
        <w:gridCol w:w="4627"/>
        <w:gridCol w:w="335"/>
      </w:tblGrid>
      <w:tr>
        <w:trPr/>
        <w:tc>
          <w:tcPr>
            <w:tcW w:w="4928" w:type="dxa"/>
            <w:gridSpan w:val="2"/>
            <w:tcBorders/>
          </w:tcPr>
          <w:p>
            <w:pPr>
              <w:pStyle w:val="Normal"/>
              <w:widowControl w:val="false"/>
              <w:rPr>
                <w:sz w:val="24"/>
                <w:szCs w:val="24"/>
              </w:rPr>
            </w:pPr>
            <w:r>
              <w:rPr>
                <w:sz w:val="24"/>
                <w:szCs w:val="24"/>
              </w:rPr>
              <w:t>ПОКУПАТЕЛЬ:</w:t>
            </w:r>
          </w:p>
        </w:tc>
        <w:tc>
          <w:tcPr>
            <w:tcW w:w="4962" w:type="dxa"/>
            <w:gridSpan w:val="2"/>
            <w:tcBorders/>
          </w:tcPr>
          <w:p>
            <w:pPr>
              <w:pStyle w:val="Normal"/>
              <w:widowControl w:val="false"/>
              <w:rPr>
                <w:sz w:val="24"/>
                <w:szCs w:val="24"/>
              </w:rPr>
            </w:pPr>
            <w:r>
              <w:rPr>
                <w:sz w:val="24"/>
                <w:szCs w:val="24"/>
              </w:rPr>
              <w:t>ПОСТАВЩИК:</w:t>
            </w:r>
          </w:p>
        </w:tc>
      </w:tr>
      <w:tr>
        <w:trPr/>
        <w:tc>
          <w:tcPr>
            <w:tcW w:w="4928" w:type="dxa"/>
            <w:gridSpan w:val="2"/>
            <w:tcBorders/>
            <w:shd w:color="auto" w:fill="BFBFBF" w:val="clear"/>
          </w:tcPr>
          <w:p>
            <w:pPr>
              <w:pStyle w:val="Normal"/>
              <w:widowControl w:val="false"/>
              <w:rPr>
                <w:sz w:val="24"/>
                <w:szCs w:val="24"/>
              </w:rPr>
            </w:pPr>
            <w:r>
              <w:rPr>
                <w:sz w:val="24"/>
                <w:szCs w:val="24"/>
              </w:rPr>
            </w:r>
          </w:p>
          <w:p>
            <w:pPr>
              <w:pStyle w:val="Normal"/>
              <w:widowControl w:val="false"/>
              <w:rPr>
                <w:b/>
                <w:sz w:val="24"/>
                <w:szCs w:val="24"/>
              </w:rPr>
            </w:pPr>
            <w:r>
              <w:rPr>
                <w:b/>
                <w:sz w:val="24"/>
                <w:szCs w:val="24"/>
              </w:rPr>
              <w:t>Публичное акционерное общество</w:t>
            </w:r>
          </w:p>
          <w:p>
            <w:pPr>
              <w:pStyle w:val="Normal"/>
              <w:widowControl w:val="false"/>
              <w:rPr>
                <w:b/>
                <w:sz w:val="24"/>
                <w:szCs w:val="24"/>
              </w:rPr>
            </w:pPr>
            <w:r>
              <w:rPr>
                <w:b/>
                <w:sz w:val="24"/>
                <w:szCs w:val="24"/>
              </w:rPr>
              <w:t>«Федеральная гидрогенерирующая компания - РусГидро» (ПАО «РусГидро»)</w:t>
            </w:r>
          </w:p>
          <w:p>
            <w:pPr>
              <w:pStyle w:val="Normal"/>
              <w:widowControl w:val="false"/>
              <w:rPr>
                <w:sz w:val="24"/>
                <w:szCs w:val="24"/>
              </w:rPr>
            </w:pPr>
            <w:r>
              <w:rPr>
                <w:sz w:val="24"/>
                <w:szCs w:val="24"/>
              </w:rPr>
            </w:r>
          </w:p>
          <w:p>
            <w:pPr>
              <w:pStyle w:val="Normal"/>
              <w:widowControl w:val="false"/>
              <w:rPr>
                <w:sz w:val="24"/>
                <w:szCs w:val="24"/>
              </w:rPr>
            </w:pPr>
            <w:r>
              <w:rPr>
                <w:sz w:val="24"/>
                <w:szCs w:val="24"/>
              </w:rPr>
              <w:t>Юридический/Почтовый адрес: 660017, Красноярский край, г.о. город Красноярск,</w:t>
            </w:r>
          </w:p>
          <w:p>
            <w:pPr>
              <w:pStyle w:val="Normal"/>
              <w:widowControl w:val="false"/>
              <w:rPr>
                <w:sz w:val="24"/>
                <w:szCs w:val="24"/>
              </w:rPr>
            </w:pPr>
            <w:r>
              <w:rPr>
                <w:sz w:val="24"/>
                <w:szCs w:val="24"/>
              </w:rPr>
              <w:t>г. Красноярск, ул. Перенсона, д.2, помещ.1.</w:t>
            </w:r>
          </w:p>
          <w:p>
            <w:pPr>
              <w:pStyle w:val="Normal"/>
              <w:widowControl w:val="false"/>
              <w:rPr>
                <w:sz w:val="24"/>
                <w:szCs w:val="24"/>
              </w:rPr>
            </w:pPr>
            <w:r>
              <w:rPr>
                <w:sz w:val="24"/>
                <w:szCs w:val="24"/>
              </w:rPr>
            </w:r>
          </w:p>
          <w:p>
            <w:pPr>
              <w:pStyle w:val="Normal"/>
              <w:widowControl w:val="false"/>
              <w:rPr>
                <w:sz w:val="24"/>
                <w:szCs w:val="24"/>
              </w:rPr>
            </w:pPr>
            <w:r>
              <w:rPr>
                <w:sz w:val="24"/>
                <w:szCs w:val="24"/>
              </w:rPr>
              <w:t>ОГРН 1042401810494,</w:t>
            </w:r>
          </w:p>
          <w:p>
            <w:pPr>
              <w:pStyle w:val="Normal"/>
              <w:widowControl w:val="false"/>
              <w:rPr>
                <w:sz w:val="24"/>
                <w:szCs w:val="24"/>
              </w:rPr>
            </w:pPr>
            <w:r>
              <w:rPr>
                <w:sz w:val="24"/>
                <w:szCs w:val="24"/>
              </w:rPr>
              <w:t>ИНН 2460066195 / КПП 997650001</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расчетного счета)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банка, в котором</w:t>
            </w:r>
          </w:p>
          <w:p>
            <w:pPr>
              <w:pStyle w:val="Normal"/>
              <w:widowControl w:val="false"/>
              <w:rPr>
                <w:sz w:val="24"/>
                <w:szCs w:val="24"/>
              </w:rPr>
            </w:pPr>
            <w:r>
              <w:rPr>
                <w:sz w:val="24"/>
                <w:szCs w:val="24"/>
              </w:rPr>
              <w:t>открыт расчетный счет)</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корреспондентского счета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(БИК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телефона)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факса)</w:t>
            </w:r>
          </w:p>
          <w:p>
            <w:pPr>
              <w:pStyle w:val="Normal"/>
              <w:widowControl w:val="false"/>
              <w:rPr>
                <w:sz w:val="24"/>
                <w:szCs w:val="24"/>
              </w:rPr>
            </w:pPr>
            <w:r>
              <w:rPr>
                <w:sz w:val="24"/>
                <w:szCs w:val="24"/>
              </w:rPr>
            </w:r>
          </w:p>
        </w:tc>
        <w:tc>
          <w:tcPr>
            <w:tcW w:w="4962" w:type="dxa"/>
            <w:gridSpan w:val="2"/>
            <w:tcBorders/>
            <w:shd w:color="auto" w:fill="BFBFBF" w:val="clear"/>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юридического лица)</w:t>
            </w:r>
          </w:p>
          <w:p>
            <w:pPr>
              <w:pStyle w:val="Normal"/>
              <w:widowControl w:val="false"/>
              <w:rPr>
                <w:sz w:val="24"/>
                <w:szCs w:val="24"/>
              </w:rPr>
            </w:pPr>
            <w:r>
              <w:rPr>
                <w:sz w:val="24"/>
                <w:szCs w:val="24"/>
              </w:rPr>
            </w:r>
          </w:p>
          <w:p>
            <w:pPr>
              <w:pStyle w:val="Normal"/>
              <w:widowControl w:val="false"/>
              <w:rPr>
                <w:sz w:val="24"/>
                <w:szCs w:val="24"/>
              </w:rPr>
            </w:pPr>
            <w:r>
              <w:rPr>
                <w:sz w:val="24"/>
                <w:szCs w:val="24"/>
              </w:rPr>
              <w:t>Юридический адрес:</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Почтовый адрес:</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ОГРН ___________________________</w:t>
            </w:r>
          </w:p>
          <w:p>
            <w:pPr>
              <w:pStyle w:val="Normal"/>
              <w:widowControl w:val="false"/>
              <w:rPr>
                <w:sz w:val="24"/>
                <w:szCs w:val="24"/>
              </w:rPr>
            </w:pPr>
            <w:r>
              <w:rPr>
                <w:sz w:val="24"/>
                <w:szCs w:val="24"/>
              </w:rPr>
              <w:t>ИНН ____________ / КПП___________</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расчетного счета)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банка, в котором</w:t>
            </w:r>
          </w:p>
          <w:p>
            <w:pPr>
              <w:pStyle w:val="Normal"/>
              <w:widowControl w:val="false"/>
              <w:rPr>
                <w:sz w:val="24"/>
                <w:szCs w:val="24"/>
              </w:rPr>
            </w:pPr>
            <w:r>
              <w:rPr>
                <w:sz w:val="24"/>
                <w:szCs w:val="24"/>
              </w:rPr>
              <w:t>открыт расчетный счет)</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корреспондентского счета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(БИК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телефона)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факса)</w:t>
            </w:r>
          </w:p>
          <w:p>
            <w:pPr>
              <w:pStyle w:val="Normal"/>
              <w:widowControl w:val="false"/>
              <w:rPr>
                <w:sz w:val="24"/>
                <w:szCs w:val="24"/>
              </w:rPr>
            </w:pPr>
            <w:r>
              <w:rPr>
                <w:sz w:val="24"/>
                <w:szCs w:val="24"/>
              </w:rPr>
            </w:r>
          </w:p>
        </w:tc>
      </w:tr>
      <w:tr>
        <w:trPr/>
        <w:tc>
          <w:tcPr>
            <w:tcW w:w="4769" w:type="dxa"/>
            <w:tcBorders/>
          </w:tcPr>
          <w:p>
            <w:pPr>
              <w:pStyle w:val="Normal"/>
              <w:widowControl w:val="false"/>
              <w:rPr>
                <w:sz w:val="24"/>
                <w:szCs w:val="24"/>
                <w:highlight w:val="lightGray"/>
              </w:rPr>
            </w:pPr>
            <w:r>
              <w:rPr>
                <w:sz w:val="24"/>
                <w:szCs w:val="24"/>
                <w:highlight w:val="lightGray"/>
              </w:rPr>
              <w:t>_______________ / _______________</w:t>
            </w:r>
          </w:p>
          <w:p>
            <w:pPr>
              <w:pStyle w:val="Normal"/>
              <w:widowControl w:val="false"/>
              <w:rPr>
                <w:sz w:val="24"/>
                <w:szCs w:val="24"/>
                <w:highlight w:val="lightGray"/>
              </w:rPr>
            </w:pPr>
            <w:r>
              <w:rPr>
                <w:sz w:val="24"/>
                <w:szCs w:val="24"/>
                <w:highlight w:val="lightGray"/>
              </w:rPr>
            </w:r>
          </w:p>
        </w:tc>
        <w:tc>
          <w:tcPr>
            <w:tcW w:w="4786" w:type="dxa"/>
            <w:gridSpan w:val="2"/>
            <w:tcBorders/>
          </w:tcPr>
          <w:p>
            <w:pPr>
              <w:pStyle w:val="Normal"/>
              <w:widowControl w:val="false"/>
              <w:rPr>
                <w:sz w:val="24"/>
                <w:szCs w:val="24"/>
              </w:rPr>
            </w:pPr>
            <w:r>
              <w:rPr>
                <w:sz w:val="24"/>
                <w:szCs w:val="24"/>
                <w:highlight w:val="lightGray"/>
              </w:rPr>
              <w:t>_______________ / _______________</w:t>
            </w:r>
          </w:p>
        </w:tc>
        <w:tc>
          <w:tcPr>
            <w:tcW w:w="335" w:type="dxa"/>
            <w:tcBorders/>
          </w:tcPr>
          <w:p>
            <w:pPr>
              <w:pStyle w:val="Normal"/>
              <w:widowControl w:val="false"/>
              <w:rPr/>
            </w:pPr>
            <w:r>
              <w:rPr/>
            </w:r>
          </w:p>
        </w:tc>
      </w:tr>
    </w:tbl>
    <w:p>
      <w:pPr>
        <w:sectPr>
          <w:headerReference w:type="default" r:id="rId5"/>
          <w:headerReference w:type="first" r:id="rId6"/>
          <w:footerReference w:type="default" r:id="rId7"/>
          <w:type w:val="nextPage"/>
          <w:pgSz w:w="11906" w:h="16838"/>
          <w:pgMar w:left="1418" w:right="851" w:gutter="0" w:header="709" w:top="1134" w:footer="709" w:bottom="1134"/>
          <w:pgNumType w:fmt="decimal"/>
          <w:formProt w:val="false"/>
          <w:titlePg/>
          <w:textDirection w:val="lrTb"/>
          <w:docGrid w:type="default" w:linePitch="360" w:charSpace="24576"/>
        </w:sectPr>
      </w:pPr>
    </w:p>
    <w:p>
      <w:pPr>
        <w:pStyle w:val="Normal"/>
        <w:ind w:left="5103" w:right="96" w:hanging="0"/>
        <w:rPr>
          <w:sz w:val="22"/>
          <w:szCs w:val="22"/>
        </w:rPr>
      </w:pPr>
      <w:r>
        <w:rPr>
          <w:sz w:val="22"/>
          <w:szCs w:val="22"/>
        </w:rPr>
        <w:t>Приложение № 1</w:t>
      </w:r>
    </w:p>
    <w:p>
      <w:pPr>
        <w:pStyle w:val="Normal"/>
        <w:ind w:left="5103" w:right="96" w:hanging="0"/>
        <w:rPr>
          <w:sz w:val="22"/>
          <w:szCs w:val="22"/>
        </w:rPr>
      </w:pPr>
      <w:r>
        <w:rPr>
          <w:sz w:val="22"/>
          <w:szCs w:val="22"/>
        </w:rPr>
        <w:t>к Договору поставки</w:t>
      </w:r>
    </w:p>
    <w:p>
      <w:pPr>
        <w:pStyle w:val="Normal"/>
        <w:ind w:left="5103" w:right="96" w:hanging="0"/>
        <w:rPr>
          <w:sz w:val="22"/>
          <w:szCs w:val="22"/>
        </w:rPr>
      </w:pPr>
      <w:r>
        <w:rPr>
          <w:sz w:val="22"/>
          <w:szCs w:val="22"/>
        </w:rPr>
        <w:t>от «____» __________ 20 _ г. № _____</w:t>
      </w:r>
    </w:p>
    <w:p>
      <w:pPr>
        <w:pStyle w:val="Normal"/>
        <w:jc w:val="center"/>
        <w:rPr>
          <w:b/>
          <w:sz w:val="24"/>
          <w:szCs w:val="24"/>
        </w:rPr>
      </w:pPr>
      <w:r>
        <w:rPr>
          <w:b/>
          <w:sz w:val="24"/>
          <w:szCs w:val="24"/>
        </w:rPr>
        <w:t xml:space="preserve">СПЕЦИФИКАЦИЯ </w:t>
      </w:r>
    </w:p>
    <w:p>
      <w:pPr>
        <w:pStyle w:val="Normal"/>
        <w:jc w:val="center"/>
        <w:rPr>
          <w:b/>
          <w:sz w:val="24"/>
          <w:szCs w:val="24"/>
        </w:rPr>
      </w:pPr>
      <w:r>
        <w:rPr>
          <w:b/>
          <w:sz w:val="24"/>
          <w:szCs w:val="24"/>
        </w:rPr>
      </w:r>
    </w:p>
    <w:tbl>
      <w:tblPr>
        <w:tblW w:w="5000" w:type="pct"/>
        <w:jc w:val="left"/>
        <w:tblInd w:w="108" w:type="dxa"/>
        <w:tblLayout w:type="fixed"/>
        <w:tblCellMar>
          <w:top w:w="0" w:type="dxa"/>
          <w:left w:w="108" w:type="dxa"/>
          <w:bottom w:w="0" w:type="dxa"/>
          <w:right w:w="108" w:type="dxa"/>
        </w:tblCellMar>
        <w:tblLook w:noVBand="1" w:val="04a0" w:noHBand="0" w:lastColumn="0" w:firstColumn="1" w:lastRow="0" w:firstRow="1"/>
      </w:tblPr>
      <w:tblGrid>
        <w:gridCol w:w="451"/>
        <w:gridCol w:w="391"/>
        <w:gridCol w:w="602"/>
        <w:gridCol w:w="612"/>
        <w:gridCol w:w="613"/>
        <w:gridCol w:w="779"/>
        <w:gridCol w:w="719"/>
        <w:gridCol w:w="635"/>
        <w:gridCol w:w="730"/>
        <w:gridCol w:w="691"/>
        <w:gridCol w:w="521"/>
        <w:gridCol w:w="648"/>
        <w:gridCol w:w="555"/>
        <w:gridCol w:w="516"/>
        <w:gridCol w:w="718"/>
        <w:gridCol w:w="453"/>
      </w:tblGrid>
      <w:tr>
        <w:trPr>
          <w:trHeight w:val="526" w:hRule="atLeast"/>
        </w:trPr>
        <w:tc>
          <w:tcPr>
            <w:tcW w:w="4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партии</w:t>
            </w:r>
          </w:p>
        </w:tc>
        <w:tc>
          <w:tcPr>
            <w:tcW w:w="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поз.</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Наименование Товара</w:t>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Артикул, тип, марка</w:t>
            </w:r>
          </w:p>
        </w:tc>
        <w:tc>
          <w:tcPr>
            <w:tcW w:w="6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Завод изготовитель</w:t>
            </w:r>
          </w:p>
        </w:tc>
        <w:tc>
          <w:tcPr>
            <w:tcW w:w="77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Страна происхождения Товара</w:t>
            </w:r>
            <w:r>
              <w:rPr>
                <w:rStyle w:val="FootnoteReference"/>
                <w:bCs/>
              </w:rPr>
              <w:footnoteReference w:id="2"/>
            </w:r>
          </w:p>
        </w:tc>
        <w:tc>
          <w:tcPr>
            <w:tcW w:w="7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t>Страна регистрации производителя Товара</w:t>
            </w:r>
          </w:p>
        </w:tc>
        <w:tc>
          <w:tcPr>
            <w:tcW w:w="6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Код ОКПД 2 (с наименованием)</w:t>
            </w:r>
          </w:p>
        </w:tc>
        <w:tc>
          <w:tcPr>
            <w:tcW w:w="7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Единица измерения</w:t>
            </w:r>
          </w:p>
        </w:tc>
        <w:tc>
          <w:tcPr>
            <w:tcW w:w="69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
                <w:bCs/>
              </w:rPr>
            </w:pPr>
            <w:r>
              <w:rPr>
                <w:b/>
                <w:bCs/>
              </w:rPr>
            </w:r>
          </w:p>
          <w:p>
            <w:pPr>
              <w:pStyle w:val="Normal"/>
              <w:widowControl w:val="false"/>
              <w:jc w:val="center"/>
              <w:rPr>
                <w:bCs/>
              </w:rPr>
            </w:pPr>
            <w:r>
              <w:rPr>
                <w:bCs/>
                <w:highlight w:val="lightGray"/>
              </w:rPr>
              <w:t>Порядковый номер(а) реестровой(ых) записи(ей)</w:t>
            </w:r>
            <w:r>
              <w:rPr>
                <w:rStyle w:val="FootnoteReference"/>
                <w:bCs/>
                <w:highlight w:val="lightGray"/>
              </w:rPr>
              <w:footnoteReference w:id="3"/>
            </w:r>
          </w:p>
          <w:p>
            <w:pPr>
              <w:pStyle w:val="Normal"/>
              <w:widowControl w:val="false"/>
              <w:jc w:val="center"/>
              <w:rPr>
                <w:bCs/>
              </w:rPr>
            </w:pPr>
            <w:r>
              <w:rPr>
                <w:bCs/>
              </w:rPr>
            </w:r>
          </w:p>
        </w:tc>
        <w:tc>
          <w:tcPr>
            <w:tcW w:w="5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Количество</w:t>
            </w:r>
          </w:p>
        </w:tc>
        <w:tc>
          <w:tcPr>
            <w:tcW w:w="6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за единицу, руб. без НДС</w:t>
            </w:r>
          </w:p>
        </w:tc>
        <w:tc>
          <w:tcPr>
            <w:tcW w:w="5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руб. без НДС</w:t>
            </w:r>
          </w:p>
        </w:tc>
        <w:tc>
          <w:tcPr>
            <w:tcW w:w="5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НДС</w:t>
            </w:r>
          </w:p>
          <w:p>
            <w:pPr>
              <w:pStyle w:val="Normal"/>
              <w:widowControl w:val="false"/>
              <w:jc w:val="center"/>
              <w:rPr>
                <w:bCs/>
              </w:rPr>
            </w:pPr>
            <w:r>
              <w:rPr>
                <w:bCs/>
              </w:rPr>
              <w:t>(___%) руб.*</w:t>
            </w:r>
          </w:p>
        </w:tc>
        <w:tc>
          <w:tcPr>
            <w:tcW w:w="7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Стоимость, руб., с НДС*</w:t>
            </w:r>
          </w:p>
        </w:tc>
        <w:tc>
          <w:tcPr>
            <w:tcW w:w="4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Перечень сопроводительных документов (в том числе подтверждающих качество Товара)</w:t>
            </w:r>
          </w:p>
        </w:tc>
      </w:tr>
      <w:tr>
        <w:trPr>
          <w:trHeight w:val="538" w:hRule="atLeast"/>
        </w:trPr>
        <w:tc>
          <w:tcPr>
            <w:tcW w:w="45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t>1</w:t>
            </w:r>
          </w:p>
        </w:tc>
        <w:tc>
          <w:tcPr>
            <w:tcW w:w="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1</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1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35"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9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4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45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r>
          </w:p>
        </w:tc>
        <w:tc>
          <w:tcPr>
            <w:tcW w:w="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2</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1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35"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9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4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62" w:hRule="atLeast"/>
        </w:trPr>
        <w:tc>
          <w:tcPr>
            <w:tcW w:w="8463"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lightGray"/>
              </w:rPr>
              <w:t>Итого стоимость партии Товара №1</w:t>
            </w:r>
            <w:r>
              <w:rPr/>
              <w:t>, руб. с НДС*</w:t>
            </w:r>
          </w:p>
        </w:tc>
        <w:tc>
          <w:tcPr>
            <w:tcW w:w="1171"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45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t>2</w:t>
            </w:r>
          </w:p>
        </w:tc>
        <w:tc>
          <w:tcPr>
            <w:tcW w:w="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3</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1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35"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9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4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45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r>
          </w:p>
        </w:tc>
        <w:tc>
          <w:tcPr>
            <w:tcW w:w="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4</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1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35"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9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4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62" w:hRule="atLeast"/>
        </w:trPr>
        <w:tc>
          <w:tcPr>
            <w:tcW w:w="8463"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lightGray"/>
              </w:rPr>
              <w:t>Итого стоимость партии Товара №2</w:t>
            </w:r>
            <w:r>
              <w:rPr/>
              <w:t>, руб. с НДС*</w:t>
            </w:r>
          </w:p>
        </w:tc>
        <w:tc>
          <w:tcPr>
            <w:tcW w:w="1171"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262" w:hRule="atLeast"/>
        </w:trPr>
        <w:tc>
          <w:tcPr>
            <w:tcW w:w="8463"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lightGray"/>
              </w:rPr>
              <w:t>Итого стоимость всего Товара (с учетом доставки), руб. с НДС*:</w:t>
            </w:r>
          </w:p>
        </w:tc>
        <w:tc>
          <w:tcPr>
            <w:tcW w:w="1171"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bl>
    <w:p>
      <w:pPr>
        <w:pStyle w:val="Normal"/>
        <w:ind w:left="-737" w:right="737" w:hanging="0"/>
        <w:jc w:val="both"/>
        <w:rPr>
          <w:i/>
          <w:i/>
          <w:iCs/>
          <w:sz w:val="22"/>
          <w:szCs w:val="22"/>
        </w:rPr>
      </w:pPr>
      <w:r>
        <w:rPr>
          <w:i/>
          <w:iCs/>
        </w:rPr>
        <w:t>* При этом сумма НДС является справочной и рассчитана исходя из ставки НДС в соответствии с действующим законодательством Российской Федерации.</w:t>
      </w:r>
    </w:p>
    <w:p>
      <w:pPr>
        <w:pStyle w:val="Normal"/>
        <w:ind w:left="-737" w:right="737" w:hanging="0"/>
        <w:jc w:val="both"/>
        <w:rPr/>
      </w:pPr>
      <w:r>
        <w:rPr/>
      </w:r>
    </w:p>
    <w:p>
      <w:pPr>
        <w:pStyle w:val="Normal"/>
        <w:rPr>
          <w:i/>
          <w:i/>
          <w:sz w:val="22"/>
          <w:szCs w:val="22"/>
          <w:highlight w:val="lightGray"/>
        </w:rPr>
      </w:pPr>
      <w:r>
        <w:rPr>
          <w:i/>
          <w:sz w:val="22"/>
          <w:szCs w:val="22"/>
          <w:highlight w:val="lightGray"/>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pStyle w:val="Normal"/>
        <w:rPr>
          <w:i/>
          <w:i/>
          <w:sz w:val="22"/>
          <w:szCs w:val="22"/>
        </w:rPr>
      </w:pPr>
      <w:r>
        <w:rPr>
          <w:i/>
          <w:sz w:val="22"/>
          <w:szCs w:val="22"/>
          <w:highlight w:val="lightGray"/>
        </w:rPr>
        <w:t>2. По требованию Покупателя Поставщик обязан представить запрашиваемую информацию/документы, расчеты, обосновывающие стоимость доставки.</w:t>
      </w:r>
      <w:r>
        <w:rPr>
          <w:i/>
          <w:sz w:val="22"/>
          <w:szCs w:val="22"/>
        </w:rPr>
        <w:t xml:space="preserve"> </w:t>
      </w:r>
    </w:p>
    <w:p>
      <w:pPr>
        <w:pStyle w:val="Normal"/>
        <w:rPr>
          <w:i/>
          <w:i/>
          <w:sz w:val="22"/>
          <w:szCs w:val="22"/>
        </w:rPr>
      </w:pPr>
      <w:r>
        <w:rPr>
          <w:i/>
          <w:sz w:val="22"/>
          <w:szCs w:val="22"/>
        </w:rPr>
      </w:r>
    </w:p>
    <w:p>
      <w:pPr>
        <w:pStyle w:val="Normal"/>
        <w:rPr>
          <w:i/>
          <w:i/>
          <w:sz w:val="22"/>
          <w:szCs w:val="22"/>
        </w:rPr>
      </w:pPr>
      <w:r>
        <w:rPr>
          <w:i/>
          <w:sz w:val="22"/>
          <w:szCs w:val="22"/>
        </w:rPr>
      </w:r>
    </w:p>
    <w:tbl>
      <w:tblPr>
        <w:tblW w:w="9632" w:type="dxa"/>
        <w:jc w:val="left"/>
        <w:tblInd w:w="108" w:type="dxa"/>
        <w:tblLayout w:type="fixed"/>
        <w:tblCellMar>
          <w:top w:w="0" w:type="dxa"/>
          <w:left w:w="108" w:type="dxa"/>
          <w:bottom w:w="0" w:type="dxa"/>
          <w:right w:w="108" w:type="dxa"/>
        </w:tblCellMar>
        <w:tblLook w:noVBand="0" w:val="0000" w:noHBand="0" w:lastColumn="0" w:firstColumn="0" w:lastRow="0" w:firstRow="0"/>
      </w:tblPr>
      <w:tblGrid>
        <w:gridCol w:w="4826"/>
        <w:gridCol w:w="4805"/>
      </w:tblGrid>
      <w:tr>
        <w:trPr>
          <w:trHeight w:val="269" w:hRule="atLeast"/>
        </w:trPr>
        <w:tc>
          <w:tcPr>
            <w:tcW w:w="4826" w:type="dxa"/>
            <w:tcBorders/>
          </w:tcPr>
          <w:p>
            <w:pPr>
              <w:pStyle w:val="Normal"/>
              <w:widowControl w:val="false"/>
              <w:rPr>
                <w:b/>
                <w:sz w:val="24"/>
              </w:rPr>
            </w:pPr>
            <w:r>
              <w:rPr>
                <w:b/>
                <w:sz w:val="24"/>
              </w:rPr>
              <w:t>Покупатель:</w:t>
            </w:r>
          </w:p>
        </w:tc>
        <w:tc>
          <w:tcPr>
            <w:tcW w:w="4805" w:type="dxa"/>
            <w:tcBorders/>
          </w:tcPr>
          <w:p>
            <w:pPr>
              <w:pStyle w:val="Normal"/>
              <w:widowControl w:val="false"/>
              <w:rPr>
                <w:b/>
                <w:sz w:val="24"/>
              </w:rPr>
            </w:pPr>
            <w:r>
              <w:rPr>
                <w:b/>
                <w:sz w:val="24"/>
              </w:rPr>
              <w:t>Поставщик:</w:t>
            </w:r>
          </w:p>
        </w:tc>
      </w:tr>
    </w:tbl>
    <w:p>
      <w:pPr>
        <w:pStyle w:val="Normal"/>
        <w:rPr/>
      </w:pPr>
      <w:r>
        <w:rPr/>
      </w:r>
    </w:p>
    <w:p>
      <w:pPr>
        <w:pStyle w:val="Normal"/>
        <w:rPr/>
      </w:pPr>
      <w:r>
        <w:rPr/>
        <w:t xml:space="preserve"> </w:t>
      </w:r>
      <w:r>
        <w:rPr/>
        <w:t>__________ /__________</w:t>
        <w:tab/>
        <w:t xml:space="preserve">                                          ___________ /___________</w:t>
      </w:r>
    </w:p>
    <w:p>
      <w:pPr>
        <w:pStyle w:val="Normal"/>
        <w:rPr>
          <w:i/>
          <w:i/>
          <w:sz w:val="24"/>
          <w:szCs w:val="24"/>
          <w:highlight w:val="yellow"/>
        </w:rPr>
      </w:pPr>
      <w:r>
        <w:rPr>
          <w:i/>
          <w:sz w:val="24"/>
          <w:szCs w:val="24"/>
          <w:highlight w:val="yellow"/>
        </w:rPr>
      </w:r>
    </w:p>
    <w:p>
      <w:pPr>
        <w:pStyle w:val="Normal"/>
        <w:widowControl/>
        <w:spacing w:lineRule="auto" w:line="259"/>
        <w:rPr>
          <w:rFonts w:eastAsia="Calibri"/>
          <w:b/>
          <w:sz w:val="24"/>
          <w:szCs w:val="24"/>
          <w:lang w:eastAsia="en-US"/>
        </w:rPr>
      </w:pPr>
      <w:r>
        <w:rPr>
          <w:rFonts w:eastAsia="Calibri"/>
          <w:b/>
          <w:sz w:val="24"/>
          <w:szCs w:val="24"/>
          <w:lang w:eastAsia="en-US"/>
        </w:rPr>
      </w:r>
    </w:p>
    <w:p>
      <w:pPr>
        <w:pStyle w:val="Normal"/>
        <w:widowControl/>
        <w:spacing w:lineRule="auto" w:line="259"/>
        <w:rPr>
          <w:rFonts w:eastAsia="Calibri"/>
          <w:b/>
          <w:sz w:val="24"/>
          <w:szCs w:val="24"/>
          <w:lang w:eastAsia="en-US"/>
        </w:rPr>
      </w:pPr>
      <w:r>
        <w:rPr>
          <w:rFonts w:eastAsia="Calibri"/>
          <w:b/>
          <w:sz w:val="24"/>
          <w:szCs w:val="24"/>
          <w:lang w:eastAsia="en-US"/>
        </w:rPr>
      </w:r>
    </w:p>
    <w:p>
      <w:pPr>
        <w:pStyle w:val="Normal"/>
        <w:widowControl/>
        <w:spacing w:lineRule="auto" w:line="259"/>
        <w:jc w:val="center"/>
        <w:rPr>
          <w:rFonts w:eastAsia="Calibri"/>
          <w:b/>
          <w:sz w:val="24"/>
          <w:szCs w:val="24"/>
          <w:lang w:eastAsia="en-US"/>
        </w:rPr>
      </w:pPr>
      <w:r>
        <w:rPr>
          <w:rFonts w:eastAsia="Calibri"/>
          <w:b/>
          <w:sz w:val="24"/>
          <w:szCs w:val="24"/>
          <w:lang w:eastAsia="en-US"/>
        </w:rPr>
      </w:r>
    </w:p>
    <w:p>
      <w:pPr>
        <w:pStyle w:val="Normal"/>
        <w:widowControl/>
        <w:spacing w:lineRule="auto" w:line="259"/>
        <w:jc w:val="center"/>
        <w:rPr>
          <w:rFonts w:eastAsia="Calibri"/>
          <w:b/>
          <w:sz w:val="24"/>
          <w:szCs w:val="24"/>
          <w:lang w:eastAsia="en-US"/>
        </w:rPr>
      </w:pPr>
      <w:r>
        <w:rPr>
          <w:rFonts w:eastAsia="Calibri"/>
          <w:b/>
          <w:sz w:val="24"/>
          <w:szCs w:val="24"/>
          <w:lang w:eastAsia="en-US"/>
        </w:rPr>
      </w:r>
    </w:p>
    <w:p>
      <w:pPr>
        <w:pStyle w:val="Normal"/>
        <w:widowControl/>
        <w:spacing w:lineRule="auto" w:line="259"/>
        <w:jc w:val="center"/>
        <w:rPr>
          <w:rFonts w:eastAsia="Calibri"/>
          <w:b/>
          <w:sz w:val="24"/>
          <w:szCs w:val="24"/>
          <w:lang w:eastAsia="en-US"/>
        </w:rPr>
      </w:pPr>
      <w:r>
        <w:rPr>
          <w:rFonts w:eastAsia="Calibri"/>
          <w:b/>
          <w:sz w:val="24"/>
          <w:szCs w:val="24"/>
          <w:lang w:eastAsia="en-US"/>
        </w:rPr>
      </w:r>
    </w:p>
    <w:p>
      <w:pPr>
        <w:pStyle w:val="Normal"/>
        <w:widowControl/>
        <w:spacing w:lineRule="auto" w:line="259"/>
        <w:jc w:val="center"/>
        <w:rPr>
          <w:rFonts w:eastAsia="Calibri"/>
          <w:b/>
          <w:sz w:val="24"/>
          <w:szCs w:val="24"/>
          <w:lang w:eastAsia="en-US"/>
        </w:rPr>
      </w:pPr>
      <w:r>
        <w:rPr>
          <w:rFonts w:eastAsia="Calibri"/>
          <w:b/>
          <w:sz w:val="24"/>
          <w:szCs w:val="24"/>
          <w:lang w:eastAsia="en-US"/>
        </w:rPr>
      </w:r>
    </w:p>
    <w:p>
      <w:pPr>
        <w:pStyle w:val="Normal"/>
        <w:widowControl/>
        <w:rPr>
          <w:sz w:val="22"/>
          <w:szCs w:val="22"/>
        </w:rPr>
      </w:pPr>
      <w:r>
        <w:rPr>
          <w:sz w:val="22"/>
          <w:szCs w:val="22"/>
        </w:rPr>
      </w:r>
      <w:r>
        <w:br w:type="page"/>
      </w:r>
    </w:p>
    <w:p>
      <w:pPr>
        <w:pStyle w:val="Normal"/>
        <w:ind w:right="96" w:firstLine="5103"/>
        <w:rPr>
          <w:sz w:val="22"/>
          <w:szCs w:val="22"/>
        </w:rPr>
      </w:pPr>
      <w:r>
        <w:rPr>
          <w:sz w:val="22"/>
          <w:szCs w:val="22"/>
        </w:rPr>
        <w:t>Приложение № 2</w:t>
      </w:r>
    </w:p>
    <w:p>
      <w:pPr>
        <w:pStyle w:val="Normal"/>
        <w:ind w:right="96" w:firstLine="5103"/>
        <w:rPr>
          <w:sz w:val="22"/>
          <w:szCs w:val="22"/>
        </w:rPr>
      </w:pPr>
      <w:r>
        <w:rPr>
          <w:sz w:val="22"/>
          <w:szCs w:val="22"/>
        </w:rPr>
        <w:t xml:space="preserve">к Договору поставки </w:t>
      </w:r>
    </w:p>
    <w:p>
      <w:pPr>
        <w:pStyle w:val="Normal"/>
        <w:ind w:right="96" w:firstLine="5103"/>
        <w:rPr>
          <w:sz w:val="22"/>
          <w:szCs w:val="22"/>
        </w:rPr>
      </w:pPr>
      <w:r>
        <w:rPr>
          <w:sz w:val="22"/>
          <w:szCs w:val="22"/>
        </w:rPr>
        <w:t>от «____» __________ 20 ____ г. № _____</w:t>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t>ТЕХНИЧЕСКИЕ ТРЕБОВАНИЯ</w:t>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b/>
          <w:sz w:val="24"/>
          <w:szCs w:val="24"/>
        </w:rPr>
      </w:pPr>
      <w:r>
        <w:rPr>
          <w:b/>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9815" w:type="dxa"/>
        <w:jc w:val="left"/>
        <w:tblInd w:w="108" w:type="dxa"/>
        <w:tblLayout w:type="fixed"/>
        <w:tblCellMar>
          <w:top w:w="0" w:type="dxa"/>
          <w:left w:w="108" w:type="dxa"/>
          <w:bottom w:w="0" w:type="dxa"/>
          <w:right w:w="108" w:type="dxa"/>
        </w:tblCellMar>
        <w:tblLook w:noVBand="1" w:val="04a0" w:noHBand="0" w:lastColumn="0" w:firstColumn="1" w:lastRow="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rPr>
                <w:sz w:val="24"/>
                <w:szCs w:val="24"/>
              </w:rPr>
            </w:pPr>
            <w:r>
              <w:rPr>
                <w:sz w:val="24"/>
                <w:szCs w:val="24"/>
              </w:rPr>
            </w:r>
          </w:p>
        </w:tc>
        <w:tc>
          <w:tcPr>
            <w:tcW w:w="4819" w:type="dxa"/>
            <w:tcBorders/>
            <w:shd w:color="auto" w:fill="auto" w:val="clear"/>
          </w:tcPr>
          <w:p>
            <w:pPr>
              <w:pStyle w:val="Normal"/>
              <w:widowControl w:val="false"/>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sectPr>
          <w:headerReference w:type="default" r:id="rId8"/>
          <w:headerReference w:type="first" r:id="rId9"/>
          <w:footerReference w:type="default" r:id="rId10"/>
          <w:footerReference w:type="first" r:id="rId11"/>
          <w:footnotePr>
            <w:numFmt w:val="decimal"/>
          </w:footnotePr>
          <w:type w:val="nextPage"/>
          <w:pgSz w:w="11906" w:h="16838"/>
          <w:pgMar w:left="1418" w:right="851" w:gutter="0" w:header="567" w:top="1134" w:footer="709" w:bottom="1134"/>
          <w:pgNumType w:fmt="decimal"/>
          <w:formProt w:val="false"/>
          <w:textDirection w:val="lrTb"/>
          <w:docGrid w:type="default" w:linePitch="360" w:charSpace="24576"/>
        </w:sectPr>
      </w:pPr>
    </w:p>
    <w:p>
      <w:pPr>
        <w:pStyle w:val="Normal"/>
        <w:ind w:left="5103" w:right="96" w:firstLine="5103"/>
        <w:rPr>
          <w:sz w:val="22"/>
          <w:szCs w:val="22"/>
        </w:rPr>
      </w:pPr>
      <w:r>
        <w:rPr>
          <w:sz w:val="22"/>
          <w:szCs w:val="22"/>
        </w:rPr>
        <w:t>ППриложение № 3</w:t>
      </w:r>
    </w:p>
    <w:p>
      <w:pPr>
        <w:pStyle w:val="Normal"/>
        <w:ind w:right="96" w:firstLine="5103"/>
        <w:rPr>
          <w:sz w:val="22"/>
          <w:szCs w:val="22"/>
        </w:rPr>
      </w:pPr>
      <w:r>
        <w:rPr>
          <w:sz w:val="22"/>
          <w:szCs w:val="22"/>
        </w:rPr>
        <w:t>к Договору поставки</w:t>
      </w:r>
    </w:p>
    <w:p>
      <w:pPr>
        <w:pStyle w:val="Normal"/>
        <w:ind w:right="96" w:firstLine="5103"/>
        <w:rPr>
          <w:sz w:val="22"/>
          <w:szCs w:val="22"/>
        </w:rPr>
      </w:pPr>
      <w:r>
        <w:rPr>
          <w:sz w:val="22"/>
          <w:szCs w:val="22"/>
        </w:rPr>
        <w:t>от «____» __________ 20 ___ г. № ____</w:t>
      </w:r>
    </w:p>
    <w:p>
      <w:pPr>
        <w:pStyle w:val="Normal"/>
        <w:jc w:val="center"/>
        <w:rPr>
          <w:b/>
          <w:sz w:val="24"/>
          <w:szCs w:val="24"/>
        </w:rPr>
      </w:pPr>
      <w:r>
        <w:rPr>
          <w:b/>
          <w:sz w:val="24"/>
          <w:szCs w:val="24"/>
        </w:rPr>
      </w:r>
    </w:p>
    <w:p>
      <w:pPr>
        <w:pStyle w:val="Normal"/>
        <w:jc w:val="center"/>
        <w:rPr>
          <w:b/>
          <w:sz w:val="24"/>
          <w:szCs w:val="24"/>
        </w:rPr>
      </w:pPr>
      <w:r>
        <w:rPr>
          <w:b/>
          <w:sz w:val="24"/>
          <w:szCs w:val="24"/>
        </w:rPr>
      </w:r>
    </w:p>
    <w:p>
      <w:pPr>
        <w:pStyle w:val="Normal"/>
        <w:jc w:val="center"/>
        <w:rPr>
          <w:b/>
          <w:sz w:val="24"/>
          <w:szCs w:val="24"/>
        </w:rPr>
      </w:pPr>
      <w:r>
        <w:rPr>
          <w:b/>
          <w:sz w:val="24"/>
          <w:szCs w:val="24"/>
        </w:rPr>
        <w:t xml:space="preserve">Календарный график поставки Товара </w:t>
      </w:r>
    </w:p>
    <w:p>
      <w:pPr>
        <w:pStyle w:val="Normal"/>
        <w:rPr>
          <w:sz w:val="24"/>
          <w:szCs w:val="24"/>
        </w:rPr>
      </w:pPr>
      <w:r>
        <w:rPr>
          <w:sz w:val="24"/>
          <w:szCs w:val="24"/>
        </w:rPr>
      </w:r>
    </w:p>
    <w:p>
      <w:pPr>
        <w:pStyle w:val="Normal"/>
        <w:rPr>
          <w:sz w:val="24"/>
          <w:szCs w:val="24"/>
        </w:rPr>
      </w:pPr>
      <w:r>
        <w:rPr>
          <w:sz w:val="24"/>
          <w:szCs w:val="24"/>
        </w:rPr>
        <w:t>Таблица 1. Календарный график поставки Товара</w:t>
      </w:r>
    </w:p>
    <w:p>
      <w:pPr>
        <w:pStyle w:val="Normal"/>
        <w:rPr>
          <w:sz w:val="24"/>
          <w:szCs w:val="24"/>
        </w:rPr>
      </w:pPr>
      <w:r>
        <w:rPr>
          <w:sz w:val="24"/>
          <w:szCs w:val="24"/>
        </w:rPr>
      </w:r>
    </w:p>
    <w:tbl>
      <w:tblPr>
        <w:tblW w:w="9918" w:type="dxa"/>
        <w:jc w:val="left"/>
        <w:tblInd w:w="108" w:type="dxa"/>
        <w:tblLayout w:type="fixed"/>
        <w:tblCellMar>
          <w:top w:w="0" w:type="dxa"/>
          <w:left w:w="108" w:type="dxa"/>
          <w:bottom w:w="0" w:type="dxa"/>
          <w:right w:w="108" w:type="dxa"/>
        </w:tblCellMar>
        <w:tblLook w:noVBand="1" w:val="04a0" w:noHBand="0" w:lastColumn="0" w:firstColumn="1" w:lastRow="0" w:firstRow="1"/>
      </w:tblPr>
      <w:tblGrid>
        <w:gridCol w:w="708"/>
        <w:gridCol w:w="1831"/>
        <w:gridCol w:w="1850"/>
        <w:gridCol w:w="1845"/>
        <w:gridCol w:w="1144"/>
        <w:gridCol w:w="1199"/>
        <w:gridCol w:w="1340"/>
      </w:tblGrid>
      <w:tr>
        <w:trPr>
          <w:trHeight w:val="1150" w:hRule="atLeast"/>
        </w:trPr>
        <w:tc>
          <w:tcPr>
            <w:tcW w:w="7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 xml:space="preserve">№ </w:t>
            </w:r>
            <w:r>
              <w:rPr/>
              <w:t>партии</w:t>
            </w:r>
          </w:p>
        </w:tc>
        <w:tc>
          <w:tcPr>
            <w:tcW w:w="18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Наименование Товара (партии Товара)</w:t>
            </w:r>
          </w:p>
        </w:tc>
        <w:tc>
          <w:tcPr>
            <w:tcW w:w="18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Обоснование стоимости, пункт Спецификации</w:t>
            </w:r>
          </w:p>
        </w:tc>
        <w:tc>
          <w:tcPr>
            <w:tcW w:w="18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Дата поставки Товара</w:t>
            </w:r>
          </w:p>
          <w:p>
            <w:pPr>
              <w:pStyle w:val="Normal"/>
              <w:widowControl w:val="false"/>
              <w:jc w:val="center"/>
              <w:rPr/>
            </w:pPr>
            <w:r>
              <w:rPr/>
            </w:r>
          </w:p>
        </w:tc>
        <w:tc>
          <w:tcPr>
            <w:tcW w:w="11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Цена, руб. без НДС</w:t>
            </w:r>
          </w:p>
        </w:tc>
        <w:tc>
          <w:tcPr>
            <w:tcW w:w="11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Сумма НДС (___%), руб.*</w:t>
            </w:r>
          </w:p>
        </w:tc>
        <w:tc>
          <w:tcPr>
            <w:tcW w:w="13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Стоимость партии, руб. с НДС*</w:t>
            </w:r>
          </w:p>
        </w:tc>
      </w:tr>
      <w:tr>
        <w:trPr/>
        <w:tc>
          <w:tcPr>
            <w:tcW w:w="70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r>
              <w:rPr>
                <w:sz w:val="24"/>
                <w:szCs w:val="24"/>
              </w:rPr>
              <w:t>1.</w:t>
            </w:r>
          </w:p>
        </w:tc>
        <w:tc>
          <w:tcPr>
            <w:tcW w:w="183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9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3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r>
        <w:trPr/>
        <w:tc>
          <w:tcPr>
            <w:tcW w:w="70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r>
              <w:rPr>
                <w:sz w:val="24"/>
                <w:szCs w:val="24"/>
              </w:rPr>
              <w:t>2.</w:t>
            </w:r>
          </w:p>
        </w:tc>
        <w:tc>
          <w:tcPr>
            <w:tcW w:w="183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9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3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r>
        <w:trPr/>
        <w:tc>
          <w:tcPr>
            <w:tcW w:w="70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r>
              <w:rPr>
                <w:sz w:val="24"/>
                <w:szCs w:val="24"/>
              </w:rPr>
              <w:t>3.</w:t>
            </w:r>
          </w:p>
        </w:tc>
        <w:tc>
          <w:tcPr>
            <w:tcW w:w="183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9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3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r>
        <w:trPr/>
        <w:tc>
          <w:tcPr>
            <w:tcW w:w="70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r>
              <w:rPr>
                <w:sz w:val="24"/>
                <w:szCs w:val="24"/>
              </w:rPr>
              <w:t>4.</w:t>
            </w:r>
          </w:p>
        </w:tc>
        <w:tc>
          <w:tcPr>
            <w:tcW w:w="183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9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3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r>
        <w:trPr/>
        <w:tc>
          <w:tcPr>
            <w:tcW w:w="8577" w:type="dxa"/>
            <w:gridSpan w:val="6"/>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right"/>
              <w:rPr>
                <w:b/>
                <w:sz w:val="24"/>
                <w:szCs w:val="24"/>
              </w:rPr>
            </w:pPr>
            <w:r>
              <w:rPr>
                <w:b/>
                <w:sz w:val="24"/>
                <w:szCs w:val="24"/>
              </w:rPr>
              <w:t>Всего по Договору:</w:t>
            </w:r>
          </w:p>
        </w:tc>
        <w:tc>
          <w:tcPr>
            <w:tcW w:w="13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bl>
    <w:p>
      <w:pPr>
        <w:pStyle w:val="Normal"/>
        <w:ind w:right="-283" w:hanging="0"/>
        <w:jc w:val="both"/>
        <w:rPr>
          <w:i/>
          <w:i/>
          <w:iCs/>
        </w:rPr>
      </w:pPr>
      <w:r>
        <w:rPr>
          <w:i/>
          <w:iCs/>
        </w:rPr>
        <w:t>* При этом сумма НДС является справочной и рассчитана исходя из ставки НДС в соответствии с действующим законодательством Российской Федерации.</w:t>
      </w:r>
    </w:p>
    <w:p>
      <w:pPr>
        <w:pStyle w:val="Normal"/>
        <w:rPr>
          <w:sz w:val="24"/>
          <w:szCs w:val="24"/>
        </w:rPr>
      </w:pPr>
      <w:r>
        <w:rPr>
          <w:sz w:val="24"/>
          <w:szCs w:val="24"/>
        </w:rPr>
      </w:r>
    </w:p>
    <w:p>
      <w:pPr>
        <w:pStyle w:val="Normal"/>
        <w:rPr>
          <w:sz w:val="24"/>
          <w:szCs w:val="24"/>
        </w:rPr>
      </w:pPr>
      <w:r>
        <w:rPr>
          <w:sz w:val="24"/>
          <w:szCs w:val="24"/>
        </w:rPr>
      </w:r>
    </w:p>
    <w:p>
      <w:pPr>
        <w:pStyle w:val="Normal"/>
        <w:tabs>
          <w:tab w:val="clear" w:pos="709"/>
          <w:tab w:val="left" w:pos="4860" w:leader="none"/>
        </w:tabs>
        <w:rPr>
          <w:b/>
          <w:sz w:val="24"/>
          <w:szCs w:val="24"/>
        </w:rPr>
      </w:pPr>
      <w:r>
        <w:rPr>
          <w:b/>
          <w:sz w:val="24"/>
          <w:szCs w:val="24"/>
        </w:rPr>
      </w:r>
    </w:p>
    <w:p>
      <w:pPr>
        <w:pStyle w:val="Normal"/>
        <w:ind w:left="5103" w:hanging="0"/>
        <w:rPr>
          <w:sz w:val="24"/>
          <w:szCs w:val="24"/>
        </w:rPr>
      </w:pPr>
      <w:r>
        <w:rPr>
          <w:sz w:val="24"/>
          <w:szCs w:val="24"/>
        </w:rPr>
      </w:r>
    </w:p>
    <w:p>
      <w:pPr>
        <w:pStyle w:val="Normal"/>
        <w:ind w:left="5103" w:hanging="0"/>
        <w:rPr>
          <w:sz w:val="24"/>
          <w:szCs w:val="24"/>
        </w:rPr>
      </w:pPr>
      <w:r>
        <w:rPr>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10099" w:type="dxa"/>
        <w:jc w:val="left"/>
        <w:tblInd w:w="108" w:type="dxa"/>
        <w:tblLayout w:type="fixed"/>
        <w:tblCellMar>
          <w:top w:w="0" w:type="dxa"/>
          <w:left w:w="108" w:type="dxa"/>
          <w:bottom w:w="0" w:type="dxa"/>
          <w:right w:w="108" w:type="dxa"/>
        </w:tblCellMar>
        <w:tblLook w:noVBand="1" w:val="04a0" w:noHBand="0" w:lastColumn="0" w:firstColumn="1" w:lastRow="0" w:firstRow="1"/>
      </w:tblPr>
      <w:tblGrid>
        <w:gridCol w:w="4993"/>
        <w:gridCol w:w="5105"/>
      </w:tblGrid>
      <w:tr>
        <w:trPr/>
        <w:tc>
          <w:tcPr>
            <w:tcW w:w="4993" w:type="dxa"/>
            <w:tcBorders/>
            <w:shd w:color="auto" w:fill="auto" w:val="clear"/>
          </w:tcPr>
          <w:p>
            <w:pPr>
              <w:pStyle w:val="Normal"/>
              <w:widowControl w:val="false"/>
              <w:rPr>
                <w:b/>
                <w:sz w:val="24"/>
                <w:szCs w:val="24"/>
              </w:rPr>
            </w:pPr>
            <w:r>
              <w:rPr>
                <w:b/>
                <w:sz w:val="24"/>
                <w:szCs w:val="24"/>
              </w:rPr>
              <w:t>Покупатель:</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rPr>
                <w:sz w:val="24"/>
                <w:szCs w:val="24"/>
              </w:rPr>
            </w:pPr>
            <w:r>
              <w:rPr>
                <w:sz w:val="24"/>
                <w:szCs w:val="24"/>
              </w:rPr>
            </w:r>
          </w:p>
        </w:tc>
        <w:tc>
          <w:tcPr>
            <w:tcW w:w="5105" w:type="dxa"/>
            <w:tcBorders/>
            <w:shd w:color="auto" w:fill="auto" w:val="clear"/>
          </w:tcPr>
          <w:p>
            <w:pPr>
              <w:pStyle w:val="Normal"/>
              <w:widowControl w:val="false"/>
              <w:ind w:firstLine="34"/>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pStyle w:val="Normal"/>
        <w:ind w:right="96" w:firstLine="6237"/>
        <w:rPr>
          <w:sz w:val="24"/>
          <w:szCs w:val="24"/>
        </w:rPr>
      </w:pPr>
      <w:r>
        <w:rPr>
          <w:sz w:val="24"/>
          <w:szCs w:val="24"/>
        </w:rPr>
      </w:r>
    </w:p>
    <w:p>
      <w:pPr>
        <w:pStyle w:val="Normal"/>
        <w:widowControl/>
        <w:rPr>
          <w:sz w:val="24"/>
          <w:szCs w:val="24"/>
        </w:rPr>
      </w:pPr>
      <w:r>
        <w:rPr>
          <w:sz w:val="24"/>
          <w:szCs w:val="24"/>
        </w:rPr>
      </w:r>
      <w:r>
        <w:br w:type="page"/>
      </w:r>
    </w:p>
    <w:p>
      <w:pPr>
        <w:pStyle w:val="Normal"/>
        <w:widowControl/>
        <w:tabs>
          <w:tab w:val="clear" w:pos="709"/>
          <w:tab w:val="left" w:pos="1418" w:leader="none"/>
        </w:tabs>
        <w:suppressAutoHyphens w:val="true"/>
        <w:bidi w:val="0"/>
        <w:spacing w:before="0" w:after="0"/>
        <w:ind w:hanging="0"/>
        <w:contextualSpacing/>
        <w:jc w:val="center"/>
        <w:rPr>
          <w:b/>
          <w:bCs/>
          <w:sz w:val="24"/>
          <w:szCs w:val="24"/>
        </w:rPr>
      </w:pPr>
      <w:r>
        <w:rPr>
          <w:b/>
          <w:bCs/>
          <w:sz w:val="24"/>
          <w:szCs w:val="24"/>
        </w:rPr>
      </w:r>
    </w:p>
    <w:p>
      <w:pPr>
        <w:pStyle w:val="Normal"/>
        <w:widowControl/>
        <w:tabs>
          <w:tab w:val="clear" w:pos="709"/>
          <w:tab w:val="left" w:pos="1425" w:leader="none"/>
        </w:tabs>
        <w:suppressAutoHyphens w:val="true"/>
        <w:bidi w:val="0"/>
        <w:spacing w:before="0" w:after="0"/>
        <w:ind w:hanging="0"/>
        <w:jc w:val="left"/>
        <w:rPr>
          <w:sz w:val="24"/>
          <w:szCs w:val="24"/>
        </w:rPr>
      </w:pPr>
      <w:r>
        <w:rPr>
          <w:sz w:val="24"/>
          <w:szCs w:val="24"/>
        </w:rPr>
      </w:r>
    </w:p>
    <w:p>
      <w:pPr>
        <w:pStyle w:val="Normal"/>
        <w:ind w:right="96" w:firstLine="5103"/>
        <w:rPr>
          <w:sz w:val="22"/>
          <w:szCs w:val="22"/>
        </w:rPr>
      </w:pPr>
      <w:r>
        <w:rPr>
          <w:sz w:val="22"/>
          <w:szCs w:val="22"/>
        </w:rPr>
        <w:t>Приложение № 4</w:t>
      </w:r>
    </w:p>
    <w:p>
      <w:pPr>
        <w:pStyle w:val="Normal"/>
        <w:ind w:right="96" w:firstLine="5103"/>
        <w:rPr>
          <w:sz w:val="22"/>
          <w:szCs w:val="22"/>
        </w:rPr>
      </w:pPr>
      <w:r>
        <w:rPr>
          <w:sz w:val="22"/>
          <w:szCs w:val="22"/>
        </w:rPr>
        <w:t>к Договору поставки</w:t>
      </w:r>
    </w:p>
    <w:p>
      <w:pPr>
        <w:pStyle w:val="Normal"/>
        <w:ind w:firstLine="5103"/>
        <w:rPr>
          <w:bCs/>
          <w:sz w:val="24"/>
          <w:szCs w:val="24"/>
        </w:rPr>
      </w:pPr>
      <w:r>
        <w:rPr>
          <w:sz w:val="22"/>
          <w:szCs w:val="22"/>
        </w:rPr>
        <w:t>от «____» __________ 20 ___ г.</w:t>
      </w:r>
      <w:r>
        <w:rPr>
          <w:sz w:val="24"/>
          <w:szCs w:val="24"/>
        </w:rPr>
        <w:t xml:space="preserve"> № _____</w:t>
      </w:r>
    </w:p>
    <w:p>
      <w:pPr>
        <w:pStyle w:val="Normal"/>
        <w:widowControl/>
        <w:shd w:val="clear" w:color="auto" w:fill="FFFFFF"/>
        <w:tabs>
          <w:tab w:val="clear" w:pos="709"/>
          <w:tab w:val="left" w:pos="1418" w:leader="none"/>
        </w:tabs>
        <w:spacing w:before="0" w:after="0"/>
        <w:contextualSpacing/>
        <w:jc w:val="center"/>
        <w:rPr>
          <w:bCs/>
          <w:sz w:val="24"/>
          <w:szCs w:val="24"/>
        </w:rPr>
      </w:pPr>
      <w:r>
        <w:rPr>
          <w:bCs/>
          <w:sz w:val="24"/>
          <w:szCs w:val="24"/>
        </w:rPr>
      </w:r>
    </w:p>
    <w:p>
      <w:pPr>
        <w:pStyle w:val="Normal"/>
        <w:widowControl/>
        <w:spacing w:lineRule="auto" w:line="259"/>
        <w:rPr>
          <w:rFonts w:eastAsia="Calibri"/>
          <w:sz w:val="24"/>
          <w:szCs w:val="24"/>
          <w:lang w:eastAsia="en-US"/>
        </w:rPr>
      </w:pPr>
      <w:r>
        <w:rPr>
          <w:rFonts w:eastAsia="Calibri"/>
          <w:sz w:val="24"/>
          <w:szCs w:val="24"/>
          <w:lang w:eastAsia="en-US"/>
        </w:rPr>
      </w:r>
    </w:p>
    <w:p>
      <w:pPr>
        <w:pStyle w:val="Normal"/>
        <w:jc w:val="center"/>
        <w:rPr>
          <w:b/>
          <w:bCs/>
          <w:sz w:val="24"/>
          <w:szCs w:val="24"/>
        </w:rPr>
      </w:pPr>
      <w:r>
        <w:rPr>
          <w:b/>
          <w:bCs/>
          <w:sz w:val="24"/>
          <w:szCs w:val="24"/>
        </w:rPr>
        <w:t>Размер ответственности Поставщика за нарушения</w:t>
      </w:r>
    </w:p>
    <w:p>
      <w:pPr>
        <w:pStyle w:val="Normal"/>
        <w:jc w:val="center"/>
        <w:rPr>
          <w:b/>
          <w:bCs/>
          <w:sz w:val="24"/>
          <w:szCs w:val="24"/>
        </w:rPr>
      </w:pPr>
      <w:r>
        <w:rPr>
          <w:b/>
          <w:bCs/>
          <w:sz w:val="24"/>
          <w:szCs w:val="24"/>
        </w:rPr>
        <w:t>пропускного и внутриобъектового режима, требований охраны труда,</w:t>
      </w:r>
    </w:p>
    <w:p>
      <w:pPr>
        <w:pStyle w:val="Normal"/>
        <w:jc w:val="center"/>
        <w:rPr>
          <w:b/>
          <w:sz w:val="24"/>
          <w:szCs w:val="24"/>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108" w:type="dxa"/>
        <w:tblLayout w:type="fixed"/>
        <w:tblCellMar>
          <w:top w:w="0" w:type="dxa"/>
          <w:left w:w="108" w:type="dxa"/>
          <w:bottom w:w="0" w:type="dxa"/>
          <w:right w:w="108" w:type="dxa"/>
        </w:tblCellMar>
        <w:tblLook w:noVBand="0" w:val="01e0" w:noHBand="0" w:lastColumn="1" w:firstColumn="1" w:lastRow="1" w:firstRow="1"/>
      </w:tblPr>
      <w:tblGrid>
        <w:gridCol w:w="3670"/>
        <w:gridCol w:w="5966"/>
      </w:tblGrid>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Виды нарушений</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Штрафные санкции</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 Нарушение правил пожарной безопасности (ППБ):</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1.1. Нарушение ППБ без возникновения пожара</w:t>
            </w:r>
          </w:p>
          <w:p>
            <w:pPr>
              <w:pStyle w:val="Normal"/>
              <w:widowControl w:val="false"/>
              <w:rPr>
                <w:b/>
                <w:sz w:val="24"/>
                <w:szCs w:val="24"/>
              </w:rPr>
            </w:pPr>
            <w:r>
              <w:rPr>
                <w:b/>
                <w:sz w:val="24"/>
                <w:szCs w:val="24"/>
              </w:rPr>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25 000 (Двадцать пять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50 000 (Пятьдесят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xml:space="preserve"> </w:t>
            </w:r>
            <w:r>
              <w:rPr>
                <w:sz w:val="24"/>
                <w:szCs w:val="24"/>
              </w:rPr>
              <w:t>250 000 (Двести пятьдесят тысяч) рублей за каждый случай нарушения.</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- 50 000 (Пятьдесят тысяч) рублей за каждый случай нарушения;</w:t>
            </w:r>
          </w:p>
          <w:p>
            <w:pPr>
              <w:pStyle w:val="Normal"/>
              <w:widowControl w:val="false"/>
              <w:jc w:val="both"/>
              <w:rPr>
                <w:sz w:val="24"/>
                <w:szCs w:val="24"/>
              </w:rPr>
            </w:pPr>
            <w:r>
              <w:rPr>
                <w:sz w:val="24"/>
                <w:szCs w:val="24"/>
              </w:rPr>
              <w:t>- 500 (Пятьсот) рублей в случае утраты или приведения в негодность электронного пропуска, выданного Покупателем.</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ind w:left="5103" w:hanging="0"/>
        <w:rPr>
          <w:sz w:val="24"/>
          <w:szCs w:val="24"/>
        </w:rPr>
      </w:pPr>
      <w:r>
        <w:rPr>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9815" w:type="dxa"/>
        <w:jc w:val="left"/>
        <w:tblInd w:w="108" w:type="dxa"/>
        <w:tblLayout w:type="fixed"/>
        <w:tblCellMar>
          <w:top w:w="0" w:type="dxa"/>
          <w:left w:w="108" w:type="dxa"/>
          <w:bottom w:w="0" w:type="dxa"/>
          <w:right w:w="108" w:type="dxa"/>
        </w:tblCellMar>
        <w:tblLook w:noVBand="1" w:val="04a0" w:noHBand="0" w:lastColumn="0" w:firstColumn="1" w:lastRow="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rPr>
                <w:sz w:val="24"/>
                <w:szCs w:val="24"/>
              </w:rPr>
            </w:pPr>
            <w:r>
              <w:rPr>
                <w:sz w:val="24"/>
                <w:szCs w:val="24"/>
              </w:rPr>
            </w:r>
          </w:p>
        </w:tc>
        <w:tc>
          <w:tcPr>
            <w:tcW w:w="4819" w:type="dxa"/>
            <w:tcBorders/>
            <w:shd w:color="auto" w:fill="auto" w:val="clear"/>
          </w:tcPr>
          <w:p>
            <w:pPr>
              <w:pStyle w:val="Normal"/>
              <w:widowControl w:val="false"/>
              <w:ind w:firstLine="34"/>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pStyle w:val="Normal"/>
        <w:ind w:left="5103" w:hanging="0"/>
        <w:rPr>
          <w:b/>
          <w:bCs/>
          <w:sz w:val="24"/>
          <w:szCs w:val="24"/>
        </w:rPr>
      </w:pPr>
      <w:r>
        <w:rPr>
          <w:b/>
          <w:bCs/>
          <w:sz w:val="24"/>
          <w:szCs w:val="24"/>
        </w:rPr>
      </w:r>
    </w:p>
    <w:p>
      <w:pPr>
        <w:pStyle w:val="Normal"/>
        <w:widowControl/>
        <w:rPr>
          <w:sz w:val="24"/>
          <w:szCs w:val="24"/>
        </w:rPr>
      </w:pPr>
      <w:r>
        <w:rPr/>
      </w:r>
    </w:p>
    <w:sectPr>
      <w:headerReference w:type="default" r:id="rId12"/>
      <w:headerReference w:type="first" r:id="rId13"/>
      <w:footerReference w:type="default" r:id="rId14"/>
      <w:footerReference w:type="first" r:id="rId15"/>
      <w:footnotePr>
        <w:numFmt w:val="decimal"/>
      </w:footnotePr>
      <w:type w:val="nextPage"/>
      <w:pgSz w:w="11906" w:h="16838"/>
      <w:pgMar w:left="1418" w:right="851" w:gutter="0" w:header="567" w:top="1134" w:footer="709" w:bottom="1134"/>
      <w:pgNumType w:fmt="decimal"/>
      <w:formProt w:val="false"/>
      <w:textDirection w:val="lrTb"/>
      <w:docGrid w:type="default" w:linePitch="360"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PT Sans">
    <w:charset w:val="01"/>
    <w:family w:val="roman"/>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2</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20</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4"/>
        <w:szCs w:val="24"/>
      </w:rPr>
      <w:fldChar w:fldCharType="begin"/>
    </w:r>
    <w:r>
      <w:rPr>
        <w:sz w:val="24"/>
        <w:szCs w:val="24"/>
      </w:rPr>
      <w:instrText xml:space="preserve"> PAGE </w:instrText>
    </w:r>
    <w:r>
      <w:rPr>
        <w:sz w:val="24"/>
        <w:szCs w:val="24"/>
      </w:rPr>
      <w:fldChar w:fldCharType="separate"/>
    </w:r>
    <w:r>
      <w:rPr>
        <w:sz w:val="24"/>
        <w:szCs w:val="24"/>
      </w:rPr>
      <w:t>22</w:t>
    </w:r>
    <w:r>
      <w:rPr>
        <w:sz w:val="24"/>
        <w:szCs w:val="24"/>
      </w:rPr>
      <w:fldChar w:fldCharType="end"/>
    </w:r>
  </w:p>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widowControl w:val="false"/>
        <w:rPr/>
      </w:pPr>
      <w:r>
        <w:rPr>
          <w:rStyle w:val="Style14"/>
        </w:rPr>
        <w:footnoteRef/>
      </w:r>
      <w:r>
        <w:rPr/>
      </w:r>
    </w:p>
  </w:footnote>
  <w:footnote w:id="3">
    <w:p>
      <w:pPr>
        <w:pStyle w:val="FootnoteText"/>
        <w:widowControl w:val="false"/>
        <w:rPr/>
      </w:pPr>
      <w:r>
        <w:rPr>
          <w:rStyle w:val="Style14"/>
        </w:rPr>
        <w:footnoteRef/>
      </w:r>
      <w:r>
        <w:rPr/>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 xml:space="preserve">ТФД 2.2.1. </w:t>
    </w:r>
  </w:p>
  <w:p>
    <w:pPr>
      <w:pStyle w:val="Normal"/>
      <w:tabs>
        <w:tab w:val="clear" w:pos="709"/>
        <w:tab w:val="left" w:pos="1875" w:leader="none"/>
        <w:tab w:val="center" w:pos="4153" w:leader="none"/>
        <w:tab w:val="right" w:pos="8306" w:leader="none"/>
      </w:tabs>
      <w:rPr>
        <w:i/>
        <w:i/>
      </w:rPr>
    </w:pPr>
    <w:r>
      <w:rPr>
        <w:i/>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ТФД 2.2.1.</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 xml:space="preserve">ТФД 2.2.1. </w:t>
    </w:r>
  </w:p>
  <w:p>
    <w:pPr>
      <w:pStyle w:val="Normal"/>
      <w:tabs>
        <w:tab w:val="clear" w:pos="709"/>
        <w:tab w:val="left" w:pos="1875" w:leader="none"/>
        <w:tab w:val="center" w:pos="4153" w:leader="none"/>
        <w:tab w:val="right" w:pos="8306" w:leader="none"/>
      </w:tabs>
      <w:rPr>
        <w:i/>
        <w:i/>
      </w:rPr>
    </w:pPr>
    <w:r>
      <w:rPr>
        <w:i/>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851"/>
        </w:tabs>
        <w:ind w:left="1851" w:hanging="432"/>
      </w:pPr>
      <w:rPr>
        <w:sz w:val="24"/>
        <w:b w:val="false"/>
        <w:szCs w:val="24"/>
      </w:rPr>
    </w:lvl>
    <w:lvl w:ilvl="2">
      <w:start w:val="1"/>
      <w:numFmt w:val="decimal"/>
      <w:lvlText w:val="%1.%2.%3."/>
      <w:lvlJc w:val="left"/>
      <w:pPr>
        <w:tabs>
          <w:tab w:val="num" w:pos="1855"/>
        </w:tabs>
        <w:ind w:left="1639"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writeProtection w:cryptProviderType="rsaAES" w:cryptAlgorithmClass="hash" w:cryptAlgorithmType="typeAny" w:cryptAlgorithmSid="14" w:cryptSpinCount="100000" w:hash="n/ETRhAocNQe8h/XJYe5YvY5JbmaT6yPNtDxwexGooGf9DKcVYM+kC82trVcayMydKLf/JRz0rnWo9arHrI0Bg==" w:salt="uqEo5nj5qsR3huC0NVNJZg=="/>
  <w:zoom w:percent="110"/>
  <w:revisionView w:insDel="0" w:formatting="0"/>
  <w:defaultTabStop w:val="709"/>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Style7" w:customStyle="1">
    <w:name w:val="Заголовок Знак"/>
    <w:qFormat/>
    <w:locked/>
    <w:rsid w:val="00565582"/>
    <w:rPr>
      <w:b/>
      <w:bCs/>
      <w:sz w:val="24"/>
      <w:szCs w:val="24"/>
      <w:lang w:val="ru-RU" w:eastAsia="ru-RU" w:bidi="ar-SA"/>
    </w:rPr>
  </w:style>
  <w:style w:type="character" w:styleId="Style8"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9" w:customStyle="1">
    <w:name w:val="Текст примечания Знак"/>
    <w:basedOn w:val="DefaultParagraphFont"/>
    <w:link w:val="Annotationtext"/>
    <w:qFormat/>
    <w:rsid w:val="00d36934"/>
    <w:rPr/>
  </w:style>
  <w:style w:type="character" w:styleId="Style10" w:customStyle="1">
    <w:name w:val="Тема примечания Знак"/>
    <w:link w:val="Annotationsubject"/>
    <w:uiPriority w:val="99"/>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1" w:customStyle="1">
    <w:name w:val="Основной текст с отступом Знак"/>
    <w:basedOn w:val="DefaultParagraphFont"/>
    <w:qFormat/>
    <w:rsid w:val="00e00bca"/>
    <w:rPr/>
  </w:style>
  <w:style w:type="character" w:styleId="Style12" w:customStyle="1">
    <w:name w:val="комментарий"/>
    <w:uiPriority w:val="99"/>
    <w:qFormat/>
    <w:rsid w:val="00d562c0"/>
    <w:rPr>
      <w:rFonts w:cs="Times New Roman"/>
      <w:b/>
      <w:bCs/>
      <w:i/>
      <w:iCs/>
      <w:shd w:fill="FFFF99" w:val="clear"/>
    </w:rPr>
  </w:style>
  <w:style w:type="character" w:styleId="Style13" w:customStyle="1">
    <w:name w:val="Текст сноски Знак"/>
    <w:basedOn w:val="DefaultParagraphFont"/>
    <w:uiPriority w:val="99"/>
    <w:qFormat/>
    <w:rsid w:val="00f47c6a"/>
    <w:rPr/>
  </w:style>
  <w:style w:type="character" w:styleId="Style14" w:customStyle="1">
    <w:name w:val="Символ сноски"/>
    <w:uiPriority w:val="99"/>
    <w:qFormat/>
    <w:rsid w:val="00f47c6a"/>
    <w:rPr>
      <w:vertAlign w:val="superscript"/>
    </w:rPr>
  </w:style>
  <w:style w:type="character" w:styleId="FootnoteReference">
    <w:name w:val="Footnote Reference"/>
    <w:rPr>
      <w:vertAlign w:val="superscript"/>
    </w:rPr>
  </w:style>
  <w:style w:type="character" w:styleId="Style15"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6" w:customStyle="1">
    <w:name w:val="Нижний колонтитул Знак"/>
    <w:uiPriority w:val="99"/>
    <w:qFormat/>
    <w:rsid w:val="00d925fb"/>
    <w:rPr/>
  </w:style>
  <w:style w:type="character" w:styleId="Style17" w:customStyle="1">
    <w:name w:val="Абзац списка Знак"/>
    <w:link w:val="ListParagraph"/>
    <w:uiPriority w:val="34"/>
    <w:qFormat/>
    <w:locked/>
    <w:rsid w:val="00182860"/>
    <w:rPr/>
  </w:style>
  <w:style w:type="character" w:styleId="Linenumber1" w:customStyle="1">
    <w:name w:val="line number1"/>
    <w:qFormat/>
    <w:rPr/>
  </w:style>
  <w:style w:type="character" w:styleId="Style18" w:customStyle="1">
    <w:name w:val="Символ концевой сноски"/>
    <w:qFormat/>
    <w:rPr>
      <w:vertAlign w:val="superscript"/>
    </w:rPr>
  </w:style>
  <w:style w:type="character" w:styleId="EndnoteReference">
    <w:name w:val="Endnote Reference"/>
    <w:rPr>
      <w:vertAlign w:val="superscript"/>
    </w:rPr>
  </w:style>
  <w:style w:type="character" w:styleId="FollowedHyperlink">
    <w:name w:val="FollowedHyperlink"/>
    <w:rPr>
      <w:color w:val="800000"/>
      <w:u w:val="single"/>
    </w:rPr>
  </w:style>
  <w:style w:type="character" w:styleId="Linenumber2">
    <w:name w:val="line number2"/>
    <w:qFormat/>
    <w:rPr/>
  </w:style>
  <w:style w:type="character" w:styleId="LineNumber">
    <w:name w:val="Line Number"/>
    <w:rPr/>
  </w:style>
  <w:style w:type="paragraph" w:styleId="Style19">
    <w:name w:val="Заголовок"/>
    <w:basedOn w:val="Normal"/>
    <w:next w:val="BodyText"/>
    <w:qFormat/>
    <w:pPr>
      <w:keepNext w:val="true"/>
      <w:spacing w:before="240" w:after="120"/>
    </w:pPr>
    <w:rPr>
      <w:rFonts w:ascii="PT Sans" w:hAnsi="PT Sans" w:eastAsia="Noto Sans CJK SC" w:cs="Arial Unicode MS"/>
      <w:sz w:val="28"/>
      <w:szCs w:val="28"/>
    </w:rPr>
  </w:style>
  <w:style w:type="paragraph" w:styleId="BodyText">
    <w:name w:val="Body Text"/>
    <w:basedOn w:val="Normal"/>
    <w:link w:val="Style8"/>
    <w:rsid w:val="00084bde"/>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20">
    <w:name w:val="Указатель"/>
    <w:basedOn w:val="Normal"/>
    <w:qFormat/>
    <w:pPr>
      <w:suppressLineNumbers/>
    </w:pPr>
    <w:rPr>
      <w:rFonts w:cs="Arial Unicode MS"/>
    </w:rPr>
  </w:style>
  <w:style w:type="paragraph" w:styleId="Title">
    <w:name w:val="Title"/>
    <w:basedOn w:val="Normal"/>
    <w:next w:val="BodyText"/>
    <w:link w:val="Style7"/>
    <w:qFormat/>
    <w:rsid w:val="00a264b0"/>
    <w:pPr>
      <w:jc w:val="center"/>
    </w:pPr>
    <w:rPr>
      <w:b/>
      <w:bCs/>
      <w:sz w:val="24"/>
      <w:szCs w:val="24"/>
    </w:rPr>
  </w:style>
  <w:style w:type="paragraph" w:styleId="Caption1">
    <w:name w:val="caption1"/>
    <w:basedOn w:val="Normal"/>
    <w:qFormat/>
    <w:pPr>
      <w:suppressLineNumbers/>
      <w:spacing w:before="120" w:after="120"/>
    </w:pPr>
    <w:rPr>
      <w:rFonts w:cs="Arial Unicode MS"/>
      <w:i/>
      <w:iCs/>
      <w:sz w:val="24"/>
      <w:szCs w:val="24"/>
    </w:rPr>
  </w:style>
  <w:style w:type="paragraph" w:styleId="Indexheading">
    <w:name w:val="index heading"/>
    <w:basedOn w:val="Normal"/>
    <w:qFormat/>
    <w:pPr>
      <w:suppressLineNumbers/>
    </w:pPr>
    <w:rPr/>
  </w:style>
  <w:style w:type="paragraph" w:styleId="Caption11" w:customStyle="1">
    <w:name w:val="caption11"/>
    <w:basedOn w:val="Normal"/>
    <w:qFormat/>
    <w:pPr>
      <w:suppressLineNumbers/>
      <w:spacing w:before="120" w:after="120"/>
    </w:pPr>
    <w:rPr>
      <w:i/>
      <w:iCs/>
      <w:sz w:val="24"/>
      <w:szCs w:val="24"/>
    </w:rPr>
  </w:style>
  <w:style w:type="paragraph" w:styleId="Style21"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hanging="0"/>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2" w:customStyle="1">
    <w:name w:val="Колонтитул"/>
    <w:basedOn w:val="Normal"/>
    <w:qFormat/>
    <w:pPr/>
    <w:rPr/>
  </w:style>
  <w:style w:type="paragraph" w:styleId="Footer">
    <w:name w:val="Footer"/>
    <w:basedOn w:val="Normal"/>
    <w:link w:val="Style16"/>
    <w:uiPriority w:val="99"/>
    <w:rsid w:val="008b02a1"/>
    <w:pPr>
      <w:tabs>
        <w:tab w:val="clear" w:pos="709"/>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9"/>
    <w:qFormat/>
    <w:rsid w:val="00d36934"/>
    <w:pPr/>
    <w:rPr/>
  </w:style>
  <w:style w:type="paragraph" w:styleId="Annotationsubject">
    <w:name w:val="annotation subject"/>
    <w:basedOn w:val="Annotationtext"/>
    <w:next w:val="Annotationtext"/>
    <w:link w:val="Style10"/>
    <w:uiPriority w:val="99"/>
    <w:qFormat/>
    <w:rsid w:val="00d36934"/>
    <w:pPr/>
    <w:rPr>
      <w:b/>
      <w:bCs/>
      <w:lang w:val="x-none" w:eastAsia="x-none"/>
    </w:rPr>
  </w:style>
  <w:style w:type="paragraph" w:styleId="ListParagraph">
    <w:name w:val="List Paragraph"/>
    <w:basedOn w:val="Normal"/>
    <w:link w:val="Style17"/>
    <w:uiPriority w:val="34"/>
    <w:qFormat/>
    <w:rsid w:val="00ec6e7d"/>
    <w:pPr>
      <w:spacing w:before="0" w:after="0"/>
      <w:ind w:left="720" w:hanging="0"/>
      <w:contextualSpacing/>
    </w:pPr>
    <w:rPr/>
  </w:style>
  <w:style w:type="paragraph" w:styleId="Style23"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4" w:customStyle="1">
    <w:name w:val="Подпункт договора"/>
    <w:basedOn w:val="Normal"/>
    <w:qFormat/>
    <w:rsid w:val="00d31bfd"/>
    <w:pPr>
      <w:widowControl/>
      <w:tabs>
        <w:tab w:val="clear" w:pos="709"/>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odyTextIndent">
    <w:name w:val="Body Text Indent"/>
    <w:basedOn w:val="Normal"/>
    <w:link w:val="Style11"/>
    <w:rsid w:val="00e00bca"/>
    <w:pPr>
      <w:spacing w:before="0" w:after="120"/>
      <w:ind w:left="283" w:hanging="0"/>
    </w:pPr>
    <w:rPr/>
  </w:style>
  <w:style w:type="paragraph" w:styleId="Style25"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3"/>
    <w:uiPriority w:val="99"/>
    <w:rsid w:val="00f47c6a"/>
    <w:pPr/>
    <w:rPr/>
  </w:style>
  <w:style w:type="paragraph" w:styleId="ListBullet3">
    <w:name w:val="List Bullet 3"/>
    <w:basedOn w:val="Normal"/>
    <w:uiPriority w:val="99"/>
    <w:unhideWhenUsed/>
    <w:qFormat/>
    <w:rsid w:val="00fa3bf9"/>
    <w:pPr>
      <w:widowControl/>
      <w:tabs>
        <w:tab w:val="clear" w:pos="709"/>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9"/>
        <w:tab w:val="left" w:pos="851" w:leader="none"/>
      </w:tabs>
      <w:spacing w:lineRule="auto" w:line="360"/>
      <w:ind w:left="851" w:hanging="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5"/>
    <w:uiPriority w:val="99"/>
    <w:rsid w:val="000449a5"/>
    <w:pPr>
      <w:tabs>
        <w:tab w:val="clear" w:pos="709"/>
        <w:tab w:val="center" w:pos="4677" w:leader="none"/>
        <w:tab w:val="right" w:pos="9355" w:leader="none"/>
      </w:tabs>
    </w:pPr>
    <w:rPr/>
  </w:style>
  <w:style w:type="paragraph" w:styleId="Style26" w:customStyle="1">
    <w:name w:val="Пункт договора"/>
    <w:basedOn w:val="Normal"/>
    <w:qFormat/>
    <w:rsid w:val="00e65842"/>
    <w:pPr>
      <w:jc w:val="both"/>
    </w:pPr>
    <w:rPr>
      <w:rFonts w:ascii="Arial" w:hAnsi="Arial"/>
    </w:rPr>
  </w:style>
  <w:style w:type="paragraph" w:styleId="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1"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eastAsia="Times New Roman" w:cs="Calibri"/>
      <w:color w:val="auto"/>
      <w:kern w:val="0"/>
      <w:sz w:val="22"/>
      <w:szCs w:val="20"/>
      <w:lang w:val="ru-RU" w:eastAsia="ru-RU" w:bidi="ar-SA"/>
    </w:rPr>
  </w:style>
  <w:style w:type="paragraph" w:styleId="Style27">
    <w:name w:val="Содержимое таблицы"/>
    <w:basedOn w:val="Normal"/>
    <w:qFormat/>
    <w:pPr>
      <w:widowControl w:val="false"/>
      <w:suppressLineNumbers/>
    </w:pPr>
    <w:rPr/>
  </w:style>
  <w:style w:type="paragraph" w:styleId="Style28">
    <w:name w:val="Заголовок таблицы"/>
    <w:basedOn w:val="Style27"/>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b">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header" Target="header5.xml"/><Relationship Id="rId13" Type="http://schemas.openxmlformats.org/officeDocument/2006/relationships/header" Target="header6.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footnotes" Target="footnotes.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Relationship Id="rId21" Type="http://schemas.openxmlformats.org/officeDocument/2006/relationships/customXml" Target="../customXml/item1.xml"/><Relationship Id="rId22" Type="http://schemas.openxmlformats.org/officeDocument/2006/relationships/customXml" Target="../customXml/item2.xml"/><Relationship Id="rId23" Type="http://schemas.openxmlformats.org/officeDocument/2006/relationships/customXml" Target="../customXml/item3.xml"/><Relationship Id="rId24"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0BAB9-8B8F-4B85-B8DF-266ED50E1B2E}">
  <ds:schemaRefs>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www.w3.org/XML/1998/namespace"/>
    <ds:schemaRef ds:uri="http://purl.org/dc/elements/1.1/"/>
  </ds:schemaRefs>
</ds:datastoreItem>
</file>

<file path=customXml/itemProps2.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3.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F11F961-83FA-4A84-90C3-05E52B5E8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Application>AlterOffice/3.4.0.9$Linux_X86_64 LibreOffice_project/b8daf9e823b1a5463a2f48435ddc2e8696e7d4fc</Application>
  <AppVersion>15.0000</AppVersion>
  <Pages>20</Pages>
  <Words>7253</Words>
  <Characters>51826</Characters>
  <CharactersWithSpaces>58778</CharactersWithSpaces>
  <Paragraphs>370</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2026-08-12T13:28:00Z</dcterms:created>
  <dc:creator>tsypilev_ag</dc:creator>
  <dc:description/>
  <dc:language>ru-RU</dc:language>
  <cp:lastModifiedBy>resmetovaas@corp.gidroogk.com</cp:lastModifiedBy>
  <cp:lastPrinted>2018-05-22T09:46:00Z</cp:lastPrinted>
  <dcterms:modified xsi:type="dcterms:W3CDTF">2026-08-24T13:23:01Z</dcterms:modified>
  <cp:revision>21</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1</vt:bool>
  </property>
</Properties>
</file>