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4678" w:hanging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keepNext w:val="true"/>
        <w:keepLines/>
        <w:ind w:left="4678" w:hanging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93" w:leader="none"/>
        </w:tabs>
        <w:ind w:left="0" w:firstLine="567"/>
        <w:jc w:val="center"/>
        <w:outlineLvl w:val="0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ОКПД2 32.99.11.199. Поставка средств коллективной защиты при работе на высоте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ind w:left="0" w:firstLine="567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для нужд Саратовского филиала </w:t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</w:t>
      </w:r>
      <w:r>
        <w:rPr>
          <w:rStyle w:val="Style8"/>
          <w:rFonts w:eastAsia="Calibri"/>
          <w:i w:val="false"/>
          <w:sz w:val="24"/>
          <w:szCs w:val="24"/>
          <w:shd w:fill="auto" w:val="clear"/>
        </w:rPr>
        <w:t xml:space="preserve"> </w:t>
      </w:r>
    </w:p>
    <w:p>
      <w:pPr>
        <w:pStyle w:val="Normal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20"/>
        </w:numPr>
        <w:rPr/>
      </w:pPr>
      <w:bookmarkStart w:id="0" w:name="_Toc124846884"/>
      <w:r>
        <w:rPr>
          <w:iCs/>
        </w:rPr>
        <w:t>Общие</w:t>
      </w:r>
      <w:r>
        <w:rPr/>
        <w:t xml:space="preserve"> сведения</w:t>
      </w:r>
      <w:bookmarkEnd w:id="0"/>
    </w:p>
    <w:p>
      <w:pPr>
        <w:pStyle w:val="Heading4"/>
        <w:numPr>
          <w:ilvl w:val="1"/>
          <w:numId w:val="21"/>
        </w:numPr>
        <w:rPr/>
      </w:pPr>
      <w:bookmarkStart w:id="1" w:name="_Toc75446568"/>
      <w:bookmarkStart w:id="2" w:name="_Toc46743506"/>
      <w:r>
        <w:rPr/>
        <w:t>Наименование закупаемой продукции</w:t>
      </w:r>
      <w:bookmarkEnd w:id="1"/>
      <w:bookmarkEnd w:id="2"/>
    </w:p>
    <w:p>
      <w:pPr>
        <w:pStyle w:val="Heading4"/>
        <w:tabs>
          <w:tab w:val="clear" w:pos="0"/>
        </w:tabs>
        <w:ind w:left="0" w:hanging="0"/>
        <w:jc w:val="both"/>
        <w:rPr>
          <w:b w:val="false"/>
          <w:bCs w:val="false"/>
        </w:rPr>
      </w:pPr>
      <w:r>
        <w:rPr>
          <w:b w:val="false"/>
          <w:bCs w:val="false"/>
          <w:lang w:val="ru-RU"/>
        </w:rPr>
        <w:t>ОКПД2 32.99.11.199. Поставка средств коллективной защиты при работе на высоте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нужд Саратовского филиала </w:t>
      </w:r>
      <w:bookmarkStart w:id="3" w:name="_Toc75446569"/>
    </w:p>
    <w:p>
      <w:pPr>
        <w:pStyle w:val="Heading4"/>
        <w:numPr>
          <w:ilvl w:val="1"/>
          <w:numId w:val="9"/>
        </w:numPr>
        <w:rPr/>
      </w:pPr>
      <w:bookmarkStart w:id="4" w:name="_Toc46743507"/>
      <w:r>
        <w:rPr/>
        <w:t xml:space="preserve">Цель </w:t>
      </w:r>
      <w:bookmarkEnd w:id="4"/>
      <w:r>
        <w:rPr/>
        <w:t xml:space="preserve">использования закупаемой продукции </w:t>
      </w:r>
      <w:bookmarkEnd w:id="3"/>
      <w:r>
        <w:rPr/>
        <w:t xml:space="preserve"> </w:t>
      </w:r>
    </w:p>
    <w:p>
      <w:pPr>
        <w:pStyle w:val="210"/>
        <w:numPr>
          <w:ilvl w:val="0"/>
          <w:numId w:val="0"/>
        </w:numPr>
        <w:spacing w:lineRule="auto" w:line="240" w:before="0" w:after="0"/>
        <w:ind w:left="0" w:hanging="0"/>
        <w:rPr/>
      </w:pPr>
      <w:r>
        <w:rPr/>
        <w:t>Обеспечение безопасности работников филиала при выполнении работ на высоте.</w:t>
      </w:r>
    </w:p>
    <w:p>
      <w:pPr>
        <w:pStyle w:val="Heading1"/>
        <w:numPr>
          <w:ilvl w:val="0"/>
          <w:numId w:val="10"/>
        </w:numPr>
        <w:rPr>
          <w:caps/>
          <w:lang w:val="ru-RU"/>
        </w:rPr>
      </w:pPr>
      <w:bookmarkStart w:id="5" w:name="_Toc124846885"/>
      <w:bookmarkStart w:id="6" w:name="_Toc51339693"/>
      <w:bookmarkStart w:id="7" w:name="_Toc75446573"/>
      <w:bookmarkStart w:id="8" w:name="_Toc46743510"/>
      <w:bookmarkStart w:id="9" w:name="_Toc50125126"/>
      <w:bookmarkEnd w:id="8"/>
      <w:bookmarkEnd w:id="9"/>
      <w:r>
        <w:rPr/>
        <w:t>Требования к продукции</w:t>
      </w:r>
      <w:bookmarkEnd w:id="5"/>
      <w:bookmarkEnd w:id="6"/>
      <w:bookmarkEnd w:id="7"/>
    </w:p>
    <w:p>
      <w:pPr>
        <w:pStyle w:val="Heading4"/>
        <w:numPr>
          <w:ilvl w:val="1"/>
          <w:numId w:val="22"/>
        </w:numPr>
        <w:rPr/>
      </w:pPr>
      <w:bookmarkStart w:id="1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>
      <w:pPr>
        <w:pStyle w:val="Heading3"/>
        <w:numPr>
          <w:ilvl w:val="2"/>
          <w:numId w:val="23"/>
        </w:numPr>
        <w:rPr/>
      </w:pPr>
      <w:bookmarkStart w:id="11" w:name="_Toc124846886"/>
      <w:bookmarkStart w:id="12" w:name="_Toc75446575"/>
      <w:r>
        <w:rPr/>
        <w:t>Перечень и объем закупаемой продукции</w:t>
      </w:r>
      <w:bookmarkEnd w:id="11"/>
      <w:bookmarkEnd w:id="12"/>
    </w:p>
    <w:p>
      <w:pPr>
        <w:pStyle w:val="Heading1"/>
        <w:tabs>
          <w:tab w:val="clear" w:pos="0"/>
        </w:tabs>
        <w:ind w:left="0" w:hanging="0"/>
        <w:rPr/>
      </w:pPr>
      <w:bookmarkStart w:id="13" w:name="_Toc124591777"/>
      <w:bookmarkStart w:id="14" w:name="_Toc124591881"/>
      <w:bookmarkStart w:id="15" w:name="_Toc75446576"/>
      <w:bookmarkStart w:id="16" w:name="_Toc124846887"/>
      <w:bookmarkStart w:id="17" w:name="_Toc51339695"/>
      <w:r>
        <w:rPr/>
        <w:t xml:space="preserve">Таблица 1.1 Перечень </w:t>
      </w:r>
      <w:bookmarkEnd w:id="17"/>
      <w:r>
        <w:rPr/>
        <w:t>и объем закупаемой продукции</w:t>
      </w:r>
      <w:bookmarkEnd w:id="13"/>
      <w:bookmarkEnd w:id="14"/>
      <w:bookmarkEnd w:id="15"/>
      <w:bookmarkEnd w:id="16"/>
    </w:p>
    <w:tbl>
      <w:tblPr>
        <w:tblW w:w="98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96"/>
        <w:gridCol w:w="6660"/>
        <w:gridCol w:w="1423"/>
        <w:gridCol w:w="1129"/>
      </w:tblGrid>
      <w:tr>
        <w:trPr>
          <w:tblHeader w:val="true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773" w:hRule="atLeast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93" w:leader="none"/>
              </w:tabs>
              <w:ind w:left="0" w:hanging="0"/>
              <w:outlineLv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FFFFFF" w:val="clear"/>
              </w:rPr>
              <w:t>Средства коллективной защиты при работе на высоте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>
      <w:pPr>
        <w:pStyle w:val="Normal"/>
        <w:keepNext w:val="tru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</w:r>
      <w:r>
        <w:br w:type="page"/>
      </w:r>
    </w:p>
    <w:p>
      <w:pPr>
        <w:pStyle w:val="Heading3"/>
        <w:numPr>
          <w:ilvl w:val="2"/>
          <w:numId w:val="11"/>
        </w:numPr>
        <w:rPr/>
      </w:pPr>
      <w:bookmarkStart w:id="18" w:name="_Toc124846888"/>
      <w:r>
        <w:rPr/>
        <w:t>Требования к срокам поставки продукции</w:t>
      </w:r>
      <w:bookmarkEnd w:id="18"/>
      <w:r>
        <w:rPr/>
        <w:t xml:space="preserve"> </w:t>
      </w:r>
    </w:p>
    <w:p>
      <w:pPr>
        <w:pStyle w:val="Heading1"/>
        <w:tabs>
          <w:tab w:val="clear" w:pos="0"/>
        </w:tabs>
        <w:ind w:left="0" w:hanging="0"/>
        <w:rPr>
          <w:lang w:val="ru-RU"/>
        </w:rPr>
      </w:pPr>
      <w:bookmarkStart w:id="19" w:name="_Toc124591779"/>
      <w:bookmarkStart w:id="20" w:name="_Toc124846889"/>
      <w:bookmarkStart w:id="21" w:name="_Toc124591883"/>
      <w:bookmarkStart w:id="22" w:name="_Toc75446579"/>
      <w:bookmarkStart w:id="23" w:name="_Toc51339697"/>
      <w:bookmarkStart w:id="24" w:name="_Toc50125127"/>
      <w:bookmarkStart w:id="25" w:name="_Toc501251261"/>
      <w:bookmarkEnd w:id="25"/>
      <w:r>
        <w:rPr/>
        <w:t xml:space="preserve">Таблица </w:t>
      </w:r>
      <w:r>
        <w:rPr>
          <w:lang w:val="ru-RU"/>
        </w:rPr>
        <w:t>2</w:t>
      </w:r>
      <w:r>
        <w:rPr/>
        <w:t>.</w:t>
      </w:r>
      <w:r>
        <w:rPr>
          <w:lang w:val="ru-RU"/>
        </w:rPr>
        <w:t>1</w:t>
      </w:r>
      <w:r>
        <w:rPr/>
        <w:t xml:space="preserve"> </w:t>
      </w:r>
      <w:bookmarkStart w:id="26" w:name="_Hlk50465284"/>
      <w:r>
        <w:rPr/>
        <w:t xml:space="preserve">Требования по срокам </w:t>
      </w:r>
      <w:bookmarkEnd w:id="23"/>
      <w:bookmarkEnd w:id="24"/>
      <w:bookmarkEnd w:id="26"/>
      <w:r>
        <w:rPr>
          <w:lang w:val="ru-RU"/>
        </w:rPr>
        <w:t>поставки продукции</w:t>
      </w:r>
      <w:bookmarkEnd w:id="19"/>
      <w:bookmarkEnd w:id="20"/>
      <w:bookmarkEnd w:id="21"/>
      <w:bookmarkEnd w:id="22"/>
      <w:r>
        <w:rPr>
          <w:lang w:val="ru-RU"/>
        </w:rPr>
        <w:t xml:space="preserve"> </w:t>
      </w:r>
    </w:p>
    <w:tbl>
      <w:tblPr>
        <w:tblW w:w="10064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07"/>
        <w:gridCol w:w="2983"/>
        <w:gridCol w:w="3118"/>
        <w:gridCol w:w="3255"/>
      </w:tblGrid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bookmarkStart w:id="27" w:name="_Toc467435101"/>
            <w:bookmarkEnd w:id="27"/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92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93" w:leader="none"/>
              </w:tabs>
              <w:ind w:left="0" w:hanging="0"/>
              <w:outlineLvl w:val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FFFFFF" w:val="clear"/>
              </w:rPr>
              <w:t>Средства коллективной защиты при работе на высоте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С даты подписания договора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В течение 60 календарных дней с даты подписания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851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12"/>
        </w:numPr>
        <w:rPr/>
      </w:pPr>
      <w:bookmarkStart w:id="28" w:name="_Toc75446581"/>
      <w:bookmarkStart w:id="29" w:name="_Toc51339698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  <w:bookmarkEnd w:id="28"/>
      <w:bookmarkEnd w:id="29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2.1. Требование к качеству: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Продукция должна соответствовать обязательным требованиям, установленным нормативными документами, действующими в РФ.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2.2. Продукция должна быть новой, ранее не использовавшейся.</w:t>
      </w:r>
      <w:r>
        <w:rPr/>
        <w:t xml:space="preserve">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2.3. </w:t>
      </w:r>
      <w:r>
        <w:rPr>
          <w:sz w:val="24"/>
          <w:szCs w:val="24"/>
          <w:lang w:eastAsia="ar-SA"/>
        </w:rPr>
        <w:t>При поставке продукции поставщик должен предоставить заверенные копии документов на русском языке, подтверждающих соответствие предлагаемой продукции обязательным требованиям нормативных документов, действующих в РФ, (сертификаты соответствия, проколы испытаний), если такое подтверждение соответствия установлено правилами о техническом регулировании в РФ.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2.4. При поставке вся продукция должна быть укомплектована документами (паспорт изделия) на русском языке, удостоверяющими качество продукции и гарантийные обязательства производителя, выданными производителем продукции.</w:t>
      </w:r>
    </w:p>
    <w:p>
      <w:pPr>
        <w:pStyle w:val="210"/>
        <w:numPr>
          <w:ilvl w:val="0"/>
          <w:numId w:val="0"/>
        </w:numPr>
        <w:spacing w:lineRule="auto" w:line="240" w:before="0" w:after="0"/>
        <w:ind w:left="0" w:hanging="0"/>
        <w:contextualSpacing/>
        <w:rPr>
          <w:szCs w:val="24"/>
        </w:rPr>
      </w:pPr>
      <w:r>
        <w:rPr/>
        <w:t>2.5. В случае поставки продукции иностранного производства, Поставщик обязан предоставить Покупателю копию таможенной декларации и/или иные документы, подтверждающие законность ввоза продукции иностранного производства, а также указать номер таможенной декларации в соответствующей графе счета-фактуры.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bookmarkStart w:id="31" w:name="_Toc124591884"/>
      <w:bookmarkStart w:id="32" w:name="_Toc75446582"/>
      <w:r>
        <w:rPr>
          <w:b/>
          <w:bCs/>
          <w:iCs/>
          <w:sz w:val="24"/>
          <w:szCs w:val="24"/>
        </w:rPr>
        <w:t>Таблица 3. Требования к продукции</w:t>
      </w:r>
      <w:bookmarkEnd w:id="31"/>
      <w:bookmarkEnd w:id="32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 1 Таблицы 1.1. «Перечень и объем закупаемой продукции»): </w:t>
      </w:r>
      <w:r>
        <w:rPr>
          <w:rFonts w:eastAsia="Calibri"/>
          <w:b/>
          <w:color w:val="000000"/>
          <w:sz w:val="24"/>
          <w:szCs w:val="24"/>
          <w:shd w:fill="FFFFFF" w:val="clear"/>
        </w:rPr>
        <w:t>Средства коллективной защиты при работе на высоте</w:t>
      </w:r>
      <w:r>
        <w:rPr>
          <w:rFonts w:eastAsia="Calibri"/>
          <w:b/>
          <w:bCs/>
          <w:iCs/>
          <w:color w:val="000000"/>
          <w:sz w:val="24"/>
          <w:szCs w:val="24"/>
          <w:shd w:fill="FFFFFF" w:val="clear"/>
        </w:rPr>
        <w:t>.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632"/>
        <w:gridCol w:w="2872"/>
        <w:gridCol w:w="5402"/>
        <w:gridCol w:w="3702"/>
        <w:gridCol w:w="2104"/>
      </w:tblGrid>
      <w:tr>
        <w:trPr>
          <w:tblHeader w:val="true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заказчика </w:t>
            </w:r>
          </w:p>
        </w:tc>
        <w:tc>
          <w:tcPr>
            <w:tcW w:w="5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blHeader w:val="true"/>
        </w:trPr>
        <w:tc>
          <w:tcPr>
            <w:tcW w:w="6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5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eastAsia="Calibri"/>
                <w:color w:val="000000"/>
                <w:sz w:val="24"/>
                <w:szCs w:val="24"/>
              </w:rPr>
              <w:t>Система обеспечения коллективной защиты при работе на высоте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Комплектация: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Анкерное устройство класса Е – 2 шт.;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Анкерное устройство типа С 1 шт.;</w:t>
            </w:r>
          </w:p>
          <w:p>
            <w:pPr>
              <w:pStyle w:val="ListParagraph"/>
              <w:widowControl w:val="false"/>
              <w:numPr>
                <w:ilvl w:val="0"/>
                <w:numId w:val="13"/>
              </w:num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Средство защиты втягивающего типа – 4 шт</w:t>
            </w:r>
            <w:bookmarkStart w:id="33" w:name="_GoBack"/>
            <w:bookmarkEnd w:id="33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Набор анкерного устройство класса Е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 xml:space="preserve">Сборные противовесные грузы – не менее 32 шт, 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 xml:space="preserve">Анкерный столбик – не менее 1 шт, </w:t>
            </w:r>
          </w:p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 xml:space="preserve">Точка анкерного крепления – не менее 1 шт. </w:t>
            </w:r>
          </w:p>
        </w:tc>
        <w:tc>
          <w:tcPr>
            <w:tcW w:w="3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анкерного устройства класса Е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Сталь с коррозионностойким покрытием, композитные материалы.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анкерного устройства класса Е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Общий вес не менее 5</w:t>
            </w:r>
            <w:r>
              <w:rPr>
                <w:rFonts w:eastAsia="Calibri"/>
                <w:color w:val="000000"/>
                <w:sz w:val="24"/>
                <w:szCs w:val="24"/>
              </w:rPr>
              <w:t>5</w:t>
            </w:r>
            <w:r>
              <w:rPr>
                <w:rFonts w:eastAsia="Calibri"/>
                <w:color w:val="000000"/>
                <w:sz w:val="24"/>
                <w:szCs w:val="24"/>
              </w:rPr>
              <w:t>0 кг.</w:t>
            </w:r>
          </w:p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Вес элемента не более 20 кг.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анкерного устройства класса Е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Не менее 0,7 м от поверхности с фактором падения 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пользователей анкерного устройства класса Е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Не менее 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</w:t>
            </w:r>
            <w:r>
              <w:rPr>
                <w:color w:val="000000"/>
                <w:sz w:val="24"/>
                <w:szCs w:val="24"/>
              </w:rPr>
              <w:t>анкерного устройства типа С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Нержавеющая сталь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Длина анкерного устройства типа С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Не менее 25 м.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Искробезопасность </w:t>
            </w:r>
            <w:r>
              <w:rPr>
                <w:color w:val="000000"/>
                <w:sz w:val="24"/>
                <w:szCs w:val="24"/>
              </w:rPr>
              <w:t>анкерного устройства типа С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пользователей </w:t>
            </w:r>
            <w:r>
              <w:rPr>
                <w:color w:val="000000"/>
                <w:sz w:val="24"/>
                <w:szCs w:val="24"/>
              </w:rPr>
              <w:t>анкерного устройства типа С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rFonts w:eastAsia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индикатора срыва на анкерном устройстве типа С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Наличие лебедки для натяжения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Да</w:t>
            </w:r>
          </w:p>
        </w:tc>
        <w:tc>
          <w:tcPr>
            <w:tcW w:w="3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Материал корпуса </w:t>
            </w:r>
            <w:r>
              <w:rPr>
                <w:color w:val="000000"/>
                <w:sz w:val="24"/>
                <w:szCs w:val="24"/>
                <w:shd w:fill="auto" w:val="clear"/>
              </w:rPr>
              <w:t>средства защиты втягивающего типа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Ударопрочный пластик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Материал ленты средства защиты втягивающего типа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СВМПЭ</w:t>
            </w:r>
          </w:p>
        </w:tc>
        <w:tc>
          <w:tcPr>
            <w:tcW w:w="3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Вес </w:t>
            </w:r>
            <w:r>
              <w:rPr>
                <w:color w:val="000000"/>
                <w:sz w:val="24"/>
                <w:szCs w:val="24"/>
                <w:shd w:fill="auto" w:val="clear"/>
              </w:rPr>
              <w:t>средства защиты втягивающего типа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 xml:space="preserve">Не более </w:t>
            </w: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3</w:t>
            </w: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 xml:space="preserve"> кг.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Длина </w:t>
            </w:r>
            <w:r>
              <w:rPr>
                <w:color w:val="000000"/>
                <w:sz w:val="24"/>
                <w:szCs w:val="24"/>
                <w:shd w:fill="auto" w:val="clear"/>
              </w:rPr>
              <w:t>ленты средства защиты втягивающего типа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rFonts w:eastAsia="Calibri"/>
                <w:color w:val="000000"/>
                <w:sz w:val="24"/>
                <w:szCs w:val="24"/>
                <w:shd w:fill="auto" w:val="clear"/>
              </w:rPr>
              <w:t>Не менее 6 м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Искробезопасность </w:t>
            </w:r>
            <w:r>
              <w:rPr>
                <w:color w:val="000000"/>
                <w:sz w:val="24"/>
                <w:szCs w:val="24"/>
              </w:rPr>
              <w:t>средства защиты втягивающего типа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индикатора срыва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средства защиты втягивающего типа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>Статистическая прочность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4"/>
              </w:numPr>
              <w:ind w:left="94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Анкерное устройство класса Е – Мин. 15кН;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ind w:left="720" w:hanging="6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Анкерное устройство типа С – Мин. 24кН;</w:t>
            </w:r>
          </w:p>
          <w:p>
            <w:pPr>
              <w:pStyle w:val="ListParagraph"/>
              <w:widowControl w:val="false"/>
              <w:numPr>
                <w:ilvl w:val="0"/>
                <w:numId w:val="14"/>
              </w:numPr>
              <w:ind w:left="94" w:hang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Средство защиты втягивающего типа -</w:t>
            </w:r>
            <w:r>
              <w:rPr>
                <w:color w:val="000000"/>
                <w:sz w:val="24"/>
                <w:szCs w:val="20"/>
              </w:rPr>
              <w:t xml:space="preserve"> Мин. 15 кН.</w:t>
            </w:r>
          </w:p>
        </w:tc>
        <w:tc>
          <w:tcPr>
            <w:tcW w:w="3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sz w:val="24"/>
                <w:szCs w:val="24"/>
              </w:rPr>
              <w:t xml:space="preserve">Срок эксплуатации 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Не менее 10 лет</w:t>
            </w:r>
          </w:p>
        </w:tc>
        <w:tc>
          <w:tcPr>
            <w:tcW w:w="3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rPr/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4"/>
                <w:szCs w:val="24"/>
              </w:rPr>
              <w:t>Не менее 4 лет</w:t>
            </w:r>
          </w:p>
        </w:tc>
        <w:tc>
          <w:tcPr>
            <w:tcW w:w="3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Обязательная сертификация на соответствие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 ТС 019/2011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Обязательное соответствие стандартам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ГОСТ EN 795-2019 (омега, ан. линия) , ГОСТ EN/TS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16415-2015 (омега, ан. линия), ГОСТ Р ЕН 360 (СЗВТ)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доставке, транспортировке, приемке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20" w:after="0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965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10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rPr>
                <w:szCs w:val="24"/>
              </w:rPr>
            </w:pPr>
            <w:r>
              <w:rPr/>
              <w:t>413840, Саратовская область г. Балаково,  Саратовская ГЭС.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751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сохранности упаковки (тары).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производится на в рабочие дни с 8-00 до 12-00 и с 13-00 до 16-00 (по местному времени)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92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по количеству тар и упаковок, в которых осуществлялась её отгрузка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Покупателем в день поставки согласно транспортным и сопроводительным документам, упаковочным листам и другим документам Поставщика, представленным в составе поставки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892" w:hRule="atLeast"/>
        </w:trPr>
        <w:tc>
          <w:tcPr>
            <w:tcW w:w="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  <w:shd w:fill="FFFF00" w:val="clear"/>
              </w:rPr>
            </w:pPr>
            <w:r>
              <w:rPr>
                <w:sz w:val="24"/>
                <w:szCs w:val="24"/>
                <w:shd w:fill="FFFF00" w:val="clear"/>
              </w:rPr>
            </w:r>
          </w:p>
        </w:tc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Документы, передаваемые вместе с изделием</w:t>
            </w:r>
          </w:p>
        </w:tc>
        <w:tc>
          <w:tcPr>
            <w:tcW w:w="5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Поставщик обязан одновременно с передачей изделий передать Покупателю документы относящиеся к изделию, оформленные надлежащим образом: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- паспорта изделий;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168" w:hanging="168"/>
              <w:jc w:val="both"/>
              <w:rPr/>
            </w:pPr>
            <w:r>
              <w:rPr>
                <w:sz w:val="24"/>
                <w:szCs w:val="24"/>
              </w:rPr>
              <w:t>- сертификат соответствия ТР ТС 019/2011;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ind w:left="168" w:hanging="168"/>
              <w:jc w:val="both"/>
              <w:rPr/>
            </w:pPr>
            <w:r>
              <w:rPr>
                <w:sz w:val="24"/>
                <w:szCs w:val="24"/>
              </w:rPr>
              <w:t>- сертификат соответствия ГОСТ 31441.1-2011 (EN 13463-1:2001)</w:t>
            </w:r>
          </w:p>
        </w:tc>
        <w:tc>
          <w:tcPr>
            <w:tcW w:w="3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/>
            </w:pPr>
            <w:r>
              <w:rPr>
                <w:sz w:val="24"/>
                <w:szCs w:val="24"/>
              </w:rPr>
              <w:t>-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892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pacing w:before="60" w:after="60"/>
              <w:ind w:left="-117" w:firstLine="142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Продукции по качеству</w:t>
            </w:r>
          </w:p>
        </w:tc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совместно Покупателем и Поставщиком в соответствии с требованиям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4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</w:r>
    </w:p>
    <w:p>
      <w:pPr>
        <w:pStyle w:val="Normal"/>
        <w:jc w:val="both"/>
        <w:rPr>
          <w:b/>
          <w:bCs/>
          <w:color w:val="2C2D2E"/>
          <w:sz w:val="24"/>
          <w:szCs w:val="24"/>
        </w:rPr>
      </w:pPr>
      <w:r>
        <w:rPr>
          <w:b/>
          <w:bCs/>
          <w:color w:val="2C2D2E"/>
          <w:sz w:val="24"/>
          <w:szCs w:val="24"/>
        </w:rPr>
        <w:t>3. Требования к документации по ценообразованию на этапе закупки.</w:t>
      </w:r>
    </w:p>
    <w:p>
      <w:pPr>
        <w:pStyle w:val="Normal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rPr>
          <w:color w:val="2C2D2E"/>
          <w:sz w:val="24"/>
          <w:szCs w:val="24"/>
        </w:rPr>
      </w:pPr>
      <w:r>
        <w:rPr>
          <w:color w:val="2C2D2E"/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Normal"/>
        <w:jc w:val="both"/>
        <w:rPr/>
      </w:pPr>
      <w:r>
        <w:rPr/>
      </w:r>
    </w:p>
    <w:sectPr>
      <w:headerReference w:type="default" r:id="rId4"/>
      <w:headerReference w:type="first" r:id="rId5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7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538" w:hanging="450"/>
      </w:pPr>
      <w:rPr>
        <w:sz w:val="24"/>
        <w:b w:val="false"/>
        <w:rFonts w:ascii="Times New Roman" w:hAnsi="Times New Roman"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52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58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524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53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9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2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908" w:hanging="1440"/>
      </w:pPr>
      <w:rPr/>
    </w:lvl>
  </w:abstractNum>
  <w:abstractNum w:abstractNumId="8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15"/>
    <w:lvlOverride w:ilvl="0">
      <w:startOverride w:val="1"/>
    </w:lvlOverride>
  </w:num>
  <w:num w:numId="21">
    <w:abstractNumId w:val="15"/>
  </w:num>
  <w:num w:numId="22">
    <w:abstractNumId w:val="10"/>
  </w:num>
  <w:num w:numId="23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tabs>
        <w:tab w:val="clear" w:pos="708"/>
        <w:tab w:val="left" w:pos="0" w:leader="none"/>
      </w:tabs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 w:customStyle="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7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Style22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link w:val="25"/>
    <w:qFormat/>
    <w:rPr>
      <w:b/>
      <w:sz w:val="28"/>
    </w:rPr>
  </w:style>
  <w:style w:type="character" w:styleId="13" w:customStyle="1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 w:customStyle="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23" w:customStyle="1">
    <w:name w:val="Нормальный2 Знак"/>
    <w:basedOn w:val="DefaultParagraphFont"/>
    <w:link w:val="210"/>
    <w:qFormat/>
    <w:rPr>
      <w:rFonts w:eastAsia="Calibri" w:cs="Times New Roman"/>
      <w:color w:val="000000"/>
      <w:sz w:val="24"/>
      <w:szCs w:val="22"/>
      <w:lang w:eastAsia="en-US"/>
    </w:rPr>
  </w:style>
  <w:style w:type="character" w:styleId="Style14" w:customStyle="1">
    <w:name w:val="Символ нумерации"/>
    <w:qFormat/>
    <w:rPr/>
  </w:style>
  <w:style w:type="character" w:styleId="WW8Num9z0" w:customStyle="1">
    <w:name w:val="WW8Num9z0"/>
    <w:qFormat/>
    <w:rPr>
      <w:rFonts w:ascii="Times New Roman" w:hAnsi="Times New Roman" w:cs="Times New Roman"/>
    </w:rPr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character" w:styleId="15" w:customStyle="1">
    <w:name w:val="Строгий1"/>
    <w:qFormat/>
    <w:rPr>
      <w:b/>
      <w:bCs/>
    </w:rPr>
  </w:style>
  <w:style w:type="character" w:styleId="Tooltip" w:customStyle="1">
    <w:name w:val="tooltip"/>
    <w:basedOn w:val="DefaultParagraphFont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cs="Calibri"/>
      <w:sz w:val="20"/>
      <w:szCs w:val="20"/>
    </w:rPr>
  </w:style>
  <w:style w:type="paragraph" w:styleId="Style23" w:customStyle="1">
    <w:name w:val="Раздел регламента"/>
    <w:basedOn w:val="Normal"/>
    <w:qFormat/>
    <w:pPr/>
    <w:rPr/>
  </w:style>
  <w:style w:type="paragraph" w:styleId="Style24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cs="Calibri"/>
      <w:sz w:val="20"/>
      <w:szCs w:val="20"/>
    </w:rPr>
  </w:style>
  <w:style w:type="paragraph" w:styleId="26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ind w:left="708" w:hanging="0"/>
    </w:pPr>
    <w:rPr/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pPr>
      <w:numPr>
        <w:ilvl w:val="3"/>
        <w:numId w:val="3"/>
      </w:numPr>
      <w:spacing w:lineRule="exact" w:line="360" w:before="120" w:after="0"/>
      <w:jc w:val="both"/>
      <w:outlineLvl w:val="3"/>
    </w:pPr>
    <w:rPr>
      <w:sz w:val="26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3"/>
      </w:numPr>
      <w:spacing w:lineRule="exact" w:line="360" w:before="120" w:after="0"/>
      <w:jc w:val="both"/>
      <w:outlineLvl w:val="4"/>
    </w:pPr>
    <w:rPr>
      <w:sz w:val="26"/>
      <w:lang w:eastAsia="en-US"/>
    </w:rPr>
  </w:style>
  <w:style w:type="paragraph" w:styleId="28" w:customStyle="1">
    <w:name w:val="УРОВЕНЬ_Абзац_тип2"/>
    <w:basedOn w:val="ListParagraph"/>
    <w:qFormat/>
    <w:pPr>
      <w:numPr>
        <w:ilvl w:val="6"/>
        <w:numId w:val="3"/>
      </w:numPr>
      <w:spacing w:lineRule="exact" w:line="360" w:before="120" w:after="0"/>
      <w:jc w:val="both"/>
    </w:pPr>
    <w:rPr>
      <w:sz w:val="26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3"/>
      </w:numPr>
      <w:spacing w:lineRule="exact" w:line="360" w:before="120" w:after="0"/>
      <w:jc w:val="both"/>
    </w:pPr>
    <w:rPr>
      <w:sz w:val="26"/>
      <w:lang w:eastAsia="en-US"/>
    </w:rPr>
  </w:style>
  <w:style w:type="paragraph" w:styleId="Style32" w:customStyle="1">
    <w:name w:val="УРОВЕНЬ_Подпись"/>
    <w:basedOn w:val="ListParagraph"/>
    <w:qFormat/>
    <w:pPr>
      <w:keepNext w:val="true"/>
      <w:numPr>
        <w:ilvl w:val="5"/>
        <w:numId w:val="3"/>
      </w:numPr>
      <w:spacing w:lineRule="exact" w:line="360" w:before="120" w:after="120"/>
      <w:jc w:val="right"/>
      <w:outlineLvl w:val="3"/>
    </w:pPr>
    <w:rPr>
      <w:sz w:val="26"/>
      <w:lang w:eastAsia="en-US"/>
    </w:rPr>
  </w:style>
  <w:style w:type="paragraph" w:styleId="110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9" w:customStyle="1">
    <w:name w:val="Заголовок 2 КВВ"/>
    <w:basedOn w:val="Normal"/>
    <w:qFormat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 w:customStyle="1">
    <w:name w:val="УРОВЕНЬ_1."/>
    <w:basedOn w:val="ListParagraph"/>
    <w:link w:val="13"/>
    <w:qFormat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210" w:customStyle="1">
    <w:name w:val="Нормальный2"/>
    <w:basedOn w:val="Normal"/>
    <w:link w:val="23"/>
    <w:qFormat/>
    <w:pPr>
      <w:numPr>
        <w:ilvl w:val="1"/>
        <w:numId w:val="7"/>
      </w:numPr>
      <w:tabs>
        <w:tab w:val="clear" w:pos="708"/>
        <w:tab w:val="left" w:pos="426" w:leader="none"/>
      </w:tabs>
      <w:spacing w:lineRule="auto" w:line="259" w:before="0" w:after="160"/>
      <w:jc w:val="both"/>
    </w:pPr>
    <w:rPr>
      <w:rFonts w:eastAsia="Calibri"/>
      <w:color w:val="000000"/>
      <w:sz w:val="24"/>
      <w:szCs w:val="22"/>
      <w:lang w:eastAsia="en-US"/>
    </w:rPr>
  </w:style>
  <w:style w:type="paragraph" w:styleId="Style34" w:customStyle="1">
    <w:name w:val="Нормальный"/>
    <w:basedOn w:val="210"/>
    <w:next w:val="210"/>
    <w:qFormat/>
    <w:pPr>
      <w:tabs>
        <w:tab w:val="left" w:pos="360" w:leader="none"/>
        <w:tab w:val="left" w:pos="426" w:leader="none"/>
      </w:tabs>
      <w:ind w:left="360" w:hanging="0"/>
    </w:pPr>
    <w:rPr>
      <w:b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HTMLPreformatted">
    <w:name w:val="HTML Preformatted"/>
    <w:basedOn w:val="Normal"/>
    <w:qFormat/>
    <w:pPr>
      <w:ind w:left="1080" w:hanging="0"/>
    </w:pPr>
    <w:rPr>
      <w:rFonts w:ascii="Courier New" w:hAnsi="Courier New" w:cs="Courier New"/>
      <w:spacing w:val="-5"/>
      <w:sz w:val="20"/>
      <w:szCs w:val="20"/>
    </w:rPr>
  </w:style>
  <w:style w:type="paragraph" w:styleId="Style3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qFormat/>
  </w:style>
  <w:style w:type="numbering" w:styleId="211" w:customStyle="1">
    <w:name w:val="Стиль2"/>
    <w:qFormat/>
  </w:style>
  <w:style w:type="numbering" w:styleId="WW8Num9" w:customStyle="1">
    <w:name w:val="WW8Num9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AlterOffice/3.4.0.9$Linux_X86_64 LibreOffice_project/b8daf9e823b1a5463a2f48435ddc2e8696e7d4fc</Application>
  <AppVersion>15.0000</AppVersion>
  <Pages>8</Pages>
  <Words>922</Words>
  <Characters>6079</Characters>
  <CharactersWithSpaces>6806</CharactersWithSpaces>
  <Paragraphs>205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2026-05-19T13:25:00Z</dcterms:created>
  <dc:creator>Быстров Олег Геннадьевич</dc:creator>
  <dc:description/>
  <dc:language>ru-RU</dc:language>
  <cp:lastModifiedBy>beloklokovss@corp.gidroogk.com</cp:lastModifiedBy>
  <cp:lastPrinted>2025-06-04T12:43:00Z</cp:lastPrinted>
  <dcterms:modified xsi:type="dcterms:W3CDTF">2026-05-29T08:08:20Z</dcterms:modified>
  <cp:revision>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