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/>
      </w:pPr>
      <w:r>
        <w:rPr/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поставку МТР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highlight w:val="none"/>
          <w:shd w:fill="FFFF00" w:val="clear"/>
        </w:rPr>
      </w:pPr>
      <w:r>
        <w:rPr>
          <w:rFonts w:eastAsia="Calibri"/>
          <w:b/>
          <w:shd w:fill="auto" w:val="clear"/>
        </w:rPr>
        <w:t>ОКПД2 2</w:t>
      </w:r>
      <w:r>
        <w:rPr>
          <w:rFonts w:eastAsia="Calibri"/>
          <w:b/>
          <w:shd w:fill="auto" w:val="clear"/>
        </w:rPr>
        <w:t>5</w:t>
      </w:r>
      <w:r>
        <w:rPr>
          <w:rFonts w:eastAsia="Calibri"/>
          <w:b/>
          <w:shd w:fill="auto" w:val="clear"/>
        </w:rPr>
        <w:t>.</w:t>
      </w:r>
      <w:r>
        <w:rPr>
          <w:rFonts w:eastAsia="Calibri"/>
          <w:b/>
          <w:shd w:fill="auto" w:val="clear"/>
        </w:rPr>
        <w:t>73</w:t>
      </w:r>
      <w:r>
        <w:rPr>
          <w:rFonts w:eastAsia="Calibri"/>
          <w:b/>
          <w:shd w:fill="auto" w:val="clear"/>
        </w:rPr>
        <w:t>.4</w:t>
      </w:r>
      <w:r>
        <w:rPr>
          <w:rFonts w:eastAsia="Calibri"/>
          <w:b/>
          <w:shd w:fill="auto" w:val="clear"/>
        </w:rPr>
        <w:t>0</w:t>
      </w:r>
      <w:r>
        <w:rPr>
          <w:rFonts w:eastAsia="Calibri"/>
          <w:b/>
          <w:shd w:fill="auto" w:val="clear"/>
        </w:rPr>
        <w:t>.</w:t>
      </w:r>
      <w:r>
        <w:rPr>
          <w:rFonts w:eastAsia="Calibri"/>
          <w:b/>
          <w:shd w:fill="auto" w:val="clear"/>
        </w:rPr>
        <w:t>2</w:t>
      </w:r>
      <w:r>
        <w:rPr>
          <w:rFonts w:eastAsia="Calibri"/>
          <w:b/>
          <w:shd w:fill="auto" w:val="clear"/>
        </w:rPr>
        <w:t xml:space="preserve">90 Поставка </w:t>
      </w:r>
      <w:r>
        <w:rPr>
          <w:rFonts w:eastAsia="Calibri"/>
          <w:b/>
          <w:shd w:fill="auto" w:val="clear"/>
        </w:rPr>
        <w:t>инструментов</w:t>
      </w:r>
      <w:r>
        <w:rPr>
          <w:rFonts w:eastAsia="Calibri"/>
          <w:b/>
          <w:shd w:fill="auto" w:val="clear"/>
        </w:rPr>
        <w:t xml:space="preserve"> для филиала ПАО "РусГидро"-"Зейская ГЭС"</w:t>
      </w:r>
    </w:p>
    <w:p>
      <w:pPr>
        <w:pStyle w:val="Normal"/>
        <w:jc w:val="center"/>
        <w:rPr>
          <w:rFonts w:eastAsia="Calibri"/>
          <w:b/>
          <w:highlight w:val="none"/>
          <w:shd w:fill="FFFF00" w:val="clear"/>
        </w:rPr>
      </w:pPr>
      <w:r>
        <w:rPr>
          <w:rFonts w:eastAsia="Calibri"/>
          <w:b/>
          <w:shd w:fill="FFFF00" w:val="clear"/>
        </w:rPr>
      </w:r>
    </w:p>
    <w:p>
      <w:pPr>
        <w:pStyle w:val="Normal"/>
        <w:jc w:val="center"/>
        <w:rPr>
          <w:rFonts w:eastAsia="Calibri"/>
          <w:b/>
          <w:highlight w:val="none"/>
          <w:shd w:fill="FFFF00" w:val="clear"/>
        </w:rPr>
      </w:pPr>
      <w:r>
        <w:rPr>
          <w:rFonts w:eastAsia="Calibri"/>
          <w:b/>
          <w:shd w:fill="FFFF00" w:val="clear"/>
        </w:rPr>
      </w:r>
    </w:p>
    <w:p>
      <w:pPr>
        <w:pStyle w:val="Normal"/>
        <w:jc w:val="center"/>
        <w:rPr>
          <w:rFonts w:eastAsia="Calibri"/>
          <w:b/>
          <w:highlight w:val="none"/>
          <w:shd w:fill="FFFF00" w:val="clear"/>
        </w:rPr>
      </w:pPr>
      <w:r>
        <w:rPr>
          <w:rFonts w:eastAsia="Calibri"/>
          <w:b/>
          <w:shd w:fill="FFFF00" w:val="clear"/>
        </w:rPr>
      </w:r>
    </w:p>
    <w:p>
      <w:pPr>
        <w:pStyle w:val="Normal"/>
        <w:jc w:val="center"/>
        <w:rPr>
          <w:rFonts w:eastAsia="Calibri"/>
          <w:b/>
          <w:highlight w:val="none"/>
          <w:shd w:fill="FFFF00" w:val="clear"/>
        </w:rPr>
      </w:pPr>
      <w:r>
        <w:rPr>
          <w:rFonts w:eastAsia="Calibri"/>
          <w:b/>
          <w:shd w:fill="FFFF00" w:val="clear"/>
        </w:rPr>
      </w:r>
    </w:p>
    <w:p>
      <w:pPr>
        <w:pStyle w:val="Normal"/>
        <w:keepNext w:val="true"/>
        <w:keepLines/>
        <w:jc w:val="center"/>
        <w:rPr>
          <w:highlight w:val="none"/>
          <w:shd w:fill="FFFF00" w:val="clear"/>
        </w:rPr>
      </w:pPr>
      <w:r>
        <w:rPr>
          <w:shd w:fill="FFFF00" w:val="clear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</w:rPr>
          </w:pPr>
          <w:r>
            <w:fldChar w:fldCharType="begin"/>
          </w:r>
          <w:r>
            <w:rPr>
              <w:webHidden/>
              <w:rStyle w:val="Style11"/>
              <w:sz w:val="20"/>
              <w:szCs w:val="20"/>
              <w:vanish w:val="false"/>
              <w:color w:val="auto"/>
            </w:rPr>
            <w:instrText xml:space="preserve"> TOC \z \o "1-4" \u \h</w:instrText>
          </w:r>
          <w:r>
            <w:rPr>
              <w:webHidden/>
              <w:rStyle w:val="Style11"/>
              <w:sz w:val="20"/>
              <w:szCs w:val="20"/>
              <w:vanish w:val="false"/>
              <w:color w:val="auto"/>
            </w:rPr>
            <w:fldChar w:fldCharType="separate"/>
          </w:r>
          <w:hyperlink w:anchor="_Toc75446566">
            <w:r>
              <w:rPr>
                <w:webHidden/>
                <w:rStyle w:val="Style11"/>
                <w:vanish w:val="false"/>
                <w:color w:val="auto"/>
                <w:sz w:val="20"/>
                <w:szCs w:val="20"/>
              </w:rPr>
              <w:t>1.Общие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1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</w:rPr>
          </w:pPr>
          <w:hyperlink w:anchor="_Toc75446567">
            <w:r>
              <w:rPr>
                <w:webHidden/>
                <w:rStyle w:val="Style11"/>
                <w:vanish w:val="false"/>
                <w:color w:val="auto"/>
              </w:rPr>
              <w:t>1.1.</w:t>
            </w:r>
            <w:r>
              <w:rPr>
                <w:rStyle w:val="Style11"/>
                <w:rFonts w:eastAsia="" w:cs="" w:ascii="Calibri" w:hAnsi="Calibri" w:asciiTheme="minorHAnsi" w:cstheme="minorBidi" w:eastAsiaTheme="minorEastAsia" w:hAnsiTheme="minorHAnsi"/>
              </w:rPr>
              <w:tab/>
            </w:r>
            <w:r>
              <w:rPr>
                <w:rStyle w:val="Style11"/>
                <w:color w:val="auto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1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</w:rPr>
          </w:pPr>
          <w:hyperlink w:anchor="_Toc75446568">
            <w:r>
              <w:rPr>
                <w:webHidden/>
                <w:rStyle w:val="Style11"/>
                <w:vanish w:val="false"/>
                <w:color w:val="auto"/>
              </w:rPr>
              <w:t>1.2.</w:t>
            </w:r>
            <w:r>
              <w:rPr>
                <w:rStyle w:val="Style11"/>
                <w:rFonts w:eastAsia="" w:cs="" w:ascii="Calibri" w:hAnsi="Calibri" w:asciiTheme="minorHAnsi" w:cstheme="minorBidi" w:eastAsiaTheme="minorEastAsia" w:hAnsiTheme="minorHAnsi"/>
              </w:rPr>
              <w:tab/>
            </w:r>
            <w:r>
              <w:rPr>
                <w:rStyle w:val="Style11"/>
                <w:color w:val="auto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1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</w:rPr>
          </w:pPr>
          <w:hyperlink w:anchor="_Toc75446569">
            <w:r>
              <w:rPr>
                <w:webHidden/>
                <w:rStyle w:val="Style11"/>
                <w:vanish w:val="false"/>
                <w:color w:val="auto"/>
              </w:rPr>
              <w:t>1.3.</w:t>
            </w:r>
            <w:r>
              <w:rPr>
                <w:rStyle w:val="Style11"/>
                <w:rFonts w:eastAsia="" w:cs="" w:ascii="Calibri" w:hAnsi="Calibri" w:asciiTheme="minorHAnsi" w:cstheme="minorBidi" w:eastAsiaTheme="minorEastAsia" w:hAnsiTheme="minorHAnsi"/>
              </w:rPr>
              <w:tab/>
            </w:r>
            <w:r>
              <w:rPr>
                <w:rStyle w:val="Style11"/>
                <w:color w:val="auto"/>
              </w:rPr>
              <w:t>Цель использования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1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</w:rPr>
          </w:pPr>
          <w:r>
            <w:rPr>
              <w:rFonts w:eastAsia="" w:cs="" w:cstheme="minorBidi" w:eastAsiaTheme="minorEastAsia" w:ascii="Calibri" w:hAnsi="Calibri"/>
            </w:rPr>
          </w:r>
        </w:p>
        <w:p>
          <w:pPr>
            <w:pStyle w:val="TOC1"/>
            <w:rPr/>
          </w:pPr>
          <w:hyperlink w:anchor="_Toc75446573">
            <w:r>
              <w:rPr>
                <w:webHidden/>
                <w:rStyle w:val="Style11"/>
                <w:vanish w:val="false"/>
                <w:color w:val="auto"/>
                <w:sz w:val="20"/>
                <w:szCs w:val="20"/>
              </w:rPr>
              <w:t>2.</w:t>
            </w:r>
            <w:r>
              <w:rPr>
                <w:rStyle w:val="Style11"/>
                <w:iCs/>
                <w:color w:val="auto"/>
                <w:sz w:val="20"/>
                <w:szCs w:val="20"/>
              </w:rPr>
              <w:t>Требования к продукции</w:t>
            </w:r>
            <w:r>
              <w:rPr>
                <w:rStyle w:val="Style11"/>
                <w:vanish w:val="false"/>
              </w:rPr>
              <w:tab/>
            </w:r>
          </w:hyperlink>
          <w:r>
            <w:rPr/>
            <w:t xml:space="preserve">4   </w:t>
          </w:r>
        </w:p>
        <w:p>
          <w:pPr>
            <w:pStyle w:val="Normal"/>
            <w:ind w:firstLine="567"/>
            <w:rPr>
              <w:sz w:val="20"/>
              <w:szCs w:val="20"/>
            </w:rPr>
          </w:pPr>
          <w:r>
            <w:rPr>
              <w:sz w:val="20"/>
              <w:szCs w:val="20"/>
            </w:rPr>
            <w:t>2.1. Требования к объемам и срокам поставки………………………………………………………….…..4</w:t>
          </w:r>
        </w:p>
        <w:p>
          <w:pPr>
            <w:pStyle w:val="TOC1"/>
            <w:rPr/>
          </w:pPr>
          <w:r>
            <w:rPr/>
            <w:t xml:space="preserve">  </w:t>
          </w:r>
          <w:hyperlink w:anchor="_Toc75446575">
            <w:r>
              <w:rPr>
                <w:webHidden/>
                <w:rStyle w:val="Style11"/>
                <w:b w:val="false"/>
                <w:vanish w:val="false"/>
                <w:color w:val="auto"/>
                <w:sz w:val="20"/>
                <w:szCs w:val="20"/>
              </w:rPr>
              <w:t>2.1.1.Перечень и объем закупаемой продукции</w:t>
            </w:r>
            <w:r>
              <w:rPr>
                <w:rStyle w:val="Style11"/>
                <w:vanish w:val="false"/>
              </w:rPr>
              <w:tab/>
            </w:r>
          </w:hyperlink>
          <w:hyperlink w:anchor="_Toc7544657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1"/>
                <w:vanish w:val="false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/>
          </w:pPr>
          <w:hyperlink w:anchor="_Toc75446577">
            <w:r>
              <w:rPr>
                <w:webHidden/>
                <w:rStyle w:val="Style11"/>
                <w:vanish w:val="false"/>
                <w:color w:val="auto"/>
                <w:sz w:val="20"/>
                <w:szCs w:val="20"/>
              </w:rPr>
              <w:t>Таблица 1. Перечень и объем закупаемой продукции</w:t>
            </w:r>
            <w:r>
              <w:rPr>
                <w:rStyle w:val="Style11"/>
                <w:vanish w:val="false"/>
              </w:rPr>
              <w:tab/>
            </w:r>
          </w:hyperlink>
          <w:r>
            <w:rPr/>
            <w:t>4</w:t>
          </w:r>
        </w:p>
        <w:p>
          <w:pPr>
            <w:pStyle w:val="Normal"/>
            <w:ind w:firstLine="426"/>
            <w:rPr>
              <w:rFonts w:cs="Calibri Light (Заголовки)"/>
              <w:bCs/>
              <w:color w:val="auto"/>
              <w:sz w:val="20"/>
              <w:szCs w:val="20"/>
              <w:u w:val="none"/>
            </w:rPr>
          </w:pPr>
          <w:r>
            <w:rPr>
              <w:rFonts w:eastAsia="" w:eastAsiaTheme="minorEastAsia"/>
              <w:sz w:val="20"/>
              <w:szCs w:val="20"/>
            </w:rPr>
            <w:t xml:space="preserve">  </w:t>
          </w:r>
          <w:r>
            <w:rPr>
              <w:rFonts w:eastAsia="" w:eastAsiaTheme="minorEastAsia"/>
              <w:sz w:val="20"/>
              <w:szCs w:val="20"/>
            </w:rPr>
            <w:t>2</w:t>
          </w:r>
          <w:r>
            <w:rPr>
              <w:rFonts w:cs="Calibri Light (Заголовки)"/>
              <w:bCs/>
              <w:color w:val="auto"/>
              <w:sz w:val="20"/>
              <w:szCs w:val="20"/>
              <w:u w:val="none"/>
            </w:rPr>
            <w:t>.1.2.Требования по срокам поставки продукции…………………………………………….……………..4</w:t>
          </w:r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</w:rPr>
          </w:pPr>
          <w:hyperlink w:anchor="_Toc75446581">
            <w:r>
              <w:rPr>
                <w:webHidden/>
                <w:rStyle w:val="Style11"/>
                <w:vanish w:val="false"/>
                <w:color w:val="auto"/>
              </w:rPr>
              <w:t>2.2.</w:t>
            </w:r>
            <w:r>
              <w:rPr>
                <w:rStyle w:val="Style11"/>
                <w:rFonts w:eastAsia="" w:cs="" w:ascii="Calibri" w:hAnsi="Calibri" w:asciiTheme="minorHAnsi" w:cstheme="minorBidi" w:eastAsiaTheme="minorEastAsia" w:hAnsiTheme="minorHAnsi"/>
              </w:rPr>
              <w:tab/>
            </w:r>
            <w:r>
              <w:rPr>
                <w:rStyle w:val="Style11"/>
                <w:color w:val="auto"/>
              </w:rPr>
              <w:t>Требования к качеству продукции</w:t>
            </w:r>
            <w:r>
              <w:rPr>
                <w:rStyle w:val="Style11"/>
                <w:vanish w:val="false"/>
              </w:rPr>
              <w:tab/>
            </w:r>
          </w:hyperlink>
          <w:r>
            <w:rPr/>
            <w:t>4</w:t>
          </w:r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</w:rPr>
          </w:pPr>
          <w:hyperlink w:anchor="_Toc75446582">
            <w:r>
              <w:rPr>
                <w:webHidden/>
                <w:rStyle w:val="Style11"/>
                <w:vanish w:val="false"/>
                <w:color w:val="auto"/>
                <w:sz w:val="20"/>
                <w:szCs w:val="20"/>
              </w:rPr>
              <w:t>Таблица 2. Требования к продукции</w:t>
            </w:r>
            <w:r>
              <w:rPr>
                <w:rStyle w:val="Style11"/>
                <w:vanish w:val="false"/>
              </w:rPr>
              <w:tab/>
            </w:r>
          </w:hyperlink>
          <w:r>
            <w:rPr/>
            <w:t>4</w:t>
          </w:r>
        </w:p>
        <w:p>
          <w:pPr>
            <w:pStyle w:val="TOC1"/>
            <w:rPr/>
          </w:pPr>
          <w:hyperlink w:anchor="_Toc75446583">
            <w:r>
              <w:rPr>
                <w:webHidden/>
                <w:rStyle w:val="Style11"/>
                <w:vanish w:val="false"/>
                <w:color w:val="auto"/>
                <w:sz w:val="20"/>
                <w:szCs w:val="20"/>
              </w:rPr>
              <w:t>3.Требования к документации по ценообразованию на этапе закупки</w:t>
            </w:r>
            <w:r>
              <w:rPr>
                <w:rStyle w:val="Style11"/>
                <w:vanish w:val="false"/>
              </w:rPr>
              <w:tab/>
            </w:r>
          </w:hyperlink>
          <w:r>
            <w:rPr/>
            <w:t>5</w:t>
          </w:r>
        </w:p>
        <w:p>
          <w:pPr>
            <w:pStyle w:val="Normal"/>
            <w:rPr/>
          </w:pPr>
          <w:r>
            <w:rPr/>
          </w:r>
        </w:p>
        <w:p>
          <w:pPr>
            <w:pStyle w:val="Normal"/>
            <w:rPr>
              <w:rFonts w:eastAsia="" w:eastAsiaTheme="minorEastAsia"/>
              <w:b/>
              <w:sz w:val="20"/>
              <w:szCs w:val="20"/>
            </w:rPr>
          </w:pPr>
          <w:r>
            <w:rPr>
              <w:rFonts w:eastAsia="" w:eastAsiaTheme="minorEastAsia"/>
            </w:rPr>
            <w:t xml:space="preserve">       </w:t>
          </w:r>
          <w:r>
            <w:rPr>
              <w:rFonts w:eastAsia="" w:eastAsiaTheme="minorEastAsia"/>
              <w:b/>
              <w:sz w:val="20"/>
              <w:szCs w:val="20"/>
            </w:rPr>
            <w:t>Приложение №1 к Техническим требованиям……………………………………………..……………..6</w:t>
          </w:r>
          <w:r>
            <w:rPr>
              <w:sz w:val="20"/>
              <w:b/>
              <w:szCs w:val="20"/>
              <w:rFonts w:eastAsia=""/>
            </w:rPr>
            <w:fldChar w:fldCharType="end"/>
          </w:r>
        </w:p>
      </w:sdtContent>
    </w:sdt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1"/>
        <w:keepLines/>
        <w:numPr>
          <w:ilvl w:val="0"/>
          <w:numId w:val="2"/>
        </w:numPr>
        <w:tabs>
          <w:tab w:val="clear" w:pos="708"/>
          <w:tab w:val="left" w:pos="284" w:leader="none"/>
        </w:tabs>
        <w:ind w:left="0" w:hanging="0"/>
        <w:jc w:val="center"/>
        <w:rPr>
          <w:caps/>
          <w:lang w:val="ru-RU"/>
        </w:rPr>
      </w:pPr>
      <w:r>
        <w:rPr>
          <w:lang w:val="ru-RU"/>
        </w:rPr>
        <w:t>Общие сведения</w:t>
      </w:r>
    </w:p>
    <w:p>
      <w:pPr>
        <w:pStyle w:val="Heading4"/>
        <w:numPr>
          <w:ilvl w:val="1"/>
          <w:numId w:val="2"/>
        </w:numPr>
        <w:rPr/>
      </w:pPr>
      <w:r>
        <w:rPr/>
        <w:t>Обозначения и сокращения</w:t>
      </w:r>
    </w:p>
    <w:p>
      <w:pPr>
        <w:pStyle w:val="Normal"/>
        <w:spacing w:before="120" w:after="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spacing w:before="120" w:after="60"/>
        <w:contextualSpacing/>
        <w:rPr>
          <w:sz w:val="24"/>
          <w:szCs w:val="24"/>
        </w:rPr>
      </w:pPr>
      <w:r>
        <w:rPr>
          <w:sz w:val="24"/>
          <w:szCs w:val="24"/>
        </w:rPr>
        <w:t>Филиал – филиал ПАО «РусГидро»-«Зейская ГЭС»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4"/>
        <w:numPr>
          <w:ilvl w:val="1"/>
          <w:numId w:val="2"/>
        </w:numPr>
        <w:ind w:left="431" w:hanging="431"/>
        <w:rPr/>
      </w:pPr>
      <w:r>
        <w:rPr/>
        <w:t>Наименование закупаемой продукции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  <w:shd w:fill="auto" w:val="clear"/>
        </w:rPr>
        <w:t xml:space="preserve">Поставка </w:t>
      </w:r>
      <w:r>
        <w:rPr>
          <w:sz w:val="24"/>
          <w:szCs w:val="24"/>
          <w:shd w:fill="auto" w:val="clear"/>
        </w:rPr>
        <w:t>инструментов</w:t>
      </w:r>
      <w:r>
        <w:rPr>
          <w:sz w:val="24"/>
          <w:szCs w:val="24"/>
        </w:rPr>
        <w:t xml:space="preserve"> для нужд филиала ПАО "РусГидро"- Зейская ГЭС"</w:t>
      </w:r>
    </w:p>
    <w:p>
      <w:pPr>
        <w:pStyle w:val="Heading4"/>
        <w:numPr>
          <w:ilvl w:val="1"/>
          <w:numId w:val="2"/>
        </w:numPr>
        <w:ind w:left="431" w:hanging="431"/>
        <w:rPr/>
      </w:pPr>
      <w:r>
        <w:rPr/>
        <w:t>Цель использования закупаемой продукции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Продукция закупается для осуществления ремонтных работ и эксплуатации оборудования.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0"/>
        </w:numPr>
        <w:tabs>
          <w:tab w:val="clear" w:pos="708"/>
          <w:tab w:val="left" w:pos="284" w:leader="none"/>
        </w:tabs>
        <w:ind w:left="0" w:hanging="0"/>
        <w:jc w:val="center"/>
        <w:rPr>
          <w:caps/>
        </w:rPr>
      </w:pPr>
      <w:r>
        <w:rPr>
          <w:lang w:val="ru-RU"/>
        </w:rPr>
        <w:t xml:space="preserve">2. </w:t>
      </w:r>
      <w:r>
        <w:rPr/>
        <w:t>Требования к продукции</w:t>
      </w:r>
    </w:p>
    <w:p>
      <w:pPr>
        <w:pStyle w:val="Normal"/>
        <w:spacing w:before="120" w:after="6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2.1. Требования к объемам и срокам поставки</w:t>
      </w:r>
    </w:p>
    <w:p>
      <w:pPr>
        <w:pStyle w:val="Normal"/>
        <w:spacing w:before="120" w:after="60"/>
        <w:ind w:left="851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2.1.1. Перечень и объем закупаемой продукции</w:t>
      </w:r>
    </w:p>
    <w:p>
      <w:pPr>
        <w:pStyle w:val="Normal"/>
        <w:spacing w:before="120" w:after="60"/>
        <w:rPr>
          <w:b/>
          <w:sz w:val="24"/>
          <w:szCs w:val="24"/>
        </w:rPr>
      </w:pPr>
      <w:r>
        <w:rPr>
          <w:b/>
          <w:sz w:val="24"/>
          <w:szCs w:val="24"/>
        </w:rPr>
        <w:t>Таблица 1. «Перечень и объем закупаемой продукции»</w:t>
      </w:r>
    </w:p>
    <w:tbl>
      <w:tblPr>
        <w:tblW w:w="9214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2"/>
        <w:gridCol w:w="3549"/>
        <w:gridCol w:w="1984"/>
        <w:gridCol w:w="1559"/>
        <w:gridCol w:w="1560"/>
      </w:tblGrid>
      <w:tr>
        <w:trPr>
          <w:trHeight w:val="56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Тип, марка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56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56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6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Наименование продукции, тип, марка, единица измерения, количество в соответствии с Приложением №1 к настоящим техническим требованиям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widowControl w:val="false"/>
        <w:tabs>
          <w:tab w:val="clear" w:pos="708"/>
          <w:tab w:val="left" w:pos="426" w:leader="none"/>
        </w:tabs>
        <w:spacing w:before="120" w:after="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>2.1.2. «Требования по срокам поставки продукции»</w:t>
      </w:r>
    </w:p>
    <w:p>
      <w:pPr>
        <w:pStyle w:val="Normal"/>
        <w:keepNext w:val="true"/>
        <w:widowControl w:val="false"/>
        <w:tabs>
          <w:tab w:val="clear" w:pos="708"/>
          <w:tab w:val="left" w:pos="426" w:leader="none"/>
        </w:tabs>
        <w:spacing w:before="120" w:after="6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widowControl w:val="false"/>
        <w:tabs>
          <w:tab w:val="clear" w:pos="708"/>
          <w:tab w:val="left" w:pos="426" w:leader="none"/>
        </w:tabs>
        <w:spacing w:before="120" w:after="60"/>
        <w:rPr>
          <w:sz w:val="24"/>
          <w:szCs w:val="24"/>
        </w:rPr>
      </w:pPr>
      <w:r>
        <w:rPr>
          <w:sz w:val="24"/>
          <w:szCs w:val="24"/>
        </w:rPr>
        <w:t>Начало срока поставки- c</w:t>
      </w:r>
      <w:r>
        <w:rPr>
          <w:sz w:val="24"/>
          <w:szCs w:val="24"/>
          <w:shd w:fill="auto" w:val="clear"/>
        </w:rPr>
        <w:t xml:space="preserve"> даты заключения Договора</w:t>
      </w:r>
    </w:p>
    <w:p>
      <w:pPr>
        <w:pStyle w:val="Normal"/>
        <w:keepNext w:val="true"/>
        <w:widowControl w:val="false"/>
        <w:tabs>
          <w:tab w:val="clear" w:pos="708"/>
          <w:tab w:val="left" w:pos="426" w:leader="none"/>
        </w:tabs>
        <w:spacing w:before="120" w:after="60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Окончание срока поставки- «</w:t>
      </w:r>
      <w:r>
        <w:rPr>
          <w:sz w:val="24"/>
          <w:szCs w:val="24"/>
          <w:shd w:fill="auto" w:val="clear"/>
        </w:rPr>
        <w:t>02</w:t>
      </w:r>
      <w:r>
        <w:rPr>
          <w:sz w:val="24"/>
          <w:szCs w:val="24"/>
          <w:shd w:fill="auto" w:val="clear"/>
        </w:rPr>
        <w:t xml:space="preserve">» </w:t>
      </w:r>
      <w:r>
        <w:rPr>
          <w:sz w:val="24"/>
          <w:szCs w:val="24"/>
          <w:shd w:fill="auto" w:val="clear"/>
        </w:rPr>
        <w:t>августа</w:t>
      </w:r>
      <w:r>
        <w:rPr>
          <w:sz w:val="24"/>
          <w:szCs w:val="24"/>
          <w:shd w:fill="auto" w:val="clear"/>
        </w:rPr>
        <w:t xml:space="preserve"> 2027 года</w:t>
      </w:r>
    </w:p>
    <w:p>
      <w:pPr>
        <w:pStyle w:val="Normal"/>
        <w:ind w:left="851" w:hanging="56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rPr>
          <w:b/>
          <w:sz w:val="24"/>
          <w:szCs w:val="24"/>
        </w:rPr>
      </w:pPr>
      <w:r>
        <w:rPr>
          <w:b/>
          <w:sz w:val="24"/>
          <w:szCs w:val="24"/>
        </w:rPr>
        <w:t>2.2. Требования к качеству продукции</w:t>
      </w:r>
    </w:p>
    <w:p>
      <w:pPr>
        <w:pStyle w:val="Normal"/>
        <w:spacing w:before="120" w:after="60"/>
        <w:rPr>
          <w:b/>
          <w:sz w:val="24"/>
          <w:szCs w:val="24"/>
        </w:rPr>
      </w:pPr>
      <w:r>
        <w:rPr>
          <w:b/>
          <w:sz w:val="24"/>
          <w:szCs w:val="24"/>
        </w:rPr>
        <w:t>Таблица 2. «Требования к продукции»</w:t>
      </w:r>
    </w:p>
    <w:p>
      <w:pPr>
        <w:pStyle w:val="Normal"/>
        <w:spacing w:before="120" w:after="6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12"/>
        <w:tblW w:w="981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7"/>
        <w:gridCol w:w="1274"/>
        <w:gridCol w:w="1020"/>
        <w:gridCol w:w="1420"/>
        <w:gridCol w:w="1249"/>
        <w:gridCol w:w="25"/>
        <w:gridCol w:w="2242"/>
        <w:gridCol w:w="36"/>
        <w:gridCol w:w="1664"/>
        <w:gridCol w:w="36"/>
        <w:gridCol w:w="1"/>
      </w:tblGrid>
      <w:tr>
        <w:trPr/>
        <w:tc>
          <w:tcPr>
            <w:tcW w:w="84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  <w:lang w:val="ru-RU" w:bidi="ar-SA"/>
              </w:rPr>
              <w:t xml:space="preserve">№ </w:t>
            </w:r>
            <w:r>
              <w:rPr>
                <w:bCs/>
                <w:kern w:val="0"/>
                <w:sz w:val="22"/>
                <w:szCs w:val="22"/>
                <w:lang w:val="ru-RU" w:bidi="ar-SA"/>
              </w:rPr>
              <w:t>п/п</w:t>
            </w:r>
          </w:p>
        </w:tc>
        <w:tc>
          <w:tcPr>
            <w:tcW w:w="2294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  <w:lang w:val="ru-RU" w:bidi="ar-SA"/>
              </w:rPr>
              <w:t>Наименование параметра</w:t>
            </w:r>
          </w:p>
        </w:tc>
        <w:tc>
          <w:tcPr>
            <w:tcW w:w="142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Тип, марка</w:t>
            </w:r>
          </w:p>
        </w:tc>
        <w:tc>
          <w:tcPr>
            <w:tcW w:w="1274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  <w:lang w:val="ru-RU" w:bidi="ar-SA"/>
              </w:rPr>
              <w:t>Требование заказчика</w:t>
            </w:r>
          </w:p>
        </w:tc>
        <w:tc>
          <w:tcPr>
            <w:tcW w:w="3979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  <w:lang w:val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4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4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4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  <w:lang w:val="ru-RU" w:bidi="ar-SA"/>
              </w:rPr>
              <w:t>Согласие с требованием / указание характеристик</w:t>
            </w:r>
          </w:p>
        </w:tc>
        <w:tc>
          <w:tcPr>
            <w:tcW w:w="170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  <w:lang w:val="ru-RU" w:bidi="ar-SA"/>
              </w:rPr>
              <w:t xml:space="preserve">Предложение участника по характеристикам и параметрам 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1</w:t>
            </w:r>
          </w:p>
        </w:tc>
        <w:tc>
          <w:tcPr>
            <w:tcW w:w="229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2</w:t>
            </w:r>
          </w:p>
        </w:tc>
        <w:tc>
          <w:tcPr>
            <w:tcW w:w="14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27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3</w:t>
            </w:r>
          </w:p>
        </w:tc>
        <w:tc>
          <w:tcPr>
            <w:tcW w:w="227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4</w:t>
            </w:r>
          </w:p>
        </w:tc>
        <w:tc>
          <w:tcPr>
            <w:tcW w:w="170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5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1.</w:t>
            </w:r>
          </w:p>
        </w:tc>
        <w:tc>
          <w:tcPr>
            <w:tcW w:w="4988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27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rFonts w:cs="" w:asciiTheme="majorBidi" w:cstheme="majorBidi" w:hAnsiTheme="majorBidi"/>
                <w:b/>
                <w:bCs/>
                <w:kern w:val="0"/>
                <w:sz w:val="22"/>
                <w:szCs w:val="22"/>
                <w:lang w:val="ru-RU" w:bidi="ar-SA"/>
              </w:rPr>
              <w:t>-//-</w:t>
            </w:r>
          </w:p>
        </w:tc>
        <w:tc>
          <w:tcPr>
            <w:tcW w:w="170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rFonts w:cs="" w:asciiTheme="majorBidi" w:cstheme="majorBidi" w:hAnsiTheme="majorBidi"/>
                <w:b/>
                <w:bCs/>
                <w:kern w:val="0"/>
                <w:sz w:val="22"/>
                <w:szCs w:val="22"/>
                <w:lang w:val="ru-RU" w:bidi="ar-SA"/>
              </w:rPr>
              <w:t>-//-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2627" w:hRule="atLeast"/>
        </w:trPr>
        <w:tc>
          <w:tcPr>
            <w:tcW w:w="8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  <w:lang w:val="ru-RU" w:bidi="ar-SA"/>
              </w:rPr>
              <w:t>1.1.</w:t>
            </w:r>
          </w:p>
        </w:tc>
        <w:tc>
          <w:tcPr>
            <w:tcW w:w="4988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Наименования параметра, тип, марка в соответствии с Приложением №1 к настоящим техническим требованиям </w:t>
            </w:r>
          </w:p>
        </w:tc>
        <w:tc>
          <w:tcPr>
            <w:tcW w:w="227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  <w:lang w:val="ru-RU" w:bidi="ar-SA"/>
              </w:rPr>
              <w:t>указание характеристик</w:t>
            </w:r>
          </w:p>
        </w:tc>
        <w:tc>
          <w:tcPr>
            <w:tcW w:w="170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2.</w:t>
            </w:r>
          </w:p>
        </w:tc>
        <w:tc>
          <w:tcPr>
            <w:tcW w:w="4988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7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rFonts w:cs="" w:asciiTheme="majorBidi" w:cstheme="majorBidi" w:hAnsiTheme="majorBidi"/>
                <w:b/>
                <w:bCs/>
                <w:kern w:val="0"/>
                <w:sz w:val="22"/>
                <w:szCs w:val="22"/>
                <w:lang w:val="ru-RU" w:bidi="ar-SA"/>
              </w:rPr>
              <w:t>-//-</w:t>
            </w:r>
          </w:p>
        </w:tc>
        <w:tc>
          <w:tcPr>
            <w:tcW w:w="170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rFonts w:cs="" w:asciiTheme="majorBidi" w:cstheme="majorBidi" w:hAnsiTheme="majorBidi"/>
                <w:b/>
                <w:bCs/>
                <w:kern w:val="0"/>
                <w:sz w:val="22"/>
                <w:szCs w:val="22"/>
                <w:lang w:val="ru-RU" w:bidi="ar-SA"/>
              </w:rPr>
              <w:t>-//-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  <w:lang w:val="ru-RU" w:bidi="ar-SA"/>
              </w:rPr>
              <w:t>2.1.</w:t>
            </w:r>
          </w:p>
        </w:tc>
        <w:tc>
          <w:tcPr>
            <w:tcW w:w="12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  <w:lang w:val="ru-RU" w:bidi="ar-SA"/>
              </w:rPr>
              <w:t>Место поставки</w:t>
            </w:r>
          </w:p>
        </w:tc>
        <w:tc>
          <w:tcPr>
            <w:tcW w:w="3689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До склада филиала ПАО «РусГидро» - «Зейская ГЭС», находящегося по адресу: 676244, Амурская область, г. Зея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w="226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  <w:lang w:val="ru-RU" w:bidi="ar-SA"/>
              </w:rPr>
              <w:t>Согласие с требованием</w:t>
            </w:r>
          </w:p>
        </w:tc>
        <w:tc>
          <w:tcPr>
            <w:tcW w:w="170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rFonts w:cs="" w:asciiTheme="majorBidi" w:cstheme="majorBidi" w:hAnsiTheme="majorBidi"/>
                <w:b/>
                <w:bCs/>
                <w:kern w:val="0"/>
                <w:sz w:val="22"/>
                <w:szCs w:val="22"/>
                <w:lang w:val="ru-RU" w:bidi="ar-SA"/>
              </w:rPr>
              <w:t>-//-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  <w:lang w:val="ru-RU" w:bidi="ar-SA"/>
              </w:rPr>
              <w:t>2.2</w:t>
            </w:r>
          </w:p>
        </w:tc>
        <w:tc>
          <w:tcPr>
            <w:tcW w:w="12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  <w:lang w:val="ru-RU" w:bidi="ar-SA"/>
              </w:rPr>
              <w:t>Условия доставки, упаковки, транспортировки</w:t>
            </w:r>
          </w:p>
        </w:tc>
        <w:tc>
          <w:tcPr>
            <w:tcW w:w="3689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Товар должен отгружаться участником в таре и упаковке, обеспечивающих его полную сохранность от всякого рода повреждений и порчи с учетом возможных перегрузок, и длительного хранения</w:t>
            </w:r>
          </w:p>
        </w:tc>
        <w:tc>
          <w:tcPr>
            <w:tcW w:w="226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  <w:lang w:val="ru-RU" w:bidi="ar-SA"/>
              </w:rPr>
              <w:t>Согласие с требованием</w:t>
            </w:r>
          </w:p>
        </w:tc>
        <w:tc>
          <w:tcPr>
            <w:tcW w:w="170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rFonts w:cs="" w:asciiTheme="majorBidi" w:cstheme="majorBidi" w:hAnsiTheme="majorBidi"/>
                <w:b/>
                <w:bCs/>
                <w:kern w:val="0"/>
                <w:sz w:val="22"/>
                <w:szCs w:val="22"/>
                <w:lang w:val="ru-RU" w:bidi="ar-SA"/>
              </w:rPr>
              <w:t>-//-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w="12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w="3689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w="170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" w:asciiTheme="majorBidi" w:cstheme="majorBidi" w:hAnsiTheme="majorBidi"/>
                <w:b/>
                <w:bCs/>
                <w:sz w:val="22"/>
                <w:szCs w:val="22"/>
              </w:rPr>
            </w:pPr>
            <w:r>
              <w:rPr>
                <w:rFonts w:cs="" w:asciiTheme="majorBidi" w:cstheme="majorBidi" w:hAnsiTheme="majorBidi"/>
                <w:b/>
                <w:bCs/>
                <w:sz w:val="22"/>
                <w:szCs w:val="22"/>
              </w:rPr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  <w:lang w:val="ru-RU" w:bidi="ar-SA"/>
              </w:rPr>
              <w:t>3.</w:t>
            </w:r>
          </w:p>
        </w:tc>
        <w:tc>
          <w:tcPr>
            <w:tcW w:w="8930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" w:asciiTheme="majorBidi" w:cstheme="majorBidi" w:hAnsiTheme="majorBidi"/>
                <w:b/>
                <w:bCs/>
                <w:sz w:val="22"/>
                <w:szCs w:val="22"/>
              </w:rPr>
            </w:pPr>
            <w:r>
              <w:rPr>
                <w:rFonts w:cs="" w:asciiTheme="majorBidi" w:cstheme="majorBidi" w:hAnsiTheme="majorBidi"/>
                <w:b/>
                <w:bCs/>
                <w:kern w:val="0"/>
                <w:sz w:val="22"/>
                <w:szCs w:val="22"/>
                <w:lang w:val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1106" w:hRule="atLeast"/>
        </w:trPr>
        <w:tc>
          <w:tcPr>
            <w:tcW w:w="8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w="8930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" w:cstheme="majorBidi"/>
                <w:bCs/>
                <w:kern w:val="0"/>
                <w:sz w:val="22"/>
                <w:szCs w:val="22"/>
                <w:lang w:val="ru-RU" w:bidi="ar-SA"/>
              </w:rPr>
              <w:t xml:space="preserve">Требования к комплектации и документам, поставляемым вместе с продукцией </w:t>
            </w:r>
            <w:r>
              <w:rPr>
                <w:kern w:val="0"/>
                <w:sz w:val="22"/>
                <w:szCs w:val="22"/>
                <w:lang w:val="ru-RU" w:bidi="ar-SA"/>
              </w:rPr>
              <w:t>в соответствии с Приложением №1 к настоящим техническим требованиям. Документация предоставляется на этапе исполнения договора.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4.</w:t>
            </w:r>
          </w:p>
        </w:tc>
        <w:tc>
          <w:tcPr>
            <w:tcW w:w="4988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Иные условия</w:t>
            </w:r>
          </w:p>
        </w:tc>
        <w:tc>
          <w:tcPr>
            <w:tcW w:w="227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" w:cstheme="majorBidi"/>
                <w:b/>
                <w:bCs/>
                <w:kern w:val="0"/>
                <w:sz w:val="22"/>
                <w:szCs w:val="22"/>
                <w:lang w:val="ru-RU" w:bidi="ar-SA"/>
              </w:rPr>
              <w:t>-//-</w:t>
            </w:r>
          </w:p>
        </w:tc>
        <w:tc>
          <w:tcPr>
            <w:tcW w:w="170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" w:cstheme="majorBidi"/>
                <w:b/>
                <w:bCs/>
                <w:kern w:val="0"/>
                <w:sz w:val="22"/>
                <w:szCs w:val="22"/>
                <w:lang w:val="ru-RU" w:bidi="ar-SA"/>
              </w:rPr>
              <w:t>-//-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  <w:lang w:val="ru-RU" w:bidi="ar-SA"/>
              </w:rPr>
              <w:t>4.1</w:t>
            </w:r>
          </w:p>
        </w:tc>
        <w:tc>
          <w:tcPr>
            <w:tcW w:w="4988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" w:cstheme="majorBidi"/>
                <w:bCs/>
                <w:kern w:val="0"/>
                <w:sz w:val="22"/>
                <w:szCs w:val="22"/>
                <w:lang w:val="ru-RU" w:bidi="ar-SA"/>
              </w:rPr>
              <w:t>Товар должен быть новым, не бывшим в употреблении, пригодным для использования по своему назначению. Поставщик гарантирует, что Товар принадлежит ему на законном основании, в споре, залоге или под арестом не состоит, правами третьих лиц не обременен.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w="227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bCs/>
                <w:kern w:val="0"/>
                <w:sz w:val="22"/>
                <w:szCs w:val="22"/>
                <w:lang w:val="ru-RU" w:bidi="ar-SA"/>
              </w:rPr>
              <w:t>Согласие с требованием</w:t>
            </w:r>
          </w:p>
        </w:tc>
        <w:tc>
          <w:tcPr>
            <w:tcW w:w="170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" w:cstheme="majorBidi"/>
                <w:b/>
                <w:bCs/>
                <w:kern w:val="0"/>
                <w:sz w:val="22"/>
                <w:szCs w:val="22"/>
                <w:lang w:val="ru-RU" w:bidi="ar-SA"/>
              </w:rPr>
              <w:t>-//-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  <w:lang w:val="ru-RU" w:bidi="ar-SA"/>
              </w:rPr>
              <w:t>4.2</w:t>
            </w:r>
          </w:p>
        </w:tc>
        <w:tc>
          <w:tcPr>
            <w:tcW w:w="4988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" w:cstheme="majorBidi"/>
                <w:bCs/>
                <w:kern w:val="0"/>
                <w:sz w:val="22"/>
                <w:szCs w:val="22"/>
                <w:lang w:val="ru-RU" w:bidi="ar-SA"/>
              </w:rPr>
              <w:t>Качество, комплектность, количество и ассортимент поставляемого Товара должны соответствовать требованиям Заказчика, Договора.</w:t>
            </w:r>
          </w:p>
        </w:tc>
        <w:tc>
          <w:tcPr>
            <w:tcW w:w="227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bCs/>
                <w:kern w:val="0"/>
                <w:sz w:val="22"/>
                <w:szCs w:val="22"/>
                <w:lang w:val="ru-RU" w:bidi="ar-SA"/>
              </w:rPr>
              <w:t>Согласие с требованием</w:t>
            </w:r>
          </w:p>
        </w:tc>
        <w:tc>
          <w:tcPr>
            <w:tcW w:w="170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" w:cstheme="majorBidi"/>
                <w:b/>
                <w:bCs/>
                <w:kern w:val="0"/>
                <w:sz w:val="22"/>
                <w:szCs w:val="22"/>
                <w:lang w:val="ru-RU" w:bidi="ar-SA"/>
              </w:rPr>
              <w:t>-//-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8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  <w:lang w:val="ru-RU" w:bidi="ar-SA"/>
              </w:rPr>
              <w:t>4.3</w:t>
            </w:r>
          </w:p>
        </w:tc>
        <w:tc>
          <w:tcPr>
            <w:tcW w:w="4988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" w:cstheme="majorBidi"/>
                <w:bCs/>
                <w:kern w:val="0"/>
                <w:sz w:val="22"/>
                <w:szCs w:val="22"/>
                <w:lang w:val="ru-RU" w:bidi="ar-SA"/>
              </w:rPr>
              <w:t>Товар должен отгружаться Поставщиком в таре и упаковке, обеспечивающих его полную сохранность от всякого рода повреждений и порчи с учетом возможных перегрузок и длительного хранения.</w:t>
            </w:r>
          </w:p>
        </w:tc>
        <w:tc>
          <w:tcPr>
            <w:tcW w:w="227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bCs/>
                <w:kern w:val="0"/>
                <w:sz w:val="22"/>
                <w:szCs w:val="22"/>
                <w:lang w:val="ru-RU" w:bidi="ar-SA"/>
              </w:rPr>
              <w:t>Согласие с требованием</w:t>
            </w:r>
          </w:p>
        </w:tc>
        <w:tc>
          <w:tcPr>
            <w:tcW w:w="170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" w:cstheme="majorBidi"/>
                <w:b/>
                <w:bCs/>
                <w:kern w:val="0"/>
                <w:sz w:val="22"/>
                <w:szCs w:val="22"/>
                <w:lang w:val="ru-RU" w:bidi="ar-SA"/>
              </w:rPr>
              <w:t>-//-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</w:tbl>
    <w:p>
      <w:pPr>
        <w:pStyle w:val="Normal"/>
        <w:spacing w:before="120" w:after="60"/>
        <w:jc w:val="center"/>
        <w:rPr>
          <w:b/>
        </w:rPr>
      </w:pPr>
      <w:r>
        <w:rPr>
          <w:b/>
        </w:rPr>
      </w:r>
    </w:p>
    <w:p>
      <w:pPr>
        <w:pStyle w:val="Normal"/>
        <w:spacing w:before="120" w:after="60"/>
        <w:jc w:val="center"/>
        <w:rPr>
          <w:b/>
        </w:rPr>
      </w:pPr>
      <w:r>
        <w:rPr>
          <w:b/>
        </w:rPr>
        <w:t>3. Требования к документации по ценообразованию на этапе закупки</w:t>
      </w:r>
    </w:p>
    <w:p>
      <w:pPr>
        <w:pStyle w:val="Normal"/>
        <w:numPr>
          <w:ilvl w:val="1"/>
          <w:numId w:val="4"/>
        </w:numPr>
        <w:spacing w:before="120" w:after="60"/>
        <w:ind w:left="567" w:hanging="567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numPr>
          <w:ilvl w:val="1"/>
          <w:numId w:val="4"/>
        </w:numPr>
        <w:spacing w:before="120" w:after="60"/>
        <w:ind w:left="567" w:hanging="567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  <w:t>Дополнительные документы по ценообразованию в состав заявки не включаются.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/>
      </w:r>
    </w:p>
    <w:sectPr>
      <w:footerReference w:type="default" r:id="rId2"/>
      <w:type w:val="nextPage"/>
      <w:pgSz w:w="11906" w:h="16838"/>
      <w:pgMar w:left="1701" w:right="850" w:gutter="0" w:header="0" w:top="1134" w:footer="708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600354839"/>
    </w:sdtPr>
    <w:sdtContent>
      <w:p>
        <w:pPr>
          <w:pStyle w:val="Footer"/>
          <w:jc w:val="center"/>
          <w:rPr>
            <w:sz w:val="24"/>
            <w:szCs w:val="24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4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21f4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221f49"/>
    <w:pPr>
      <w:outlineLvl w:val="0"/>
    </w:pPr>
    <w:rPr>
      <w:sz w:val="28"/>
      <w:szCs w:val="28"/>
    </w:rPr>
  </w:style>
  <w:style w:type="paragraph" w:styleId="Heading3">
    <w:name w:val="Heading 3"/>
    <w:basedOn w:val="Normal"/>
    <w:next w:val="Normal"/>
    <w:link w:val="3"/>
    <w:autoRedefine/>
    <w:qFormat/>
    <w:rsid w:val="00221f49"/>
    <w:pPr>
      <w:keepNext w:val="true"/>
      <w:numPr>
        <w:ilvl w:val="2"/>
        <w:numId w:val="2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221f49"/>
    <w:p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rsid w:val="00221f49"/>
    <w:rPr>
      <w:color w:val="0000FF"/>
      <w:u w:val="single"/>
    </w:rPr>
  </w:style>
  <w:style w:type="character" w:styleId="Style6" w:customStyle="1">
    <w:name w:val="Верхний колонтитул Знак"/>
    <w:basedOn w:val="DefaultParagraphFont"/>
    <w:uiPriority w:val="99"/>
    <w:qFormat/>
    <w:rsid w:val="00221f49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7" w:customStyle="1">
    <w:name w:val="Нижний колонтитул Знак"/>
    <w:basedOn w:val="DefaultParagraphFont"/>
    <w:uiPriority w:val="99"/>
    <w:qFormat/>
    <w:rsid w:val="00221f49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" w:customStyle="1">
    <w:name w:val="Заголовок 1 Знак"/>
    <w:basedOn w:val="DefaultParagraphFont"/>
    <w:qFormat/>
    <w:rsid w:val="00221f49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221f49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221f49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6957a0"/>
    <w:rPr>
      <w:rFonts w:ascii="Segoe UI" w:hAnsi="Segoe UI" w:eastAsia="Times New Roman" w:cs="Segoe UI"/>
      <w:sz w:val="18"/>
      <w:szCs w:val="18"/>
      <w:lang w:eastAsia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24196"/>
    <w:rPr>
      <w:sz w:val="16"/>
      <w:szCs w:val="16"/>
    </w:rPr>
  </w:style>
  <w:style w:type="character" w:styleId="Style9" w:customStyle="1">
    <w:name w:val="Текст примечания Знак"/>
    <w:basedOn w:val="DefaultParagraphFont"/>
    <w:link w:val="Annotationtext"/>
    <w:uiPriority w:val="99"/>
    <w:semiHidden/>
    <w:qFormat/>
    <w:rsid w:val="00024196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0" w:customStyle="1">
    <w:name w:val="Тема примечания Знак"/>
    <w:basedOn w:val="Style9"/>
    <w:link w:val="Annotationsubject"/>
    <w:uiPriority w:val="99"/>
    <w:semiHidden/>
    <w:qFormat/>
    <w:rsid w:val="00024196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11">
    <w:name w:val="Ссылка указателя"/>
    <w:qFormat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/>
  </w:style>
  <w:style w:type="paragraph" w:styleId="TOC1">
    <w:name w:val="TOC 1"/>
    <w:basedOn w:val="Normal"/>
    <w:next w:val="Normal"/>
    <w:autoRedefine/>
    <w:uiPriority w:val="39"/>
    <w:rsid w:val="002f7061"/>
    <w:pPr>
      <w:tabs>
        <w:tab w:val="clear" w:pos="708"/>
        <w:tab w:val="left" w:pos="560" w:leader="none"/>
        <w:tab w:val="right" w:pos="9911" w:leader="dot"/>
      </w:tabs>
      <w:spacing w:before="120" w:after="0"/>
      <w:ind w:firstLine="426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f25f48"/>
    <w:pPr>
      <w:tabs>
        <w:tab w:val="clear" w:pos="708"/>
        <w:tab w:val="left" w:pos="1120" w:leader="none"/>
        <w:tab w:val="right" w:pos="9911" w:leader="dot"/>
      </w:tabs>
      <w:ind w:left="280" w:hanging="0"/>
    </w:pPr>
    <w:rPr>
      <w:rFonts w:cs="Calibr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f25f48"/>
    <w:pPr>
      <w:tabs>
        <w:tab w:val="clear" w:pos="708"/>
        <w:tab w:val="left" w:pos="1120" w:leader="none"/>
        <w:tab w:val="right" w:pos="9911" w:leader="dot"/>
      </w:tabs>
      <w:ind w:left="560" w:hanging="0"/>
    </w:pPr>
    <w:rPr>
      <w:rFonts w:cs="Calibri" w:cstheme="minorHAnsi"/>
      <w:iCs/>
      <w:sz w:val="20"/>
      <w:szCs w:val="20"/>
    </w:rPr>
  </w:style>
  <w:style w:type="paragraph" w:styleId="Style14">
    <w:name w:val="Колонтитул"/>
    <w:basedOn w:val="Normal"/>
    <w:qFormat/>
    <w:pPr/>
    <w:rPr/>
  </w:style>
  <w:style w:type="paragraph" w:styleId="Header">
    <w:name w:val="Header"/>
    <w:basedOn w:val="Normal"/>
    <w:link w:val="Style6"/>
    <w:uiPriority w:val="99"/>
    <w:unhideWhenUsed/>
    <w:rsid w:val="00221f4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7"/>
    <w:uiPriority w:val="99"/>
    <w:unhideWhenUsed/>
    <w:rsid w:val="00221f4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5" w:customStyle="1">
    <w:name w:val="Раздел положения"/>
    <w:basedOn w:val="Normal"/>
    <w:autoRedefine/>
    <w:qFormat/>
    <w:rsid w:val="00221f49"/>
    <w:pPr>
      <w:numPr>
        <w:ilvl w:val="0"/>
        <w:numId w:val="3"/>
      </w:numPr>
      <w:spacing w:before="80" w:after="80"/>
      <w:jc w:val="center"/>
    </w:pPr>
    <w:rPr>
      <w:b/>
      <w:sz w:val="32"/>
      <w:szCs w:val="32"/>
    </w:rPr>
  </w:style>
  <w:style w:type="paragraph" w:styleId="Style16" w:customStyle="1">
    <w:name w:val="Подраздел раздела положения"/>
    <w:basedOn w:val="Normal"/>
    <w:autoRedefine/>
    <w:qFormat/>
    <w:rsid w:val="00221f49"/>
    <w:pPr>
      <w:numPr>
        <w:ilvl w:val="1"/>
        <w:numId w:val="3"/>
      </w:numPr>
      <w:spacing w:before="80" w:after="80"/>
      <w:jc w:val="both"/>
    </w:pPr>
    <w:rPr/>
  </w:style>
  <w:style w:type="paragraph" w:styleId="Style17" w:customStyle="1">
    <w:name w:val="Таблица шапка"/>
    <w:basedOn w:val="Normal"/>
    <w:qFormat/>
    <w:rsid w:val="001d4fb3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BalloonText">
    <w:name w:val="Balloon Text"/>
    <w:basedOn w:val="Normal"/>
    <w:link w:val="Style8"/>
    <w:uiPriority w:val="99"/>
    <w:semiHidden/>
    <w:unhideWhenUsed/>
    <w:qFormat/>
    <w:rsid w:val="006957a0"/>
    <w:pPr/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Style9"/>
    <w:uiPriority w:val="99"/>
    <w:semiHidden/>
    <w:unhideWhenUsed/>
    <w:qFormat/>
    <w:rsid w:val="0002419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0"/>
    <w:uiPriority w:val="99"/>
    <w:semiHidden/>
    <w:unhideWhenUsed/>
    <w:qFormat/>
    <w:rsid w:val="00024196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3"/>
    <w:uiPriority w:val="39"/>
    <w:rsid w:val="00ba7ac9"/>
    <w:pPr>
      <w:spacing w:after="0" w:line="240" w:lineRule="auto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b">
    <w:name w:val="Table Grid"/>
    <w:basedOn w:val="a3"/>
    <w:uiPriority w:val="39"/>
    <w:rsid w:val="00ba7ac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A2196-3A0B-486E-8B8D-18D97E62D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Application>AlterOffice/3.4.0.9$Linux_X86_64 LibreOffice_project/b8daf9e823b1a5463a2f48435ddc2e8696e7d4fc</Application>
  <AppVersion>15.0000</AppVersion>
  <Pages>5</Pages>
  <Words>515</Words>
  <Characters>3469</Characters>
  <CharactersWithSpaces>3900</CharactersWithSpaces>
  <Paragraphs>101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2023-12-20T01:52:00Z</dcterms:created>
  <dc:creator>Смирнов Константин Русланович</dc:creator>
  <dc:description/>
  <dc:language>ru-RU</dc:language>
  <cp:lastModifiedBy>budnikovanv@corp.gidroogk.com</cp:lastModifiedBy>
  <cp:lastPrinted>2023-01-12T00:12:00Z</cp:lastPrinted>
  <dcterms:modified xsi:type="dcterms:W3CDTF">2026-08-24T15:44:51Z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