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keepNext w:val="true"/>
        <w:keepLines/>
        <w:ind w:left="3828" w:right="0" w:hanging="0"/>
        <w:rPr>
          <w:b/>
          <w:b/>
          <w:sz w:val="24"/>
          <w:szCs w:val="24"/>
        </w:rPr>
      </w:pPr>
      <w:r>
        <w:rPr/>
        <w:drawing>
          <wp:inline distT="0" distB="0" distL="0" distR="0">
            <wp:extent cx="1481455" cy="52705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97" t="-5375" r="-1897" b="-5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keepLines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3"/>
      </w:tblGrid>
      <w:tr>
        <w:trPr/>
        <w:tc>
          <w:tcPr>
            <w:tcW w:w="9853" w:type="dxa"/>
            <w:tcBorders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АКЦИОНЕРНОЕ ОБЩЕСТВО «ДАЛЬНЕВОСТОЧНАЯ РАСПРЕДЕЛИТЕЛЬНАЯ СЕТЕВАЯ КОМПАНИЯ»</w:t>
            </w:r>
          </w:p>
        </w:tc>
      </w:tr>
    </w:tbl>
    <w:p>
      <w:pPr>
        <w:pStyle w:val="Normal"/>
        <w:jc w:val="center"/>
        <w:rPr>
          <w:rFonts w:cs="Arial"/>
          <w:b/>
          <w:b/>
          <w:bCs/>
          <w:i/>
          <w:i/>
          <w:color w:val="000000"/>
          <w:sz w:val="24"/>
          <w:szCs w:val="24"/>
          <w:u w:val="single"/>
        </w:rPr>
      </w:pPr>
      <w:r>
        <w:rPr>
          <w:rFonts w:cs="Arial"/>
          <w:b/>
          <w:bCs/>
          <w:i/>
          <w:color w:val="000000"/>
          <w:sz w:val="24"/>
          <w:szCs w:val="24"/>
          <w:u w:val="single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Технические требования на закупку</w:t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b/>
          <w:b/>
          <w:bCs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iCs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  <w:lang w:val="ru-RU" w:eastAsia="zh-CN" w:bidi="ar-SA"/>
        </w:rPr>
        <w:t>О</w:t>
      </w:r>
      <w:r>
        <w:rPr>
          <w:rFonts w:eastAsia="Times New Roman" w:cs="Times New Roman"/>
          <w:b/>
          <w:bCs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  <w:lang w:val="ru-RU" w:eastAsia="zh-CN" w:bidi="ar-SA"/>
        </w:rPr>
        <w:t>КПД2 29.10.59.270 Поставка автогидроподъемника с высотой подъема люльки не менее 18 м на шасси автомобиля 4х4 для филиала АО "ДРСК" "Амурские электрические сети"</w:t>
      </w:r>
    </w:p>
    <w:p>
      <w:pPr>
        <w:pStyle w:val="Normal"/>
        <w:jc w:val="center"/>
        <w:rPr>
          <w:rFonts w:eastAsia="Times New Roman" w:cs="Times New Roman"/>
          <w:b/>
          <w:b/>
          <w:bCs/>
          <w:iCs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/>
          <w:bCs/>
          <w:iCs/>
          <w:color w:val="auto"/>
          <w:sz w:val="24"/>
          <w:szCs w:val="24"/>
          <w:lang w:val="ru-RU" w:eastAsia="zh-CN" w:bidi="ar-SA"/>
        </w:rPr>
        <w:t xml:space="preserve">(г. Благовещенск) </w:t>
      </w:r>
    </w:p>
    <w:p>
      <w:pPr>
        <w:pStyle w:val="Normal"/>
        <w:jc w:val="center"/>
        <w:rPr>
          <w:rFonts w:eastAsia="Times New Roman" w:cs="Times New Roman"/>
          <w:b/>
          <w:b/>
          <w:bCs/>
          <w:i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  <w:lang w:val="ru-RU" w:eastAsia="zh-CN" w:bidi="ar-SA"/>
        </w:rPr>
        <w:t>Лот 31701-ТПИР ОНМ-2027-ДРСК-АЭС</w:t>
      </w:r>
    </w:p>
    <w:p>
      <w:pPr>
        <w:pStyle w:val="Normal"/>
        <w:jc w:val="center"/>
        <w:rPr>
          <w:rFonts w:eastAsia="Times New Roman" w:cs="Times New Roman"/>
          <w:b/>
          <w:b/>
          <w:bCs/>
          <w:i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  <w:lang w:val="ru-RU" w:eastAsia="zh-CN" w:bidi="ar-SA"/>
        </w:rPr>
      </w:r>
    </w:p>
    <w:p>
      <w:pPr>
        <w:pStyle w:val="Normal"/>
        <w:jc w:val="center"/>
        <w:rPr>
          <w:rFonts w:eastAsia="Times New Roman" w:cs="Times New Roman"/>
          <w:b/>
          <w:b/>
          <w:bCs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</w:r>
    </w:p>
    <w:p>
      <w:pPr>
        <w:pStyle w:val="Normal"/>
        <w:jc w:val="center"/>
        <w:rPr>
          <w:rFonts w:eastAsia="Times New Roman" w:cs="Times New Roman"/>
          <w:b/>
          <w:b/>
          <w:bCs/>
          <w:color w:val="00000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ru-RU" w:eastAsia="zh-CN" w:bidi="ar-SA"/>
        </w:rPr>
      </w:r>
    </w:p>
    <w:p>
      <w:pPr>
        <w:pStyle w:val="Normal"/>
        <w:jc w:val="center"/>
        <w:rPr>
          <w:rFonts w:eastAsia="Times New Roman" w:cs="Times New Roman"/>
          <w:b/>
          <w:b/>
          <w:bCs/>
          <w:color w:val="00000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ru-RU" w:eastAsia="zh-CN" w:bidi="ar-SA"/>
        </w:rPr>
      </w:r>
    </w:p>
    <w:p>
      <w:pPr>
        <w:pStyle w:val="Normal"/>
        <w:jc w:val="center"/>
        <w:rPr>
          <w:rFonts w:eastAsia="Times New Roman" w:cs="Times New Roman"/>
          <w:b/>
          <w:b/>
          <w:bCs/>
          <w:color w:val="00000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ru-RU" w:eastAsia="zh-CN" w:bidi="ar-SA"/>
        </w:rPr>
      </w:r>
    </w:p>
    <w:p>
      <w:pPr>
        <w:pStyle w:val="Normal"/>
        <w:jc w:val="center"/>
        <w:rPr>
          <w:rFonts w:eastAsia="Times New Roman" w:cs="Times New Roman"/>
          <w:b/>
          <w:b/>
          <w:bCs/>
          <w:color w:val="00000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ru-RU" w:eastAsia="zh-CN" w:bidi="ar-SA"/>
        </w:rPr>
      </w:r>
    </w:p>
    <w:p>
      <w:pPr>
        <w:pStyle w:val="Normal"/>
        <w:jc w:val="center"/>
        <w:rPr>
          <w:rFonts w:eastAsia="Times New Roman" w:cs="Times New Roman"/>
          <w:b/>
          <w:b/>
          <w:bCs/>
          <w:color w:val="00000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ru-RU" w:eastAsia="zh-CN" w:bidi="ar-SA"/>
        </w:rPr>
      </w:r>
    </w:p>
    <w:p>
      <w:pPr>
        <w:pStyle w:val="Normal"/>
        <w:jc w:val="center"/>
        <w:rPr>
          <w:rFonts w:eastAsia="Times New Roman" w:cs="Times New Roman"/>
          <w:b/>
          <w:b/>
          <w:bCs/>
          <w:color w:val="00000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ru-RU" w:eastAsia="zh-CN" w:bidi="ar-SA"/>
        </w:rPr>
      </w:r>
    </w:p>
    <w:p>
      <w:pPr>
        <w:pStyle w:val="Normal"/>
        <w:jc w:val="center"/>
        <w:rPr>
          <w:rFonts w:eastAsia="Times New Roman" w:cs="Times New Roman"/>
          <w:b/>
          <w:b/>
          <w:bCs/>
          <w:color w:val="00000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ru-RU" w:eastAsia="zh-CN" w:bidi="ar-SA"/>
        </w:rPr>
      </w:r>
    </w:p>
    <w:p>
      <w:pPr>
        <w:pStyle w:val="Normal"/>
        <w:jc w:val="center"/>
        <w:rPr>
          <w:rFonts w:eastAsia="Times New Roman" w:cs="Times New Roman"/>
          <w:b/>
          <w:b/>
          <w:bCs/>
          <w:color w:val="00000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ru-RU" w:eastAsia="zh-CN" w:bidi="ar-SA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Liberation Serif;Times New Roman" w:hAnsi="Liberation Serif;Times New Roman" w:eastAsia="Times New Roman" w:cs="Liberation Serif;Times New Roman"/>
          <w:b/>
          <w:b/>
          <w:bCs/>
          <w:color w:val="000000"/>
          <w:sz w:val="22"/>
          <w:szCs w:val="22"/>
          <w:highlight w:val="white"/>
          <w:lang w:val="ru-RU" w:eastAsia="zh-CN" w:bidi="ar-SA"/>
        </w:rPr>
      </w:pPr>
      <w:r>
        <w:rPr>
          <w:rFonts w:eastAsia="Times New Roman" w:cs="Liberation Serif;Times New Roman" w:ascii="Liberation Serif;Times New Roman" w:hAnsi="Liberation Serif;Times New Roman"/>
          <w:b/>
          <w:bCs/>
          <w:color w:val="000000"/>
          <w:sz w:val="22"/>
          <w:szCs w:val="22"/>
          <w:highlight w:val="white"/>
          <w:lang w:val="ru-RU" w:eastAsia="zh-CN" w:bidi="ar-SA"/>
        </w:rPr>
        <w:t>СОДЕРЖАНИЕ</w:t>
      </w:r>
    </w:p>
    <w:p>
      <w:pPr>
        <w:pStyle w:val="19"/>
        <w:pageBreakBefore w:val="false"/>
        <w:tabs>
          <w:tab w:val="clear" w:pos="963"/>
          <w:tab w:val="right" w:pos="9921" w:leader="dot"/>
        </w:tabs>
        <w:rPr/>
      </w:pPr>
      <w:hyperlink w:anchor="__RefHeading___Toc2261_3754132123">
        <w:r>
          <w:rPr>
            <w:rFonts w:eastAsia="Times New Roman" w:cs="Liberation Serif;Times New Roman" w:ascii="Liberation Serif;Times New Roman" w:hAnsi="Liberation Serif;Times New Roman"/>
            <w:bCs/>
            <w:color w:val="000000"/>
            <w:sz w:val="22"/>
            <w:szCs w:val="22"/>
            <w:highlight w:val="white"/>
            <w:lang w:val="ru-RU" w:eastAsia="zh-CN" w:bidi="ar-SA"/>
          </w:rPr>
          <w:t>1. Общие сведения</w:t>
          <w:tab/>
          <w:t>3</w:t>
        </w:r>
      </w:hyperlink>
    </w:p>
    <w:p>
      <w:pPr>
        <w:pStyle w:val="42"/>
        <w:tabs>
          <w:tab w:val="clear" w:pos="1019"/>
          <w:tab w:val="clear" w:pos="1455"/>
          <w:tab w:val="right" w:pos="9921" w:leader="dot"/>
        </w:tabs>
        <w:rPr/>
      </w:pPr>
      <w:hyperlink w:anchor="__RefHeading___Toc2263_3754132123">
        <w:r>
          <w:rPr>
            <w:rFonts w:eastAsia="Times New Roman" w:cs="Liberation Serif;Times New Roman" w:ascii="Liberation Serif;Times New Roman" w:hAnsi="Liberation Serif;Times New Roman"/>
            <w:bCs/>
            <w:color w:val="000000"/>
            <w:sz w:val="22"/>
            <w:szCs w:val="22"/>
            <w:highlight w:val="white"/>
            <w:lang w:val="ru-RU" w:eastAsia="zh-CN" w:bidi="ar-SA"/>
          </w:rPr>
          <w:t>1.1. Обозначения и сокращения</w:t>
        </w:r>
      </w:hyperlink>
    </w:p>
    <w:p>
      <w:pPr>
        <w:pStyle w:val="42"/>
        <w:tabs>
          <w:tab w:val="clear" w:pos="1019"/>
          <w:tab w:val="clear" w:pos="1455"/>
          <w:tab w:val="right" w:pos="9921" w:leader="dot"/>
        </w:tabs>
        <w:rPr/>
      </w:pPr>
      <w:hyperlink w:anchor="__RefHeading___Toc2265_3754132123">
        <w:r>
          <w:rPr>
            <w:rFonts w:eastAsia="Times New Roman" w:cs="Liberation Serif;Times New Roman" w:ascii="Liberation Serif;Times New Roman" w:hAnsi="Liberation Serif;Times New Roman"/>
            <w:bCs/>
            <w:color w:val="000000"/>
            <w:sz w:val="22"/>
            <w:szCs w:val="22"/>
            <w:highlight w:val="white"/>
            <w:lang w:val="ru-RU" w:eastAsia="zh-CN" w:bidi="ar-SA"/>
          </w:rPr>
          <w:t>1.2. Наименование закупаемой продукции</w:t>
        </w:r>
      </w:hyperlink>
    </w:p>
    <w:p>
      <w:pPr>
        <w:pStyle w:val="42"/>
        <w:tabs>
          <w:tab w:val="clear" w:pos="1019"/>
          <w:tab w:val="clear" w:pos="1455"/>
          <w:tab w:val="right" w:pos="9921" w:leader="dot"/>
        </w:tabs>
        <w:rPr/>
      </w:pPr>
      <w:hyperlink w:anchor="__RefHeading___Toc2267_3754132123">
        <w:r>
          <w:rPr>
            <w:rFonts w:eastAsia="Times New Roman" w:cs="Liberation Serif;Times New Roman" w:ascii="Liberation Serif;Times New Roman" w:hAnsi="Liberation Serif;Times New Roman"/>
            <w:bCs/>
            <w:color w:val="000000"/>
            <w:sz w:val="22"/>
            <w:szCs w:val="22"/>
            <w:highlight w:val="white"/>
            <w:lang w:val="ru-RU" w:eastAsia="zh-CN" w:bidi="ar-SA"/>
          </w:rPr>
          <w:t>1.2.1. Цель использования закупаемой продукции</w:t>
        </w:r>
      </w:hyperlink>
    </w:p>
    <w:p>
      <w:pPr>
        <w:pStyle w:val="19"/>
        <w:tabs>
          <w:tab w:val="clear" w:pos="963"/>
          <w:tab w:val="right" w:pos="9921" w:leader="dot"/>
        </w:tabs>
        <w:rPr/>
      </w:pPr>
      <w:hyperlink w:anchor="__RefHeading___Toc2273_3754132123">
        <w:r>
          <w:rPr>
            <w:rFonts w:eastAsia="Times New Roman" w:cs="Liberation Serif;Times New Roman" w:ascii="Liberation Serif;Times New Roman" w:hAnsi="Liberation Serif;Times New Roman"/>
            <w:bCs/>
            <w:color w:val="000000"/>
            <w:sz w:val="22"/>
            <w:szCs w:val="22"/>
            <w:highlight w:val="white"/>
            <w:lang w:val="ru-RU" w:eastAsia="zh-CN" w:bidi="ar-SA"/>
          </w:rPr>
          <w:t>2. Требования к продукции</w:t>
          <w:tab/>
        </w:r>
      </w:hyperlink>
      <w:r>
        <w:rPr>
          <w:rStyle w:val="Style11"/>
          <w:rFonts w:eastAsia="Times New Roman" w:cs="Liberation Serif;Times New Roman" w:ascii="Liberation Serif;Times New Roman" w:hAnsi="Liberation Serif;Times New Roman"/>
          <w:bCs/>
          <w:color w:val="000000"/>
          <w:sz w:val="22"/>
          <w:szCs w:val="22"/>
          <w:highlight w:val="white"/>
          <w:lang w:val="ru-RU" w:eastAsia="zh-CN" w:bidi="ar-SA"/>
        </w:rPr>
        <w:t>3</w:t>
      </w:r>
    </w:p>
    <w:p>
      <w:pPr>
        <w:pStyle w:val="42"/>
        <w:tabs>
          <w:tab w:val="clear" w:pos="1019"/>
          <w:tab w:val="clear" w:pos="1455"/>
          <w:tab w:val="right" w:pos="9921" w:leader="dot"/>
        </w:tabs>
        <w:rPr>
          <w:rFonts w:ascii="Liberation Serif;Times New Roman" w:hAnsi="Liberation Serif;Times New Roman" w:eastAsia="Liberation Serif;Times New Roman" w:cs="Liberation Serif;Times New Roman"/>
          <w:bCs/>
          <w:color w:val="000000"/>
          <w:sz w:val="22"/>
          <w:szCs w:val="22"/>
          <w:highlight w:val="white"/>
          <w:lang w:val="ru-RU" w:eastAsia="zh-CN" w:bidi="ar-SA"/>
        </w:rPr>
      </w:pPr>
      <w:hyperlink w:anchor="__RefHeading___Toc2275_3754132123">
        <w:r>
          <w:rPr>
            <w:rFonts w:eastAsia="Times New Roman" w:cs="Liberation Serif;Times New Roman" w:ascii="Liberation Serif;Times New Roman" w:hAnsi="Liberation Serif;Times New Roman"/>
            <w:bCs/>
            <w:color w:val="000000"/>
            <w:sz w:val="22"/>
            <w:szCs w:val="22"/>
            <w:highlight w:val="white"/>
            <w:lang w:val="ru-RU" w:eastAsia="zh-CN" w:bidi="ar-SA"/>
          </w:rPr>
          <w:t>2.1. Требования к объемам и срокам поставки</w:t>
        </w:r>
      </w:hyperlink>
    </w:p>
    <w:p>
      <w:pPr>
        <w:pStyle w:val="33"/>
        <w:tabs>
          <w:tab w:val="clear" w:pos="1019"/>
          <w:tab w:val="clear" w:pos="9179"/>
          <w:tab w:val="clear" w:pos="9694"/>
          <w:tab w:val="right" w:pos="9921" w:leader="dot"/>
        </w:tabs>
        <w:rPr>
          <w:rFonts w:ascii="Liberation Serif;Times New Roman" w:hAnsi="Liberation Serif;Times New Roman" w:eastAsia="Liberation Serif;Times New Roman" w:cs="Liberation Serif;Times New Roman"/>
          <w:b w:val="false"/>
          <w:b w:val="false"/>
          <w:bCs w:val="false"/>
          <w:color w:val="000000"/>
          <w:sz w:val="22"/>
          <w:szCs w:val="22"/>
          <w:highlight w:val="white"/>
          <w:lang w:val="ru-RU" w:eastAsia="zh-CN" w:bidi="ar-SA"/>
        </w:rPr>
      </w:pPr>
      <w:r>
        <w:rPr>
          <w:rFonts w:eastAsia="Liberation Serif;Times New Roman" w:cs="Liberation Serif;Times New Roman" w:ascii="Liberation Serif;Times New Roman" w:hAnsi="Liberation Serif;Times New Roman"/>
          <w:bCs/>
          <w:color w:val="000000"/>
          <w:sz w:val="22"/>
          <w:szCs w:val="22"/>
          <w:highlight w:val="white"/>
          <w:lang w:val="ru-RU" w:eastAsia="zh-CN" w:bidi="ar-SA"/>
        </w:rPr>
        <w:t xml:space="preserve">     </w:t>
      </w:r>
      <w:hyperlink w:anchor="__RefHeading___Toc2277_3754132123">
        <w:r>
          <w:rPr>
            <w:rFonts w:eastAsia="Times New Roman" w:cs="Liberation Serif;Times New Roman" w:ascii="Liberation Serif;Times New Roman" w:hAnsi="Liberation Serif;Times New Roman"/>
            <w:bCs/>
            <w:color w:val="000000"/>
            <w:sz w:val="22"/>
            <w:szCs w:val="22"/>
            <w:highlight w:val="white"/>
            <w:lang w:val="ru-RU" w:eastAsia="zh-CN" w:bidi="ar-SA"/>
          </w:rPr>
          <w:t>2.1.1. Перечень и объем закупаемой продукции</w:t>
        </w:r>
      </w:hyperlink>
    </w:p>
    <w:p>
      <w:pPr>
        <w:pStyle w:val="33"/>
        <w:tabs>
          <w:tab w:val="clear" w:pos="1019"/>
          <w:tab w:val="clear" w:pos="9179"/>
          <w:tab w:val="clear" w:pos="9694"/>
          <w:tab w:val="right" w:pos="9921" w:leader="dot"/>
        </w:tabs>
        <w:rPr/>
      </w:pPr>
      <w:r>
        <w:rPr>
          <w:rFonts w:eastAsia="Liberation Serif;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  <w:lang w:val="ru-RU" w:eastAsia="zh-CN" w:bidi="ar-SA"/>
        </w:rPr>
        <w:t xml:space="preserve">     </w:t>
      </w:r>
      <w:hyperlink w:anchor="__RefHeading___Toc2277_3754132123">
        <w:r>
          <w:rPr>
            <w:rFonts w:eastAsia="Times New Roman" w:cs="Liberation Serif;Times New Roman" w:ascii="Liberation Serif;Times New Roman" w:hAnsi="Liberation Serif;Times New Roman"/>
            <w:b w:val="false"/>
            <w:bCs w:val="false"/>
            <w:color w:val="000000"/>
            <w:sz w:val="22"/>
            <w:szCs w:val="22"/>
            <w:highlight w:val="white"/>
            <w:lang w:val="ru-RU" w:eastAsia="zh-CN" w:bidi="ar-SA"/>
          </w:rPr>
          <w:t xml:space="preserve">2.1.2. Требования к срокам поставки продукции </w:t>
        </w:r>
      </w:hyperlink>
    </w:p>
    <w:p>
      <w:pPr>
        <w:pStyle w:val="19"/>
        <w:tabs>
          <w:tab w:val="clear" w:pos="963"/>
          <w:tab w:val="right" w:pos="9921" w:leader="dot"/>
        </w:tabs>
        <w:rPr/>
      </w:pPr>
      <w:hyperlink w:anchor="__RefHeading___Toc2279_3754132123">
        <w:r>
          <w:rPr>
            <w:rFonts w:eastAsia="Times New Roman" w:cs="Liberation Serif;Times New Roman" w:ascii="Liberation Serif;Times New Roman" w:hAnsi="Liberation Serif;Times New Roman"/>
            <w:b w:val="false"/>
            <w:bCs w:val="false"/>
            <w:color w:val="000000"/>
            <w:sz w:val="22"/>
            <w:szCs w:val="22"/>
            <w:highlight w:val="white"/>
            <w:lang w:val="ru-RU" w:eastAsia="zh-CN" w:bidi="ar-SA"/>
          </w:rPr>
          <w:t>Таблица 1  Перечень и объем закупаемой продукции</w:t>
        </w:r>
      </w:hyperlink>
    </w:p>
    <w:p>
      <w:pPr>
        <w:pStyle w:val="19"/>
        <w:tabs>
          <w:tab w:val="clear" w:pos="963"/>
          <w:tab w:val="right" w:pos="9921" w:leader="dot"/>
        </w:tabs>
        <w:rPr/>
      </w:pPr>
      <w:hyperlink w:anchor="__RefHeading___Toc2281_3754132123">
        <w:r>
          <w:rPr>
            <w:rFonts w:eastAsia="Times New Roman" w:cs="Liberation Serif;Times New Roman" w:ascii="Liberation Serif;Times New Roman" w:hAnsi="Liberation Serif;Times New Roman"/>
            <w:b w:val="false"/>
            <w:bCs w:val="false"/>
            <w:color w:val="000000"/>
            <w:sz w:val="22"/>
            <w:szCs w:val="22"/>
            <w:highlight w:val="white"/>
            <w:lang w:val="ru-RU" w:eastAsia="zh-CN" w:bidi="ar-SA"/>
          </w:rPr>
          <w:t>Таблица 2  Требования по срокам поставки продукции</w:t>
        </w:r>
      </w:hyperlink>
    </w:p>
    <w:p>
      <w:pPr>
        <w:pStyle w:val="42"/>
        <w:tabs>
          <w:tab w:val="clear" w:pos="1019"/>
          <w:tab w:val="clear" w:pos="1455"/>
          <w:tab w:val="right" w:pos="9921" w:leader="dot"/>
        </w:tabs>
        <w:rPr/>
      </w:pPr>
      <w:hyperlink w:anchor="__RefHeading___Toc2283_3754132123">
        <w:r>
          <w:rPr>
            <w:rFonts w:eastAsia="Times New Roman" w:cs="Liberation Serif;Times New Roman" w:ascii="Liberation Serif;Times New Roman" w:hAnsi="Liberation Serif;Times New Roman"/>
            <w:b/>
            <w:bCs/>
            <w:color w:val="000000"/>
            <w:sz w:val="22"/>
            <w:szCs w:val="22"/>
            <w:highlight w:val="white"/>
            <w:lang w:val="ru-RU" w:eastAsia="zh-CN" w:bidi="ar-SA"/>
          </w:rPr>
          <w:t>2.2. Требования к качеству продукции</w:t>
        </w:r>
        <w:r>
          <w:rPr>
            <w:rFonts w:eastAsia="Times New Roman" w:cs="Liberation Serif;Times New Roman" w:ascii="Liberation Serif;Times New Roman" w:hAnsi="Liberation Serif;Times New Roman"/>
            <w:bCs/>
            <w:color w:val="000000"/>
            <w:sz w:val="22"/>
            <w:szCs w:val="22"/>
            <w:highlight w:val="white"/>
            <w:lang w:val="ru-RU" w:eastAsia="zh-CN" w:bidi="ar-SA"/>
          </w:rPr>
          <w:tab/>
        </w:r>
      </w:hyperlink>
      <w:r>
        <w:rPr>
          <w:rFonts w:eastAsia="Times New Roman" w:cs="Liberation Serif;Times New Roman" w:ascii="Liberation Serif;Times New Roman" w:hAnsi="Liberation Serif;Times New Roman"/>
          <w:bCs/>
          <w:color w:val="000000"/>
          <w:sz w:val="22"/>
          <w:szCs w:val="22"/>
          <w:highlight w:val="white"/>
          <w:lang w:val="ru-RU" w:eastAsia="zh-CN" w:bidi="ar-SA"/>
        </w:rPr>
        <w:t>4</w:t>
      </w:r>
    </w:p>
    <w:p>
      <w:pPr>
        <w:pStyle w:val="Standard"/>
        <w:widowControl/>
        <w:tabs>
          <w:tab w:val="clear" w:pos="388"/>
          <w:tab w:val="right" w:pos="9921" w:leader="dot"/>
        </w:tabs>
        <w:suppressAutoHyphens w:val="true"/>
        <w:bidi w:val="0"/>
        <w:ind w:left="567" w:right="0" w:hanging="0"/>
        <w:jc w:val="both"/>
        <w:textAlignment w:val="baseline"/>
        <w:rPr/>
      </w:pP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  <w:lang w:val="ru-RU" w:eastAsia="zh-CN" w:bidi="ar-SA"/>
        </w:rPr>
        <w:t>Таблица 3. Требования к продукции (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iCs/>
          <w:color w:val="000000"/>
          <w:sz w:val="24"/>
          <w:szCs w:val="24"/>
          <w:highlight w:val="white"/>
          <w:lang w:val="ru-RU" w:eastAsia="zh-CN" w:bidi="ar-SA"/>
        </w:rPr>
        <w:t xml:space="preserve">автогидроподъемника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0"/>
          <w:kern w:val="2"/>
          <w:sz w:val="24"/>
          <w:szCs w:val="24"/>
          <w:highlight w:val="white"/>
          <w:u w:val="none"/>
          <w:em w:val="none"/>
          <w:lang w:val="ru-RU" w:eastAsia="zh-CN" w:bidi="ar-SA"/>
        </w:rPr>
        <w:t>на шасси автомобиля 4х4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kern w:val="2"/>
          <w:sz w:val="22"/>
          <w:szCs w:val="22"/>
          <w:highlight w:val="white"/>
          <w:lang w:val="ru-RU" w:eastAsia="zh-CN" w:bidi="ar-SA"/>
        </w:rPr>
        <w:t>)</w:t>
      </w:r>
    </w:p>
    <w:p>
      <w:pPr>
        <w:pStyle w:val="42"/>
        <w:widowControl/>
        <w:tabs>
          <w:tab w:val="clear" w:pos="1019"/>
          <w:tab w:val="clear" w:pos="1455"/>
          <w:tab w:val="right" w:pos="9921" w:leader="dot"/>
        </w:tabs>
        <w:suppressAutoHyphens w:val="true"/>
        <w:ind w:left="567" w:right="0" w:hanging="0"/>
        <w:jc w:val="both"/>
        <w:textAlignment w:val="baseline"/>
        <w:rPr/>
      </w:pPr>
      <w:r>
        <w:rPr>
          <w:rStyle w:val="Style24"/>
          <w:rFonts w:eastAsia="Times New Roman" w:cs="Liberation Serif;Times New Roman" w:ascii="Liberation Serif;Times New Roman" w:hAnsi="Liberation Serif;Times New Roman"/>
          <w:b/>
          <w:bCs/>
          <w:i w:val="false"/>
          <w:iCs/>
          <w:strike w:val="false"/>
          <w:dstrike w:val="false"/>
          <w:outline w:val="false"/>
          <w:shadow w:val="false"/>
          <w:color w:val="000000"/>
          <w:kern w:val="2"/>
          <w:sz w:val="22"/>
          <w:szCs w:val="22"/>
          <w:highlight w:val="white"/>
          <w:u w:val="single"/>
          <w:em w:val="none"/>
          <w:lang w:val="ru-RU" w:eastAsia="zh-CN" w:bidi="ar-SA"/>
        </w:rPr>
        <w:t>3.Требования к документации по ценообразованию.</w:t>
      </w:r>
      <w:hyperlink w:anchor="__RefHeading___Toc2283_3754132123">
        <w:r>
          <w:rPr>
            <w:rFonts w:eastAsia="Times New Roman" w:cs="Liberation Serif;Times New Roman" w:ascii="Liberation Serif;Times New Roman" w:hAnsi="Liberation Serif;Times New Roman"/>
            <w:b w:val="false"/>
            <w:bCs/>
            <w:color w:val="000000"/>
            <w:kern w:val="2"/>
            <w:sz w:val="22"/>
            <w:szCs w:val="22"/>
            <w:highlight w:val="white"/>
            <w:lang w:val="ru-RU" w:eastAsia="zh-CN" w:bidi="ar-SA"/>
          </w:rPr>
          <w:tab/>
        </w:r>
      </w:hyperlink>
      <w:r>
        <w:rPr>
          <w:rStyle w:val="Style24"/>
          <w:rFonts w:eastAsia="Times New Roman" w:cs="Liberation Serif;Times New Roman" w:ascii="Liberation Serif;Times New Roman" w:hAnsi="Liberation Serif;Times New Roman"/>
          <w:b w:val="false"/>
          <w:bCs/>
          <w:color w:val="000000"/>
          <w:kern w:val="2"/>
          <w:sz w:val="22"/>
          <w:szCs w:val="22"/>
          <w:highlight w:val="white"/>
          <w:lang w:val="ru-RU" w:eastAsia="zh-CN" w:bidi="ar-SA"/>
        </w:rPr>
        <w:t>9</w:t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numPr>
          <w:ilvl w:val="0"/>
          <w:numId w:val="3"/>
        </w:numPr>
        <w:jc w:val="center"/>
        <w:rPr/>
      </w:pPr>
      <w:r>
        <w:rPr>
          <w:b/>
          <w:bCs/>
          <w:color w:val="000000"/>
          <w:sz w:val="24"/>
          <w:szCs w:val="24"/>
        </w:rPr>
        <w:t>Общие сведения</w:t>
      </w:r>
    </w:p>
    <w:p>
      <w:pPr>
        <w:pStyle w:val="Normal"/>
        <w:numPr>
          <w:ilvl w:val="1"/>
          <w:numId w:val="3"/>
        </w:numPr>
        <w:ind w:left="1146" w:right="0" w:hanging="1582"/>
        <w:jc w:val="both"/>
        <w:rPr/>
      </w:pPr>
      <w:r>
        <w:rPr>
          <w:b/>
          <w:bCs/>
          <w:sz w:val="24"/>
          <w:szCs w:val="24"/>
        </w:rPr>
        <w:t>Обозначения и сокращения</w:t>
      </w:r>
    </w:p>
    <w:tbl>
      <w:tblPr>
        <w:tblW w:w="10621" w:type="dxa"/>
        <w:jc w:val="left"/>
        <w:tblInd w:w="-5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8919"/>
      </w:tblGrid>
      <w:tr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8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Транспортное средство</w:t>
            </w:r>
          </w:p>
        </w:tc>
      </w:tr>
      <w:tr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ЗИП</w:t>
            </w:r>
          </w:p>
        </w:tc>
        <w:tc>
          <w:tcPr>
            <w:tcW w:w="8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Запасные части, инструменты и принадлежности</w:t>
            </w:r>
          </w:p>
        </w:tc>
      </w:tr>
      <w:tr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ВЛ</w:t>
            </w:r>
          </w:p>
        </w:tc>
        <w:tc>
          <w:tcPr>
            <w:tcW w:w="8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Воздушные линия электропередач</w:t>
            </w:r>
          </w:p>
        </w:tc>
      </w:tr>
      <w:tr>
        <w:trPr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ТТ</w:t>
            </w:r>
          </w:p>
        </w:tc>
        <w:tc>
          <w:tcPr>
            <w:tcW w:w="8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Технические требования</w:t>
            </w:r>
          </w:p>
        </w:tc>
      </w:tr>
    </w:tbl>
    <w:p>
      <w:pPr>
        <w:pStyle w:val="Normal"/>
        <w:tabs>
          <w:tab w:val="clear" w:pos="388"/>
          <w:tab w:val="left" w:pos="-142" w:leader="none"/>
          <w:tab w:val="left" w:pos="0" w:leader="none"/>
        </w:tabs>
        <w:ind w:left="426" w:right="0" w:hanging="0"/>
        <w:rPr/>
      </w:pPr>
      <w:r>
        <w:rPr/>
      </w:r>
    </w:p>
    <w:p>
      <w:pPr>
        <w:pStyle w:val="Normal"/>
        <w:numPr>
          <w:ilvl w:val="1"/>
          <w:numId w:val="2"/>
        </w:numPr>
        <w:tabs>
          <w:tab w:val="clear" w:pos="388"/>
          <w:tab w:val="left" w:pos="-142" w:leader="none"/>
          <w:tab w:val="left" w:pos="0" w:leader="none"/>
        </w:tabs>
        <w:ind w:left="-698" w:right="0" w:firstLine="272"/>
        <w:rPr/>
      </w:pP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Наименование закупаемой продукции </w:t>
      </w:r>
    </w:p>
    <w:p>
      <w:pPr>
        <w:pStyle w:val="Normal"/>
        <w:widowControl/>
        <w:numPr>
          <w:ilvl w:val="0"/>
          <w:numId w:val="0"/>
        </w:numPr>
        <w:tabs>
          <w:tab w:val="clear" w:pos="388"/>
          <w:tab w:val="left" w:pos="-142" w:leader="none"/>
          <w:tab w:val="left" w:pos="0" w:leader="none"/>
        </w:tabs>
        <w:suppressAutoHyphens w:val="true"/>
        <w:bidi w:val="0"/>
        <w:ind w:left="0" w:right="0" w:hanging="0"/>
        <w:jc w:val="left"/>
        <w:rPr/>
      </w:pPr>
      <w:r>
        <w:rPr>
          <w:rFonts w:eastAsia="Times New Roman"/>
          <w:b/>
          <w:bCs/>
          <w:color w:val="000000"/>
          <w:sz w:val="24"/>
          <w:szCs w:val="24"/>
          <w:highlight w:val="white"/>
        </w:rPr>
        <w:t xml:space="preserve"> </w:t>
      </w:r>
      <w:r>
        <w:rPr>
          <w:rFonts w:eastAsia="Arial Unicode MS"/>
          <w:sz w:val="24"/>
          <w:szCs w:val="24"/>
          <w:highlight w:val="white"/>
        </w:rPr>
        <w:t xml:space="preserve">ОКПД 2 29.10.5 </w:t>
      </w:r>
      <w:r>
        <w:rPr>
          <w:rFonts w:eastAsia="Arial Unicode MS"/>
          <w:sz w:val="24"/>
          <w:szCs w:val="24"/>
        </w:rPr>
        <w:t>Поставка автогидроподъемника на шасси автомобиля 4х4 для филиала АО   "ДРСК" "Амурские электрические сети" (г. Благовещенск)</w:t>
      </w:r>
    </w:p>
    <w:p>
      <w:pPr>
        <w:pStyle w:val="Normal"/>
        <w:widowControl/>
        <w:numPr>
          <w:ilvl w:val="0"/>
          <w:numId w:val="0"/>
        </w:numPr>
        <w:tabs>
          <w:tab w:val="clear" w:pos="388"/>
          <w:tab w:val="left" w:pos="-142" w:leader="none"/>
          <w:tab w:val="left" w:pos="0" w:leader="none"/>
        </w:tabs>
        <w:suppressAutoHyphens w:val="true"/>
        <w:bidi w:val="0"/>
        <w:ind w:left="-397" w:right="0" w:hanging="0"/>
        <w:jc w:val="left"/>
        <w:rPr/>
      </w:pPr>
      <w:r>
        <w:rPr>
          <w:b/>
          <w:bCs/>
          <w:color w:val="000000"/>
          <w:sz w:val="24"/>
          <w:szCs w:val="24"/>
        </w:rPr>
        <w:t>1.2.1. Цель использования закупаемой продукции</w:t>
      </w:r>
    </w:p>
    <w:p>
      <w:pPr>
        <w:pStyle w:val="Normal"/>
        <w:widowControl/>
        <w:numPr>
          <w:ilvl w:val="0"/>
          <w:numId w:val="0"/>
        </w:numPr>
        <w:tabs>
          <w:tab w:val="clear" w:pos="388"/>
          <w:tab w:val="left" w:pos="-142" w:leader="none"/>
          <w:tab w:val="left" w:pos="0" w:leader="none"/>
        </w:tabs>
        <w:suppressAutoHyphens w:val="true"/>
        <w:bidi w:val="0"/>
        <w:ind w:left="0" w:right="0" w:hanging="0"/>
        <w:jc w:val="left"/>
        <w:rPr/>
      </w:pPr>
      <w:r>
        <w:rPr>
          <w:rFonts w:eastAsia="Arial Unicode MS"/>
          <w:bCs/>
          <w:color w:val="000000"/>
          <w:sz w:val="24"/>
          <w:szCs w:val="24"/>
        </w:rPr>
        <w:t>П</w:t>
      </w:r>
      <w:r>
        <w:rPr>
          <w:rFonts w:eastAsia="Arial Unicode MS"/>
          <w:sz w:val="24"/>
          <w:szCs w:val="24"/>
        </w:rPr>
        <w:t>одъем и перемещение людей, инструмента и материалов на заданную высоту для проведения           ремонтных и профилактических работ.</w:t>
      </w:r>
    </w:p>
    <w:p>
      <w:pPr>
        <w:pStyle w:val="Normal"/>
        <w:numPr>
          <w:ilvl w:val="0"/>
          <w:numId w:val="3"/>
        </w:numPr>
        <w:jc w:val="center"/>
        <w:rPr/>
      </w:pPr>
      <w:r>
        <w:rPr>
          <w:b/>
          <w:bCs/>
          <w:color w:val="000000"/>
          <w:sz w:val="24"/>
          <w:szCs w:val="24"/>
        </w:rPr>
        <w:t>Требования к продукции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-454" w:right="0" w:hanging="0"/>
        <w:jc w:val="left"/>
        <w:rPr/>
      </w:pPr>
      <w:r>
        <w:rPr>
          <w:b/>
          <w:bCs/>
          <w:color w:val="000000"/>
          <w:sz w:val="24"/>
          <w:szCs w:val="24"/>
        </w:rPr>
        <w:t>2.1.Требования к объемам и срокам поставки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-454" w:right="0" w:hanging="0"/>
        <w:jc w:val="left"/>
        <w:rPr/>
      </w:pPr>
      <w:r>
        <w:rPr>
          <w:b/>
          <w:bCs/>
          <w:color w:val="000000"/>
          <w:sz w:val="24"/>
          <w:szCs w:val="24"/>
        </w:rPr>
        <w:t>2.1.1. Перечень и объем закупаемой продукции</w:t>
      </w:r>
    </w:p>
    <w:p>
      <w:pPr>
        <w:pStyle w:val="Normal"/>
        <w:ind w:left="-142" w:right="0" w:hanging="0"/>
        <w:jc w:val="left"/>
        <w:rPr/>
      </w:pPr>
      <w:r>
        <w:rPr>
          <w:b w:val="false"/>
          <w:bCs w:val="false"/>
          <w:color w:val="000000"/>
          <w:sz w:val="24"/>
          <w:szCs w:val="24"/>
        </w:rPr>
        <w:t xml:space="preserve">Таблица 1 «Перечень </w:t>
      </w:r>
      <w:r>
        <w:rPr>
          <w:b w:val="false"/>
          <w:bCs w:val="false"/>
          <w:sz w:val="24"/>
          <w:szCs w:val="24"/>
        </w:rPr>
        <w:t>и объем закупаемой продукции»</w:t>
      </w:r>
    </w:p>
    <w:tbl>
      <w:tblPr>
        <w:tblW w:w="10705" w:type="dxa"/>
        <w:jc w:val="left"/>
        <w:tblInd w:w="-5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5953"/>
        <w:gridCol w:w="1484"/>
        <w:gridCol w:w="2274"/>
      </w:tblGrid>
      <w:tr>
        <w:trPr>
          <w:trHeight w:val="780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Автогидроподъемник на шасси автомобиля 4х4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</w:tr>
    </w:tbl>
    <w:p>
      <w:pPr>
        <w:pStyle w:val="Normal"/>
        <w:ind w:left="-142" w:right="0" w:hanging="0"/>
        <w:rPr/>
      </w:pPr>
      <w:r>
        <w:rPr/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left="-454" w:right="0" w:hanging="0"/>
        <w:jc w:val="left"/>
        <w:rPr/>
      </w:pPr>
      <w:r>
        <w:rPr>
          <w:b/>
          <w:bCs/>
          <w:color w:val="000000"/>
          <w:sz w:val="24"/>
          <w:szCs w:val="24"/>
        </w:rPr>
        <w:t xml:space="preserve">2.1.2.Требования к срокам поставки продукции </w:t>
      </w:r>
    </w:p>
    <w:p>
      <w:pPr>
        <w:pStyle w:val="Normal"/>
        <w:ind w:left="0" w:right="0" w:hanging="142"/>
        <w:rPr/>
      </w:pPr>
      <w:r>
        <w:rPr>
          <w:sz w:val="24"/>
          <w:szCs w:val="24"/>
        </w:rPr>
        <w:t>Таблица 2 Требования по срокам поставки продукции</w:t>
      </w:r>
    </w:p>
    <w:tbl>
      <w:tblPr>
        <w:tblW w:w="10657" w:type="dxa"/>
        <w:jc w:val="left"/>
        <w:tblInd w:w="-5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3433"/>
        <w:gridCol w:w="2663"/>
        <w:gridCol w:w="3852"/>
      </w:tblGrid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(партии продукции)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40" w:after="40"/>
              <w:ind w:left="57" w:right="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40" w:after="40"/>
              <w:ind w:left="57" w:right="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40" w:after="40"/>
              <w:ind w:left="57" w:right="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40" w:after="40"/>
              <w:ind w:left="57" w:right="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Автогидроподъемник на шасси автомобиля 4х4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30</w:t>
            </w:r>
            <w:r>
              <w:rPr>
                <w:iCs/>
                <w:sz w:val="24"/>
                <w:szCs w:val="24"/>
              </w:rPr>
              <w:t>.0</w:t>
            </w:r>
            <w:r>
              <w:rPr>
                <w:iCs/>
                <w:sz w:val="24"/>
                <w:szCs w:val="24"/>
              </w:rPr>
              <w:t>6</w:t>
            </w:r>
            <w:r>
              <w:rPr>
                <w:iCs/>
                <w:sz w:val="24"/>
                <w:szCs w:val="24"/>
              </w:rPr>
              <w:t>.2027 допускается досрочная поставка после письменного согласования с Заказчиком</w:t>
            </w:r>
          </w:p>
        </w:tc>
      </w:tr>
    </w:tbl>
    <w:p>
      <w:pPr>
        <w:sectPr>
          <w:type w:val="nextPage"/>
          <w:pgSz w:w="11906" w:h="16838"/>
          <w:pgMar w:left="885" w:right="738" w:header="0" w:top="1021" w:footer="0" w:bottom="680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numPr>
          <w:ilvl w:val="0"/>
          <w:numId w:val="0"/>
        </w:numPr>
        <w:ind w:left="1146" w:right="0" w:hanging="0"/>
        <w:jc w:val="both"/>
        <w:rPr/>
      </w:pPr>
      <w:r>
        <w:rPr>
          <w:b/>
          <w:bCs/>
          <w:sz w:val="24"/>
          <w:szCs w:val="24"/>
          <w:lang w:val="ru-RU"/>
        </w:rPr>
        <w:t>2.2.Требования к качеству продукции</w:t>
      </w:r>
    </w:p>
    <w:p>
      <w:pPr>
        <w:pStyle w:val="Normal"/>
        <w:ind w:left="426" w:right="0" w:hanging="0"/>
        <w:jc w:val="both"/>
        <w:rPr/>
      </w:pPr>
      <w:r>
        <w:rPr>
          <w:b w:val="false"/>
          <w:bCs w:val="false"/>
          <w:sz w:val="24"/>
          <w:szCs w:val="24"/>
        </w:rPr>
        <w:t>Таблица 3. Требования к продукции (а</w:t>
      </w:r>
      <w:r>
        <w:rPr>
          <w:rFonts w:eastAsia="Arial Unicode MS"/>
          <w:b w:val="false"/>
          <w:bCs w:val="false"/>
          <w:sz w:val="24"/>
          <w:szCs w:val="24"/>
        </w:rPr>
        <w:t>втогидроподъемник на шасси автомобиля 4х4</w:t>
      </w:r>
      <w:r>
        <w:rPr>
          <w:rStyle w:val="14"/>
          <w:rFonts w:eastAsia="Arial Unicode MS"/>
          <w:b w:val="false"/>
          <w:bCs w:val="false"/>
          <w:sz w:val="24"/>
          <w:szCs w:val="24"/>
        </w:rPr>
        <w:t>)</w:t>
      </w:r>
    </w:p>
    <w:tbl>
      <w:tblPr>
        <w:tblW w:w="14625" w:type="dxa"/>
        <w:jc w:val="left"/>
        <w:tblInd w:w="8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3089"/>
        <w:gridCol w:w="4141"/>
        <w:gridCol w:w="2773"/>
        <w:gridCol w:w="1929"/>
        <w:gridCol w:w="1986"/>
      </w:tblGrid>
      <w:tr>
        <w:trPr>
          <w:trHeight w:val="23" w:hRule="atLeast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№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Наименование параметра</w:t>
            </w:r>
          </w:p>
        </w:tc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  <w:bCs/>
                <w:sz w:val="24"/>
                <w:szCs w:val="24"/>
                <w:lang w:eastAsia="en-US"/>
              </w:rPr>
            </w:pPr>
            <w:bookmarkStart w:id="0" w:name="_Hlk51251235"/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Требование заказчика</w:t>
            </w:r>
            <w:bookmarkEnd w:id="0"/>
          </w:p>
        </w:tc>
        <w:tc>
          <w:tcPr>
            <w:tcW w:w="4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Способ подтверждения участником соответствия требованиям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Предложение участника по характеристикам и параметрам</w:t>
            </w:r>
          </w:p>
        </w:tc>
      </w:tr>
      <w:tr>
        <w:trPr>
          <w:trHeight w:val="23" w:hRule="atLeast"/>
        </w:trPr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eastAsia="Calibri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W w:w="30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eastAsia="Calibri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W w:w="4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eastAsia="Calibri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Согласие с требованием / указание характеристик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bookmarkStart w:id="1" w:name="_Hlk51253264"/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Предоставление подтверждающего документа или иной способ подтверждения</w:t>
            </w:r>
            <w:bookmarkEnd w:id="1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eastAsia="Calibri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6</w:t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3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Год выпуска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Arial Unicode MS"/>
                <w:sz w:val="24"/>
                <w:szCs w:val="24"/>
              </w:rPr>
              <w:t>2027 (новый, без пробега)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14"/>
                <w:rFonts w:eastAsia="Calibri"/>
                <w:iCs/>
                <w:sz w:val="24"/>
                <w:szCs w:val="24"/>
                <w:lang w:eastAsia="en-US"/>
              </w:rPr>
              <w:t>Указать год выпуска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Cs/>
                <w:sz w:val="24"/>
                <w:szCs w:val="24"/>
                <w:lang w:val="en-US" w:eastAsia="en-US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98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1.2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Arial Unicode MS"/>
                <w:sz w:val="24"/>
                <w:szCs w:val="24"/>
              </w:rPr>
              <w:t xml:space="preserve">Новый, без </w:t>
            </w:r>
            <w:r>
              <w:rPr>
                <w:sz w:val="24"/>
                <w:szCs w:val="24"/>
              </w:rPr>
              <w:t>эксплуатационного</w:t>
            </w:r>
            <w:r>
              <w:rPr>
                <w:rFonts w:eastAsia="Arial Unicode MS"/>
                <w:sz w:val="24"/>
                <w:szCs w:val="24"/>
              </w:rPr>
              <w:t xml:space="preserve"> пробега и наработки моточасов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 новым следует понимать автотехнику, которая не была в употреблении, не проходила ремонт, в том числе восстановление, замену составных частей, восстановление потребительских свойств;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без пробега,означает,что не допускается эксплуатационный пробег свыше 2000 км;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без наработки в моточасах означает без эксплуатационной наработки.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12" w:righ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12" w:right="0" w:hanging="0"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Наименование транспортного средства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ind w:left="12" w:right="0" w:hanging="0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12" w:right="0" w:hanging="0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12" w:right="0" w:hanging="0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-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rStyle w:val="14"/>
                <w:rFonts w:eastAsia="Times New Roman" w:cs="Times New Roman"/>
                <w:b w:val="false"/>
                <w:bCs w:val="false"/>
                <w:iCs/>
                <w:color w:val="auto"/>
                <w:sz w:val="24"/>
                <w:szCs w:val="24"/>
                <w:lang w:val="ru-RU" w:eastAsia="zh-CN" w:bidi="ar-SA"/>
              </w:rPr>
              <w:t>Указать точное наименование ТС в соответствии с паспортом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14"/>
                <w:rFonts w:eastAsia="Times New Roman" w:cs="Times New Roman"/>
                <w:b w:val="false"/>
                <w:b w:val="false"/>
                <w:bCs w:val="false"/>
                <w:iCs/>
                <w:color w:val="auto"/>
                <w:sz w:val="24"/>
                <w:szCs w:val="24"/>
                <w:lang w:val="ru-RU" w:eastAsia="zh-CN" w:bidi="ar-SA"/>
              </w:rPr>
            </w:pPr>
            <w:r>
              <w:rPr/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14"/>
                <w:rFonts w:eastAsia="Calibri"/>
                <w:iCs/>
                <w:sz w:val="24"/>
                <w:szCs w:val="24"/>
                <w:lang w:eastAsia="en-US"/>
              </w:rPr>
              <w:t>Указать производителя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Категория управления ТС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«С»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center"/>
              <w:rPr>
                <w:sz w:val="24"/>
                <w:szCs w:val="24"/>
              </w:rPr>
            </w:pPr>
            <w:r>
              <w:rPr>
                <w:rStyle w:val="Annotationreference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Cs/>
                <w:sz w:val="24"/>
                <w:szCs w:val="24"/>
                <w:lang w:val="en-US" w:eastAsia="en-US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Габаритные размеры ТС, не более (мм):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Длина — не более 7700, ширина - не более 2500, высота — не более 3700.Допускается погрешность в значениях параметров в пределах 5%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Указать характеристики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П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риложить чертежи с указанием габаритных размеров  предлагаемого к поставке ТС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Двигатель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Дизельный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Cs/>
                <w:sz w:val="24"/>
                <w:szCs w:val="24"/>
                <w:lang w:val="en-US" w:eastAsia="en-US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Мощность двигателя не менее (л.с.)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Не менее 140 л.с.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Указать характеристики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Cs/>
                <w:sz w:val="24"/>
                <w:szCs w:val="24"/>
                <w:lang w:val="en-US" w:eastAsia="en-US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548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Коробка передач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Механическая с количеством передач не менее 5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Указать характеристики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Cs/>
                <w:sz w:val="24"/>
                <w:szCs w:val="24"/>
                <w:lang w:val="en-US" w:eastAsia="en-US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Колёсная формула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4х4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Указать характеристики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Cs/>
                <w:sz w:val="24"/>
                <w:szCs w:val="24"/>
                <w:lang w:val="en-US" w:eastAsia="en-US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Ошиновка шасси по осям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Односкатная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Указать характеристики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Cs/>
                <w:sz w:val="24"/>
                <w:szCs w:val="24"/>
                <w:lang w:val="en-US" w:eastAsia="en-US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14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Кабина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Двухрядная, трёх дверная, сиденья регулируемые, мягкие с ремнями безопасности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Указать характеристики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Cs/>
                <w:sz w:val="24"/>
                <w:szCs w:val="24"/>
                <w:lang w:val="en-US" w:eastAsia="en-US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142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Число мест (включая водителя)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Указать характеристики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Cs/>
                <w:sz w:val="24"/>
                <w:szCs w:val="24"/>
                <w:lang w:val="en-US" w:eastAsia="en-US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Конструкция рабочего оборудования автогидроподъёмника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bidi w:val="0"/>
              <w:jc w:val="left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Телескопическая стрела с люлькой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Указать характеристики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Высота подъёма, не менее: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18 метров.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14"/>
                <w:rFonts w:eastAsia="Calibri"/>
                <w:iCs/>
                <w:sz w:val="24"/>
                <w:szCs w:val="24"/>
                <w:lang w:eastAsia="en-US"/>
              </w:rPr>
              <w:t>Указать характеристики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Угол поворота, град.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14"/>
                <w:rFonts w:eastAsia="Calibri"/>
                <w:iCs/>
                <w:sz w:val="24"/>
                <w:szCs w:val="24"/>
                <w:lang w:eastAsia="en-US"/>
              </w:rPr>
              <w:t>Указать характеристики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Количество пультов управления подъёмником, шт.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14"/>
                <w:rFonts w:eastAsia="Calibri"/>
                <w:iCs/>
                <w:sz w:val="24"/>
                <w:szCs w:val="24"/>
                <w:lang w:eastAsia="en-US"/>
              </w:rPr>
              <w:t>Указать характеристики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Люлька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1.Металлическая. Оснащение электроизоляцией для работы с энергоустановками до 1кВ.без отключения питания. Подвес люльки с 2-х сторон;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2.Грузоподъёмность люльки — не менее 250 кг;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Максимальная высота подъёма люльки -не менее 18 м;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14"/>
                <w:rFonts w:eastAsia="Calibri"/>
                <w:iCs/>
                <w:sz w:val="24"/>
                <w:szCs w:val="24"/>
                <w:lang w:eastAsia="en-US"/>
              </w:rPr>
              <w:t>Указать характеристики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Тип изоляции люльки: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Опорно-стержневой, полимерный изолятор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14"/>
                <w:rFonts w:eastAsia="Calibri"/>
                <w:iCs/>
                <w:sz w:val="24"/>
                <w:szCs w:val="24"/>
                <w:lang w:eastAsia="en-US"/>
              </w:rPr>
              <w:t>Указать характеристики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snapToGrid w:val="false"/>
              <w:spacing w:before="280" w:after="0"/>
              <w:ind w:left="12" w:right="0" w:hanging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1.20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color w:val="333333"/>
                <w:sz w:val="24"/>
                <w:szCs w:val="24"/>
              </w:rPr>
            </w:pPr>
            <w:r>
              <w:rPr>
                <w:rFonts w:eastAsia="Arial Unicode MS"/>
                <w:color w:val="333333"/>
                <w:sz w:val="24"/>
                <w:szCs w:val="24"/>
              </w:rPr>
              <w:t>Наличие ЗИП;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 xml:space="preserve">Согласно комплектации завода-изготовителя:штатный набор ключей для проведения работ по техническому обслуживанию шасси </w:t>
            </w:r>
            <w:r>
              <w:rPr>
                <w:rFonts w:eastAsia="Arial Unicode MS"/>
                <w:sz w:val="24"/>
                <w:szCs w:val="24"/>
              </w:rPr>
              <w:t>автогидроподъемника, комплект ЗИП для ремонта и обслуживания телескопическая стрела с люлькой (РТИ,комплект быстроизнашивающихся частей).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перечень ЗИП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snapToGrid w:val="false"/>
              <w:spacing w:before="280" w:after="0"/>
              <w:ind w:left="12" w:right="0" w:hanging="0"/>
              <w:jc w:val="both"/>
              <w:rPr>
                <w:rFonts w:ascii="Times New Roman" w:hAnsi="Times New Roman" w:eastAsia="Calibri" w:cs="Times New Roman"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 w:cs="Times New Roman" w:ascii="Times New Roman" w:hAnsi="Times New Roman"/>
                <w:iCs/>
                <w:sz w:val="24"/>
                <w:szCs w:val="24"/>
                <w:lang w:val="en-US" w:eastAsia="en-US"/>
              </w:rPr>
              <w:t>1.21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spacing w:before="0" w:after="0"/>
              <w:contextualSpacing/>
              <w:rPr>
                <w:rFonts w:ascii="Liberation Serif;Times New Roman" w:hAnsi="Liberation Serif;Times New Roman" w:eastAsia="Calibri" w:cs="Liberation Serif;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bCs/>
                <w:sz w:val="24"/>
                <w:szCs w:val="24"/>
                <w:lang w:eastAsia="en-US"/>
              </w:rPr>
              <w:t>Дополнительная комплектация: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b/>
                <w:b/>
                <w:bCs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b/>
                <w:bCs/>
                <w:i/>
                <w:iCs/>
                <w:sz w:val="24"/>
                <w:szCs w:val="24"/>
                <w:lang w:eastAsia="en-US"/>
              </w:rPr>
              <w:t>Кондиционер кабины (12V).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ru-RU" w:eastAsia="en-US" w:bidi="ar-SA"/>
              </w:rPr>
              <w:t>-Автономный переносной пульт управления манипулятором (ДПУ)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000000"/>
                <w:sz w:val="24"/>
                <w:szCs w:val="24"/>
                <w:lang w:eastAsia="en-US"/>
              </w:rPr>
              <w:t>-Автономный отопитель салона кабины.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000000"/>
                <w:sz w:val="24"/>
                <w:szCs w:val="24"/>
                <w:lang w:eastAsia="en-US"/>
              </w:rPr>
              <w:t>-Предпусковой дизельный подогреватель двигателя.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000000"/>
                <w:sz w:val="24"/>
                <w:szCs w:val="24"/>
                <w:lang w:eastAsia="en-US"/>
              </w:rPr>
              <w:t>-Домкрат — 1 шт.(не менее 8 тон)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000000"/>
                <w:sz w:val="24"/>
                <w:szCs w:val="24"/>
                <w:lang w:eastAsia="en-US"/>
              </w:rPr>
              <w:t>-Знак аварийной остановки — 1 шт.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000000"/>
                <w:sz w:val="24"/>
                <w:szCs w:val="24"/>
                <w:lang w:eastAsia="en-US"/>
              </w:rPr>
              <w:t>-Аптечка первой помощи - 1 шт.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000000"/>
                <w:sz w:val="24"/>
                <w:szCs w:val="24"/>
                <w:lang w:eastAsia="en-US"/>
              </w:rPr>
              <w:t>-Деревянные подкладки под аутригеры установки.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000000"/>
                <w:sz w:val="24"/>
                <w:szCs w:val="24"/>
                <w:lang w:eastAsia="en-US"/>
              </w:rPr>
              <w:t>-Противооткатные упоры – 2 шт.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contextualSpacing/>
              <w:jc w:val="both"/>
              <w:rPr/>
            </w:pPr>
            <w:r>
              <w:rPr>
                <w:rFonts w:eastAsia="Calibri" w:cs="Liberation Serif;Times New Roman" w:ascii="Liberation Serif;Times New Roman" w:hAnsi="Liberation Serif;Times New Roman"/>
                <w:color w:val="000000"/>
                <w:sz w:val="24"/>
                <w:szCs w:val="24"/>
                <w:lang w:eastAsia="en-US"/>
              </w:rPr>
              <w:t>-Утеплител</w:t>
            </w:r>
            <w:r>
              <w:rPr>
                <w:rFonts w:eastAsia="Calibri" w:cs="Liberation Serif;Times New Roman" w:ascii="Liberation Serif;Times New Roman" w:hAnsi="Liberation Serif;Times New Roman"/>
                <w:color w:val="000000"/>
                <w:sz w:val="24"/>
                <w:szCs w:val="24"/>
                <w:highlight w:val="white"/>
                <w:lang w:eastAsia="en-US"/>
              </w:rPr>
              <w:t>ь решётки радиатора.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000000"/>
                <w:sz w:val="24"/>
                <w:szCs w:val="24"/>
                <w:lang w:eastAsia="en-US"/>
              </w:rPr>
              <w:t>-Трос буксирный со световозвращающими маркерами с усилием нагрузки 15 тс, длиной - 6 м.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000000"/>
                <w:sz w:val="24"/>
                <w:szCs w:val="24"/>
                <w:lang w:eastAsia="en-US"/>
              </w:rPr>
              <w:t>-Жилет или жилет-накидка согласно ГОСТа 12.4.281-2014 -2 шт..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000000"/>
                <w:sz w:val="24"/>
                <w:szCs w:val="24"/>
                <w:lang w:eastAsia="en-US"/>
              </w:rPr>
              <w:t>-Ящики для размещения инвентарных подкладок.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000000"/>
                <w:sz w:val="24"/>
                <w:szCs w:val="24"/>
                <w:lang w:eastAsia="en-US"/>
              </w:rPr>
              <w:t>-Коврики резиновые в кабине.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before="0" w:after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000000"/>
                <w:sz w:val="24"/>
                <w:szCs w:val="24"/>
                <w:lang w:eastAsia="en-US"/>
              </w:rPr>
              <w:t>-Места для установки переносного заземления на раме шасси подъемника для работы в охранной зоне ВЛ.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000000"/>
                <w:sz w:val="24"/>
                <w:szCs w:val="24"/>
                <w:lang w:eastAsia="en-US"/>
              </w:rPr>
              <w:t>-Прожектор (фара-искатель) на стреле для освещения места проведения работ в темное время суток.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before="0" w:after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000000"/>
                <w:sz w:val="24"/>
                <w:szCs w:val="24"/>
                <w:lang w:eastAsia="en-US"/>
              </w:rPr>
              <w:t>-Баллонный ключ – 1 шт.;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sz w:val="24"/>
                <w:szCs w:val="24"/>
                <w:lang w:eastAsia="en-US"/>
              </w:rPr>
              <w:t>-Шприц рычажно-плунжерный – 1 шт.;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sz w:val="24"/>
                <w:szCs w:val="24"/>
                <w:lang w:eastAsia="en-US"/>
              </w:rPr>
              <w:t>-Ключ для регулировки подшипников ступиц колес – 1 шт.;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sz w:val="24"/>
                <w:szCs w:val="24"/>
                <w:lang w:eastAsia="en-US"/>
              </w:rPr>
              <w:t>-Огнетушитель ОП2 (3) - 1 шт.;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before="0" w:after="0"/>
              <w:contextualSpacing/>
              <w:jc w:val="both"/>
              <w:rPr/>
            </w:pPr>
            <w:r>
              <w:rPr>
                <w:rFonts w:eastAsia="Calibri" w:cs="Liberation Serif;Times New Roman" w:ascii="Liberation Serif;Times New Roman" w:hAnsi="Liberation Serif;Times New Roman"/>
                <w:color w:val="000000"/>
                <w:sz w:val="24"/>
                <w:szCs w:val="24"/>
                <w:lang w:eastAsia="en-US"/>
              </w:rPr>
              <w:t>-Видеорегистратор с установкой и подключением, с картой памяти 64 ГБ: максимальное разрешение видеозаписи не менее 1920х1080, тип разрешения видеозап</w:t>
            </w:r>
            <w:r>
              <w:rPr>
                <w:rFonts w:eastAsia="Calibri" w:cs="Liberation Serif;Times New Roman" w:ascii="Liberation Serif;Times New Roman" w:hAnsi="Liberation Serif;Times New Roman"/>
                <w:sz w:val="24"/>
                <w:szCs w:val="24"/>
                <w:lang w:eastAsia="en-US"/>
              </w:rPr>
              <w:t>иси не хуже FullHD.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spacing w:before="0" w:after="0"/>
              <w:contextualSpacing/>
              <w:jc w:val="center"/>
              <w:rPr>
                <w:rFonts w:ascii="Liberation Serif;Times New Roman" w:hAnsi="Liberation Serif;Times New Roman" w:eastAsia="Calibri" w:cs="Liberation Serif;Times New Roman"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iCs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before="0" w:after="0"/>
              <w:contextualSpacing/>
              <w:jc w:val="center"/>
              <w:rPr>
                <w:rFonts w:ascii="Liberation Serif;Times New Roman" w:hAnsi="Liberation Serif;Times New Roman" w:eastAsia="Calibri" w:cs="Liberation Serif;Times New Roman"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iCs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before="0" w:after="0"/>
              <w:contextualSpacing/>
              <w:jc w:val="center"/>
              <w:rPr>
                <w:rFonts w:ascii="Liberation Serif;Times New Roman" w:hAnsi="Liberation Serif;Times New Roman" w:eastAsia="Calibri" w:cs="Liberation Serif;Times New Roman"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iCs/>
                <w:sz w:val="24"/>
                <w:szCs w:val="24"/>
                <w:lang w:eastAsia="en-US"/>
              </w:rPr>
              <w:t>Указать перечень доп. комплектации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spacing w:before="0" w:after="0"/>
              <w:ind w:left="12" w:right="0" w:hanging="0"/>
              <w:contextualSpacing/>
              <w:jc w:val="center"/>
              <w:rPr>
                <w:rFonts w:ascii="Liberation Serif;Times New Roman" w:hAnsi="Liberation Serif;Times New Roman" w:eastAsia="Arial Unicode MS" w:cs="Liberation Serif;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eastAsia="Arial Unicode MS" w:cs="Liberation Serif;Times New Roman" w:ascii="Liberation Serif;Times New Roman" w:hAnsi="Liberation Serif;Times New Roman"/>
                <w:iCs/>
                <w:sz w:val="24"/>
                <w:szCs w:val="24"/>
                <w:lang w:val="en-US" w:eastAsia="ru-RU"/>
              </w:rPr>
              <w:t>1.22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spacing w:before="0" w:after="0"/>
              <w:contextualSpacing/>
              <w:rPr>
                <w:rFonts w:ascii="Liberation Serif;Times New Roman" w:hAnsi="Liberation Serif;Times New Roman" w:eastAsia="Calibri" w:cs="Liberation Serif;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bCs/>
                <w:sz w:val="24"/>
                <w:szCs w:val="24"/>
                <w:lang w:eastAsia="en-US"/>
              </w:rPr>
              <w:t>Приборы безопасности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ind w:left="12" w:hanging="0"/>
              <w:jc w:val="both"/>
              <w:rPr/>
            </w:pPr>
            <w:r>
              <w:rPr>
                <w:rFonts w:eastAsia="Calibri"/>
                <w:lang w:eastAsia="en-US"/>
              </w:rPr>
              <w:t>-Обязательное наличие, в соответствии ФНП «Подъемные сооружения», с указанием марки приборов.</w:t>
            </w:r>
          </w:p>
          <w:p>
            <w:pPr>
              <w:pStyle w:val="Normal"/>
              <w:widowControl w:val="false"/>
              <w:shd w:val="clear" w:fill="FFFFFF"/>
              <w:suppressAutoHyphens w:val="false"/>
              <w:snapToGrid w:val="false"/>
              <w:spacing w:before="0" w:after="0"/>
              <w:ind w:left="12" w:hanging="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sz w:val="24"/>
                <w:szCs w:val="24"/>
                <w:lang w:eastAsia="en-US"/>
              </w:rPr>
              <w:t>-Датчики контроля опор — не менее 4 шт.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spacing w:before="0" w:after="0"/>
              <w:contextualSpacing/>
              <w:jc w:val="center"/>
              <w:rPr>
                <w:rFonts w:ascii="Liberation Serif;Times New Roman" w:hAnsi="Liberation Serif;Times New Roman" w:eastAsia="Calibri" w:cs="Liberation Serif;Times New Roman"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iCs/>
                <w:sz w:val="24"/>
                <w:szCs w:val="24"/>
                <w:lang w:eastAsia="en-US"/>
              </w:rPr>
              <w:t>Указать характеристики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spacing w:before="0" w:after="0"/>
              <w:ind w:left="12" w:right="0" w:hanging="0"/>
              <w:contextualSpacing/>
              <w:jc w:val="center"/>
              <w:rPr>
                <w:rFonts w:ascii="Liberation Serif;Times New Roman" w:hAnsi="Liberation Serif;Times New Roman" w:eastAsia="Arial Unicode MS" w:cs="Liberation Serif;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eastAsia="Arial Unicode MS" w:cs="Liberation Serif;Times New Roman" w:ascii="Liberation Serif;Times New Roman" w:hAnsi="Liberation Serif;Times New Roman"/>
                <w:iCs/>
                <w:sz w:val="24"/>
                <w:szCs w:val="24"/>
                <w:lang w:val="en-US" w:eastAsia="ru-RU"/>
              </w:rPr>
              <w:t>1.23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spacing w:before="0" w:after="0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bCs/>
                <w:sz w:val="24"/>
                <w:szCs w:val="24"/>
                <w:lang w:eastAsia="en-US"/>
              </w:rPr>
              <w:t>Управление КМУ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ind w:left="12" w:hanging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 земли, рабочее место оператора на колонне с защитой от атмосферных осадков, с беспроводного пульта.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false"/>
              <w:snapToGrid w:val="false"/>
              <w:spacing w:before="0" w:after="0"/>
              <w:contextualSpacing/>
              <w:jc w:val="center"/>
              <w:rPr>
                <w:rFonts w:eastAsia="Calibri"/>
                <w:iCs/>
                <w:lang w:eastAsia="en-US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iCs/>
                <w:sz w:val="24"/>
                <w:szCs w:val="24"/>
                <w:lang w:eastAsia="en-US"/>
              </w:rPr>
              <w:t>Указать характеристики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/>
                <w:b/>
                <w:i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7"/>
              <w:widowControl w:val="false"/>
              <w:spacing w:before="60" w:after="60"/>
              <w:ind w:left="0" w:right="0" w:hanging="0"/>
              <w:contextualSpacing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3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2.1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безопасности ТС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tabs>
                <w:tab w:val="clear" w:pos="388"/>
                <w:tab w:val="left" w:pos="60" w:leader="none"/>
                <w:tab w:val="left" w:pos="735" w:leader="none"/>
              </w:tabs>
              <w:suppressAutoHyphens w:val="false"/>
              <w:bidi w:val="0"/>
              <w:snapToGrid w:val="false"/>
              <w:spacing w:before="0" w:after="0"/>
              <w:ind w:left="113" w:right="0" w:hanging="0"/>
              <w:jc w:val="left"/>
              <w:rPr>
                <w:rFonts w:ascii="Times New Roman" w:hAnsi="Times New Roman" w:eastAsia="Arial Unicode MS" w:cs="Times New Roman"/>
                <w:color w:val="auto"/>
                <w:kern w:val="2"/>
                <w:sz w:val="24"/>
                <w:szCs w:val="24"/>
                <w:lang w:val="ru-RU" w:eastAsia="zh-CN" w:bidi="ar-SA"/>
              </w:rPr>
            </w:pPr>
            <w:r>
              <w:rPr>
                <w:rFonts w:eastAsia="Arial Unicode MS" w:cs="Times New Roman"/>
                <w:color w:val="auto"/>
                <w:kern w:val="2"/>
                <w:sz w:val="24"/>
                <w:szCs w:val="24"/>
                <w:highlight w:val="white"/>
                <w:lang w:val="ru-RU" w:eastAsia="zh-CN" w:bidi="ar-SA"/>
              </w:rPr>
              <w:t>Транспортное средство должно соответствовать требованиям технического регламента Таможенного союза ТР ТС 018/2011 «О безопасности колесных транспортных средств» с учетом требований Постановления Правительства РФ от 12 мая 2022г. № 855 «Об утверждении Правил применения обязательных требований в отношении отдельных колесных транспортных средств и проведения оценки их соответствия» (с изменениями и дополнениями)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rStyle w:val="Annotationreference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Liberation Serif;Times New Roman" w:hAnsi="Liberation Serif;Times New Roman" w:eastAsia="Calibri" w:cs="Liberation Serif;Times New Roman"/>
                <w:b w:val="false"/>
                <w:b w:val="false"/>
                <w:color w:val="800000"/>
                <w:kern w:val="2"/>
                <w:sz w:val="24"/>
                <w:szCs w:val="24"/>
                <w:highlight w:val="white"/>
                <w:lang w:val="ru-RU" w:eastAsia="en-US" w:bidi="ar-SA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b w:val="false"/>
                <w:color w:val="800000"/>
                <w:kern w:val="2"/>
                <w:sz w:val="24"/>
                <w:szCs w:val="24"/>
                <w:highlight w:val="white"/>
                <w:lang w:val="ru-RU" w:eastAsia="en-US" w:bidi="ar-SA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;Times New Roman" w:hAnsi="Liberation Serif;Times New Roman" w:eastAsia="Calibri" w:cs="Liberation Serif;Times New Roman"/>
                <w:color w:val="auto"/>
                <w:kern w:val="2"/>
                <w:sz w:val="24"/>
                <w:szCs w:val="24"/>
                <w:highlight w:val="white"/>
                <w:lang w:val="ru-RU" w:eastAsia="en-US" w:bidi="ar-SA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auto"/>
                <w:kern w:val="2"/>
                <w:sz w:val="24"/>
                <w:szCs w:val="24"/>
                <w:highlight w:val="white"/>
                <w:lang w:val="ru-RU" w:eastAsia="en-US" w:bidi="ar-SA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2.2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lang w:eastAsia="en-US"/>
              </w:rPr>
              <w:t>Устройство в</w:t>
            </w:r>
            <w:r>
              <w:rPr>
                <w:rFonts w:eastAsia="Calibri"/>
                <w:bCs/>
                <w:lang w:eastAsia="en-US"/>
              </w:rPr>
              <w:t>ызова экстренных оперативных служб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hd w:val="clear" w:fill="FFFFFF"/>
              <w:tabs>
                <w:tab w:val="clear" w:pos="388"/>
                <w:tab w:val="left" w:pos="450" w:leader="none"/>
              </w:tabs>
              <w:snapToGrid w:val="false"/>
              <w:ind w:left="0" w:right="0" w:hanging="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Устройство ЭВ «ЭРА ГЛОНАСС» с учетом требований Постановления Правительства РФ от 12 мая 2022 г. № 855 «Об утверждении Правил применения обязательных требований в отношении отдельных колесных транспортных средств и проведения оценки их соответствия» (с изменениями и дополнениями)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rStyle w:val="Annotationreference"/>
                <w:sz w:val="24"/>
                <w:szCs w:val="24"/>
                <w:lang w:eastAsia="ru-RU"/>
              </w:rPr>
              <w:t>Согласие с требованием</w:t>
            </w:r>
          </w:p>
        </w:tc>
        <w:tc>
          <w:tcPr>
            <w:tcW w:w="1929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;Times New Roman" w:hAnsi="Liberation Serif;Times New Roman" w:eastAsia="Calibri" w:cs="Liberation Serif;Times New Roman"/>
                <w:color w:val="auto"/>
                <w:kern w:val="2"/>
                <w:sz w:val="24"/>
                <w:szCs w:val="24"/>
                <w:highlight w:val="white"/>
                <w:lang w:val="ru-RU" w:eastAsia="en-US" w:bidi="ar-SA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auto"/>
                <w:kern w:val="2"/>
                <w:sz w:val="24"/>
                <w:szCs w:val="24"/>
                <w:highlight w:val="white"/>
                <w:lang w:val="ru-RU" w:eastAsia="en-US" w:bidi="ar-SA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3.</w:t>
            </w:r>
          </w:p>
        </w:tc>
        <w:tc>
          <w:tcPr>
            <w:tcW w:w="13918" w:type="dxa"/>
            <w:gridSpan w:val="5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31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tabs>
                <w:tab w:val="clear" w:pos="388"/>
                <w:tab w:val="left" w:pos="1134" w:leader="none"/>
              </w:tabs>
              <w:suppressAutoHyphens w:val="false"/>
              <w:ind w:left="0" w:right="0" w:hanging="0"/>
              <w:rPr/>
            </w:pPr>
            <w:r>
              <w:rPr>
                <w:rStyle w:val="14"/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Доставка «своим ходом»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tabs>
                <w:tab w:val="clear" w:pos="388"/>
                <w:tab w:val="left" w:pos="1134" w:leader="none"/>
              </w:tabs>
              <w:suppressAutoHyphens w:val="false"/>
              <w:ind w:left="0" w:right="0" w:hanging="0"/>
              <w:jc w:val="both"/>
              <w:rPr/>
            </w:pPr>
            <w:r>
              <w:rPr>
                <w:rStyle w:val="14"/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Не допускается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contextualSpacing/>
              <w:jc w:val="center"/>
              <w:rPr/>
            </w:pPr>
            <w:r>
              <w:rPr>
                <w:rStyle w:val="14"/>
                <w:rFonts w:eastAsia="Times New Roman" w:cs="Times New Roman"/>
                <w:iCs/>
                <w:vanish w:val="false"/>
                <w:color w:val="auto"/>
                <w:sz w:val="24"/>
                <w:szCs w:val="24"/>
                <w:lang w:val="ru-RU" w:eastAsia="zh-CN" w:bidi="ar-SA"/>
              </w:rPr>
              <w:t>Согласие с требованием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317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3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hd w:val="clear" w:fill="FFFFFF"/>
              <w:tabs>
                <w:tab w:val="clear" w:pos="388"/>
                <w:tab w:val="left" w:pos="1134" w:leader="none"/>
              </w:tabs>
              <w:ind w:left="0" w:right="0" w:hanging="0"/>
              <w:rPr/>
            </w:pPr>
            <w:r>
              <w:rPr>
                <w:rStyle w:val="14"/>
                <w:sz w:val="24"/>
                <w:szCs w:val="24"/>
              </w:rPr>
              <w:t>Поставка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hd w:val="clear" w:fill="FFFFFF"/>
              <w:tabs>
                <w:tab w:val="clear" w:pos="388"/>
                <w:tab w:val="left" w:pos="1134" w:leader="none"/>
              </w:tabs>
              <w:ind w:left="0" w:right="0" w:hanging="0"/>
              <w:jc w:val="both"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Доставка ж/д транспортом, автотранспортом.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/>
            </w:pPr>
            <w:r>
              <w:rPr>
                <w:rStyle w:val="14"/>
                <w:rFonts w:eastAsia="Calibri"/>
                <w:iCs/>
                <w:sz w:val="24"/>
                <w:szCs w:val="24"/>
                <w:lang w:eastAsia="en-US"/>
              </w:rPr>
              <w:t>Указать способ доставки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Амурская обл. г. Благовещенск ул. Театральная 179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4.</w:t>
            </w:r>
          </w:p>
        </w:tc>
        <w:tc>
          <w:tcPr>
            <w:tcW w:w="13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Гарантия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24 месяцев. С момента поставки товара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характеристики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388"/>
                <w:tab w:val="left" w:pos="426" w:leader="none"/>
              </w:tabs>
              <w:snapToGrid w:val="false"/>
              <w:spacing w:before="4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1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Liberation Serif;Times New Roman" w:hAnsi="Liberation Serif;Times New Roman" w:eastAsia="Calibri" w:cs="Liberation Serif;Times New Roman"/>
                <w:color w:val="auto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auto"/>
                <w:kern w:val="2"/>
                <w:sz w:val="24"/>
                <w:szCs w:val="24"/>
                <w:lang w:val="ru-RU" w:eastAsia="en-US" w:bidi="ar-SA"/>
              </w:rPr>
              <w:t>Необходимое наличие комплекта документов при поставке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388"/>
                <w:tab w:val="left" w:pos="411" w:leader="none"/>
              </w:tabs>
              <w:suppressAutoHyphens w:val="false"/>
              <w:spacing w:before="0" w:after="0"/>
              <w:contextualSpacing/>
              <w:rPr>
                <w:rFonts w:ascii="Liberation Serif;Times New Roman" w:hAnsi="Liberation Serif;Times New Roman" w:eastAsia="Calibri" w:cs="Liberation Serif;Times New Roman"/>
                <w:color w:val="auto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auto"/>
                <w:kern w:val="2"/>
                <w:sz w:val="24"/>
                <w:szCs w:val="24"/>
                <w:lang w:val="ru-RU" w:eastAsia="en-US" w:bidi="ar-SA"/>
              </w:rPr>
              <w:t>1. Заверенная копия выписки из электронного паспорта транспортного средства.</w:t>
            </w:r>
          </w:p>
          <w:p>
            <w:pPr>
              <w:pStyle w:val="Standard"/>
              <w:widowControl w:val="false"/>
              <w:tabs>
                <w:tab w:val="clear" w:pos="388"/>
                <w:tab w:val="left" w:pos="1080" w:leader="none"/>
              </w:tabs>
              <w:suppressAutoHyphens w:val="false"/>
              <w:bidi w:val="0"/>
              <w:jc w:val="left"/>
              <w:rPr/>
            </w:pPr>
            <w:r>
              <w:rPr>
                <w:rFonts w:eastAsia="Calibri" w:cs="Liberation Serif;Times New Roman" w:ascii="Liberation Serif;Times New Roman" w:hAnsi="Liberation Serif;Times New Roman"/>
                <w:color w:val="auto"/>
                <w:kern w:val="2"/>
                <w:sz w:val="24"/>
                <w:szCs w:val="24"/>
                <w:lang w:val="ru-RU" w:eastAsia="en-US" w:bidi="ar-SA"/>
              </w:rPr>
              <w:t>2. Руководство по эксплуатации</w:t>
            </w:r>
            <w:r>
              <w:rPr>
                <w:rFonts w:eastAsia="Calibri" w:cs="Liberation Serif;Times New Roman" w:ascii="Liberation Serif;Times New Roman" w:hAnsi="Liberation Serif;Times New Roman"/>
                <w:color w:val="auto"/>
                <w:kern w:val="2"/>
                <w:sz w:val="24"/>
                <w:szCs w:val="24"/>
                <w:highlight w:val="white"/>
                <w:lang w:val="ru-RU" w:eastAsia="en-US" w:bidi="ar-SA"/>
              </w:rPr>
              <w:t xml:space="preserve"> </w:t>
            </w:r>
            <w:r>
              <w:rPr>
                <w:rFonts w:eastAsia="Calibri" w:cs="Liberation Serif;Times New Roman" w:ascii="Liberation Serif;Times New Roman" w:hAnsi="Liberation Serif;Times New Roman"/>
                <w:color w:val="000000"/>
                <w:kern w:val="2"/>
                <w:sz w:val="24"/>
                <w:szCs w:val="24"/>
                <w:shd w:fill="FFFFFF" w:val="clear"/>
                <w:lang w:val="ru-RU" w:eastAsia="en-US" w:bidi="ar-SA"/>
              </w:rPr>
              <w:t>и Сервисная книжка, на русском языке.</w:t>
            </w:r>
          </w:p>
          <w:p>
            <w:pPr>
              <w:pStyle w:val="Normal"/>
              <w:widowControl w:val="false"/>
              <w:tabs>
                <w:tab w:val="clear" w:pos="388"/>
                <w:tab w:val="left" w:pos="411" w:leader="none"/>
              </w:tabs>
              <w:suppressAutoHyphens w:val="false"/>
              <w:spacing w:before="0" w:after="0"/>
              <w:ind w:left="12" w:right="0" w:hanging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color w:val="auto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auto"/>
                <w:kern w:val="2"/>
                <w:sz w:val="24"/>
                <w:szCs w:val="24"/>
                <w:lang w:val="ru-RU" w:eastAsia="en-US" w:bidi="ar-SA"/>
              </w:rPr>
              <w:t>3. Руководство по эксплуатации автономного воздушного отопителя, на русском языке.</w:t>
            </w:r>
          </w:p>
          <w:p>
            <w:pPr>
              <w:pStyle w:val="Normal"/>
              <w:widowControl w:val="false"/>
              <w:tabs>
                <w:tab w:val="clear" w:pos="388"/>
                <w:tab w:val="left" w:pos="411" w:leader="none"/>
              </w:tabs>
              <w:suppressAutoHyphens w:val="false"/>
              <w:spacing w:before="0" w:after="0"/>
              <w:ind w:left="12" w:right="0" w:hanging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color w:val="auto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auto"/>
                <w:kern w:val="2"/>
                <w:sz w:val="24"/>
                <w:szCs w:val="24"/>
                <w:lang w:val="ru-RU" w:eastAsia="en-US" w:bidi="ar-SA"/>
              </w:rPr>
              <w:t>4. Паспорт на автогидроподъемника ;</w:t>
            </w:r>
          </w:p>
          <w:p>
            <w:pPr>
              <w:pStyle w:val="Normal"/>
              <w:widowControl w:val="false"/>
              <w:tabs>
                <w:tab w:val="clear" w:pos="388"/>
                <w:tab w:val="left" w:pos="411" w:leader="none"/>
              </w:tabs>
              <w:suppressAutoHyphens w:val="false"/>
              <w:spacing w:before="0" w:after="0"/>
              <w:ind w:left="12" w:right="0" w:hanging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color w:val="auto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auto"/>
                <w:kern w:val="2"/>
                <w:sz w:val="24"/>
                <w:szCs w:val="24"/>
                <w:lang w:val="ru-RU" w:eastAsia="en-US" w:bidi="ar-SA"/>
              </w:rPr>
              <w:t>5. Паспорта и руководства по эксплуатации приборов и устройств безопасности.</w:t>
            </w:r>
          </w:p>
          <w:p>
            <w:pPr>
              <w:pStyle w:val="Normal"/>
              <w:widowControl w:val="false"/>
              <w:tabs>
                <w:tab w:val="clear" w:pos="388"/>
                <w:tab w:val="left" w:pos="411" w:leader="none"/>
              </w:tabs>
              <w:suppressAutoHyphens w:val="false"/>
              <w:spacing w:before="0" w:after="0"/>
              <w:ind w:left="12" w:right="0" w:hanging="0"/>
              <w:contextualSpacing/>
              <w:jc w:val="both"/>
              <w:rPr>
                <w:rFonts w:ascii="Liberation Serif;Times New Roman" w:hAnsi="Liberation Serif;Times New Roman" w:eastAsia="Calibri" w:cs="Liberation Serif;Times New Roman"/>
                <w:color w:val="auto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auto"/>
                <w:kern w:val="2"/>
                <w:sz w:val="24"/>
                <w:szCs w:val="24"/>
                <w:lang w:val="ru-RU" w:eastAsia="en-US" w:bidi="ar-SA"/>
              </w:rPr>
              <w:t>6.Сертификат качества на поставляемую продукцию.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170" w:right="0" w:hanging="113"/>
              <w:contextualSpacing/>
              <w:jc w:val="center"/>
              <w:rPr>
                <w:rFonts w:ascii="Liberation Serif;Times New Roman" w:hAnsi="Liberation Serif;Times New Roman" w:eastAsia="Calibri" w:cs="Liberation Serif;Times New Roman"/>
                <w:iCs/>
                <w:color w:val="auto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iCs/>
                <w:color w:val="auto"/>
                <w:kern w:val="2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388"/>
                <w:tab w:val="left" w:pos="411" w:leader="none"/>
              </w:tabs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388"/>
          <w:tab w:val="left" w:pos="1605" w:leader="none"/>
          <w:tab w:val="left" w:pos="12240" w:leader="none"/>
        </w:tabs>
        <w:rPr/>
      </w:pPr>
      <w:r>
        <w:rPr>
          <w:rFonts w:eastAsia="Liberation Serif;Times New Roman" w:cs="Liberation Serif;Times New Roman" w:ascii="Liberation Serif;Times New Roman" w:hAnsi="Liberation Serif;Times New Roman"/>
          <w:b/>
          <w:bCs/>
          <w:i w:val="false"/>
          <w:iCs w:val="false"/>
          <w:color w:val="000000"/>
          <w:sz w:val="22"/>
          <w:szCs w:val="22"/>
        </w:rPr>
        <w:t>3</w:t>
      </w:r>
      <w:r>
        <w:rPr>
          <w:rFonts w:eastAsia="Calibri" w:cs="Liberation Serif;Times New Roman" w:ascii="Liberation Serif;Times New Roman" w:hAnsi="Liberation Serif;Times New Roman"/>
          <w:b/>
          <w:bCs/>
          <w:i w:val="false"/>
          <w:iCs w:val="false"/>
          <w:color w:val="000000"/>
          <w:sz w:val="24"/>
          <w:szCs w:val="24"/>
          <w:lang w:eastAsia="en-US"/>
        </w:rPr>
        <w:t>. Требования к документации по ценообразованию.</w:t>
      </w:r>
    </w:p>
    <w:p>
      <w:pPr>
        <w:pStyle w:val="Normal"/>
        <w:tabs>
          <w:tab w:val="clear" w:pos="388"/>
          <w:tab w:val="left" w:pos="1605" w:leader="none"/>
        </w:tabs>
        <w:rPr/>
      </w:pPr>
      <w:r>
        <w:rPr/>
      </w:r>
    </w:p>
    <w:p>
      <w:pPr>
        <w:pStyle w:val="Normal"/>
        <w:rPr/>
      </w:pPr>
      <w:r>
        <w:rPr>
          <w:b/>
          <w:i/>
          <w:iCs/>
        </w:rPr>
        <w:t>Примечание: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развитие.</w:t>
      </w:r>
    </w:p>
    <w:p>
      <w:pPr>
        <w:pStyle w:val="Normal"/>
        <w:shd w:val="clear" w:fill="FFFFFF"/>
        <w:ind w:firstLine="388"/>
        <w:rPr/>
      </w:pPr>
      <w:r>
        <w:rPr>
          <w:i/>
          <w:iCs/>
        </w:rPr>
        <w:t>2.2.1. В составе заявки необходимо предоставить:</w:t>
      </w:r>
    </w:p>
    <w:p>
      <w:pPr>
        <w:pStyle w:val="Normal"/>
        <w:shd w:val="clear" w:fill="FFFFFF"/>
        <w:spacing w:before="0" w:after="60"/>
        <w:jc w:val="both"/>
        <w:rPr/>
      </w:pPr>
      <w:r>
        <w:rPr>
          <w:rFonts w:cs="Times New Roman"/>
          <w:i/>
          <w:iCs/>
        </w:rPr>
        <w:t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документы:</w:t>
      </w:r>
    </w:p>
    <w:p>
      <w:pPr>
        <w:pStyle w:val="ListParagraph"/>
        <w:numPr>
          <w:ilvl w:val="0"/>
          <w:numId w:val="4"/>
        </w:numPr>
        <w:shd w:val="clear" w:fill="FFFFFF"/>
        <w:spacing w:before="0" w:after="60"/>
        <w:ind w:left="426" w:right="0" w:hanging="437"/>
        <w:contextualSpacing/>
        <w:jc w:val="both"/>
        <w:textAlignment w:val="auto"/>
        <w:rPr>
          <w:i/>
          <w:i/>
          <w:iCs/>
        </w:rPr>
      </w:pPr>
      <w:r>
        <w:rPr>
          <w:i/>
          <w:iCs/>
        </w:rPr>
        <w:t>Техническое предложение, подготовленное в соответствии с настоящими ТТ по форме, представленной в документации о закупке;</w:t>
      </w:r>
    </w:p>
    <w:p>
      <w:pPr>
        <w:pStyle w:val="Normal"/>
        <w:shd w:val="clear" w:fill="FFFFFF"/>
        <w:tabs>
          <w:tab w:val="clear" w:pos="388"/>
          <w:tab w:val="left" w:pos="1179" w:leader="none"/>
        </w:tabs>
        <w:ind w:left="426" w:hanging="437"/>
        <w:jc w:val="both"/>
        <w:rPr/>
      </w:pPr>
      <w:r>
        <w:rPr>
          <w:i/>
          <w:iCs/>
        </w:rPr>
        <w:t>2) 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>
      <w:pPr>
        <w:pStyle w:val="Normal"/>
        <w:shd w:val="clear" w:fill="FFFFFF"/>
        <w:tabs>
          <w:tab w:val="clear" w:pos="388"/>
          <w:tab w:val="left" w:pos="1179" w:leader="none"/>
        </w:tabs>
        <w:ind w:left="426" w:hanging="437"/>
        <w:jc w:val="both"/>
        <w:rPr/>
      </w:pPr>
      <w:r>
        <w:rPr>
          <w:bCs/>
          <w:i/>
          <w:iCs/>
          <w:lang w:eastAsia="en-US"/>
        </w:rPr>
        <w:t>3) Приложить чертежи с указанием габаритных размеров  предлагаемого к поставке ТС.</w:t>
      </w:r>
    </w:p>
    <w:p>
      <w:pPr>
        <w:pStyle w:val="Normal"/>
        <w:shd w:val="clear" w:fill="FFFFFF"/>
        <w:tabs>
          <w:tab w:val="clear" w:pos="388"/>
          <w:tab w:val="left" w:pos="1605" w:leader="none"/>
        </w:tabs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fill="FFFFFF"/>
        <w:tabs>
          <w:tab w:val="clear" w:pos="388"/>
          <w:tab w:val="left" w:pos="1605" w:leader="none"/>
        </w:tabs>
        <w:rPr/>
      </w:pPr>
      <w:r>
        <w:rPr>
          <w:b/>
          <w:bCs/>
        </w:rPr>
        <w:t>3</w:t>
      </w:r>
      <w:r>
        <w:rPr>
          <w:rFonts w:eastAsia="Calibri"/>
          <w:b/>
          <w:bCs/>
          <w:lang w:eastAsia="en-US"/>
        </w:rPr>
        <w:t xml:space="preserve">. </w:t>
      </w:r>
      <w:bookmarkStart w:id="2" w:name="_Toc31295832"/>
      <w:bookmarkEnd w:id="2"/>
      <w:r>
        <w:rPr>
          <w:rFonts w:eastAsia="Calibri"/>
          <w:b/>
          <w:bCs/>
          <w:lang w:eastAsia="en-US"/>
        </w:rPr>
        <w:t>Требования к документации по ценообразованию.</w:t>
      </w:r>
    </w:p>
    <w:p>
      <w:pPr>
        <w:pStyle w:val="Normal"/>
        <w:shd w:val="clear" w:fill="FFFFFF"/>
        <w:ind w:firstLine="388"/>
        <w:jc w:val="both"/>
        <w:rPr/>
      </w:pPr>
      <w:r>
        <w:rPr/>
        <w:t>3.</w:t>
      </w:r>
      <w:r>
        <w:rPr>
          <w:iCs/>
        </w:rPr>
        <w:t>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shd w:val="clear" w:fill="FFFFFF"/>
        <w:tabs>
          <w:tab w:val="clear" w:pos="388"/>
          <w:tab w:val="left" w:pos="1605" w:leader="none"/>
        </w:tabs>
        <w:spacing w:lineRule="auto" w:line="240" w:before="0" w:after="0"/>
        <w:ind w:firstLine="388"/>
        <w:jc w:val="both"/>
        <w:rPr/>
      </w:pPr>
      <w:r>
        <w:rPr>
          <w:rFonts w:cs="Liberation Serif;Times New Roman" w:ascii="Liberation Serif;Times New Roman" w:hAnsi="Liberation Serif;Times New Roman"/>
          <w:b w:val="false"/>
          <w:bCs w:val="false"/>
          <w:iCs/>
          <w:color w:val="000000"/>
          <w:sz w:val="24"/>
          <w:szCs w:val="24"/>
        </w:rPr>
        <w:t>3.2. Все цены в предложении должны включать все налоги, транспортные расходы, другие обязательные платежи, стоимость всех сопутствующих работ (услуг), а также все скидки, предлагаемые участником.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992" w:right="1021" w:header="0" w:top="851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0"/>
        </w:tabs>
        <w:ind w:left="1146" w:hanging="720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46" w:hanging="720"/>
      </w:pPr>
      <w:rPr>
        <w:sz w:val="24"/>
        <w:b/>
        <w:szCs w:val="24"/>
        <w:bCs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sz w:val="24"/>
        <w:b/>
        <w:szCs w:val="24"/>
        <w:bCs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sz w:val="24"/>
        <w:b/>
        <w:szCs w:val="24"/>
        <w:bCs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sz w:val="24"/>
        <w:b/>
        <w:szCs w:val="24"/>
        <w:bCs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sz w:val="24"/>
        <w:b/>
        <w:szCs w:val="24"/>
        <w:bCs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sz w:val="24"/>
        <w:b/>
        <w:szCs w:val="24"/>
        <w:bCs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sz w:val="24"/>
        <w:b/>
        <w:szCs w:val="24"/>
        <w:bCs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sz w:val="24"/>
        <w:b/>
        <w:szCs w:val="24"/>
        <w:bCs/>
        <w:rFonts w:ascii="Times New Roman" w:hAnsi="Times New Roman"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433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433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75"/>
  <w:displayBackgroundShape/>
  <w:defaultTabStop w:val="38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paragraph" w:styleId="2">
    <w:name w:val="Heading 2"/>
    <w:basedOn w:val="Style25"/>
    <w:next w:val="Style26"/>
    <w:qFormat/>
    <w:pPr>
      <w:numPr>
        <w:ilvl w:val="1"/>
        <w:numId w:val="1"/>
      </w:numPr>
      <w:spacing w:before="200" w:after="120"/>
      <w:outlineLvl w:val="1"/>
    </w:pPr>
    <w:rPr>
      <w:rFonts w:ascii="Liberation Serif;Times New Roman" w:hAnsi="Liberation Serif;Times New Roman" w:eastAsia="WenQuanYi Zen Hei Sharp" w:cs="Lohit Devanagari"/>
      <w:b/>
      <w:bCs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ind w:left="0" w:right="141" w:hanging="0"/>
      <w:jc w:val="center"/>
      <w:outlineLvl w:val="2"/>
    </w:pPr>
    <w:rPr>
      <w:sz w:val="28"/>
      <w:szCs w:val="20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WW8Num2z0">
    <w:name w:val="WW8Num2z0"/>
    <w:qFormat/>
    <w:rPr>
      <w:b/>
    </w:rPr>
  </w:style>
  <w:style w:type="character" w:styleId="WW8Num2z1">
    <w:name w:val="WW8Num2z1"/>
    <w:qFormat/>
    <w:rPr>
      <w:rFonts w:ascii="Times New Roman" w:hAnsi="Times New Roman" w:cs="Times New Roman"/>
      <w:b/>
      <w:bCs/>
      <w:sz w:val="24"/>
      <w:szCs w:val="24"/>
    </w:rPr>
  </w:style>
  <w:style w:type="character" w:styleId="WW8Num3z0">
    <w:name w:val="WW8Num3z0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0">
    <w:name w:val="Основной шрифт абзаца"/>
    <w:qFormat/>
    <w:rPr/>
  </w:style>
  <w:style w:type="character" w:styleId="WW8Num4z0">
    <w:name w:val="WW8Num4z0"/>
    <w:qFormat/>
    <w:rPr/>
  </w:style>
  <w:style w:type="character" w:styleId="WW8Num3z1">
    <w:name w:val="WW8Num3z1"/>
    <w:qFormat/>
    <w:rPr>
      <w:b/>
      <w:bCs/>
      <w:sz w:val="20"/>
      <w:szCs w:val="20"/>
    </w:rPr>
  </w:style>
  <w:style w:type="character" w:styleId="WW8Num5z0">
    <w:name w:val="WW8Num5z0"/>
    <w:qFormat/>
    <w:rPr>
      <w:rFonts w:eastAsia="Arial Unicode MS"/>
      <w:sz w:val="20"/>
      <w:szCs w:val="22"/>
    </w:rPr>
  </w:style>
  <w:style w:type="character" w:styleId="WW8Num6z0">
    <w:name w:val="WW8Num6z0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>
      <w:rFonts w:ascii="Courier New" w:hAnsi="Courier New" w:cs="Times New Roman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b/>
      <w:bCs w:val="false"/>
      <w:sz w:val="24"/>
      <w:szCs w:val="24"/>
    </w:rPr>
  </w:style>
  <w:style w:type="character" w:styleId="WW8Num7z1">
    <w:name w:val="WW8Num7z1"/>
    <w:qFormat/>
    <w:rPr>
      <w:b w:val="false"/>
      <w:bCs/>
      <w:sz w:val="24"/>
      <w:szCs w:val="24"/>
    </w:rPr>
  </w:style>
  <w:style w:type="character" w:styleId="WW8Num7z2">
    <w:name w:val="WW8Num7z2"/>
    <w:qFormat/>
    <w:rPr>
      <w:sz w:val="24"/>
      <w:szCs w:val="24"/>
    </w:rPr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b/>
    </w:rPr>
  </w:style>
  <w:style w:type="character" w:styleId="WW8Num8z1">
    <w:name w:val="WW8Num8z1"/>
    <w:qFormat/>
    <w:rPr>
      <w:b/>
      <w:bCs/>
      <w:sz w:val="20"/>
      <w:szCs w:val="20"/>
    </w:rPr>
  </w:style>
  <w:style w:type="character" w:styleId="WW8Num9z0">
    <w:name w:val="WW8Num9z0"/>
    <w:qFormat/>
    <w:rPr>
      <w:rFonts w:eastAsia="Arial Unicode MS"/>
      <w:sz w:val="20"/>
      <w:szCs w:val="20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eastAsia="Arial Unicode MS"/>
      <w:sz w:val="20"/>
      <w:szCs w:val="22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Times New Roman" w:hAnsi="Times New Roman" w:eastAsia="Times New Roman" w:cs="Times New Roman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11">
    <w:name w:val="Основной шрифт абзаца1"/>
    <w:qFormat/>
    <w:rPr/>
  </w:style>
  <w:style w:type="character" w:styleId="Style11">
    <w:name w:val="Интернет-ссылка"/>
    <w:rPr>
      <w:color w:val="0000FF"/>
      <w:u w:val="single"/>
    </w:rPr>
  </w:style>
  <w:style w:type="character" w:styleId="12">
    <w:name w:val="Пункт Знак1"/>
    <w:qFormat/>
    <w:rPr>
      <w:sz w:val="28"/>
      <w:lang w:val="ru-RU" w:bidi="ar-SA"/>
    </w:rPr>
  </w:style>
  <w:style w:type="character" w:styleId="Strong">
    <w:name w:val="Strong"/>
    <w:qFormat/>
    <w:rPr>
      <w:b/>
      <w:bCs/>
    </w:rPr>
  </w:style>
  <w:style w:type="character" w:styleId="Style12">
    <w:name w:val="Основной текст с отступом Знак"/>
    <w:qFormat/>
    <w:rPr>
      <w:sz w:val="26"/>
      <w:szCs w:val="26"/>
    </w:rPr>
  </w:style>
  <w:style w:type="character" w:styleId="Style13">
    <w:name w:val="Основной текст Знак"/>
    <w:qFormat/>
    <w:rPr>
      <w:sz w:val="24"/>
      <w:szCs w:val="24"/>
    </w:rPr>
  </w:style>
  <w:style w:type="character" w:styleId="4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14">
    <w:name w:val="Абзац списка Знак"/>
    <w:qFormat/>
    <w:rPr>
      <w:rFonts w:eastAsia="Calibri"/>
      <w:sz w:val="24"/>
      <w:szCs w:val="24"/>
    </w:rPr>
  </w:style>
  <w:style w:type="character" w:styleId="13">
    <w:name w:val="Заголовок 1 Знак"/>
    <w:qFormat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Titleinfotitletext">
    <w:name w:val="title-info-title-text"/>
    <w:qFormat/>
    <w:rPr/>
  </w:style>
  <w:style w:type="character" w:styleId="14">
    <w:name w:val="Знак примечания1"/>
    <w:qFormat/>
    <w:rPr>
      <w:sz w:val="16"/>
      <w:szCs w:val="16"/>
    </w:rPr>
  </w:style>
  <w:style w:type="character" w:styleId="Style15">
    <w:name w:val="Текст примечания Знак"/>
    <w:basedOn w:val="11"/>
    <w:qFormat/>
    <w:rPr/>
  </w:style>
  <w:style w:type="character" w:styleId="Style16">
    <w:name w:val="Тема примечания Знак"/>
    <w:qFormat/>
    <w:rPr>
      <w:b/>
      <w:bCs/>
    </w:rPr>
  </w:style>
  <w:style w:type="character" w:styleId="21">
    <w:name w:val="Заголовок 2 Знак"/>
    <w:qFormat/>
    <w:rPr>
      <w:rFonts w:ascii="Calibri Light" w:hAnsi="Calibri Light" w:eastAsia="0" w:cs="Calibri Light"/>
      <w:color w:val="2E74B5"/>
      <w:sz w:val="26"/>
    </w:rPr>
  </w:style>
  <w:style w:type="character" w:styleId="Doctitleimportant">
    <w:name w:val="doc__title_important"/>
    <w:qFormat/>
    <w:rPr/>
  </w:style>
  <w:style w:type="character" w:styleId="Style17">
    <w:name w:val="Нижний колонтитул Знак"/>
    <w:qFormat/>
    <w:rPr/>
  </w:style>
  <w:style w:type="character" w:styleId="Style18">
    <w:name w:val="Верхний колонтитул Знак"/>
    <w:qFormat/>
    <w:rPr/>
  </w:style>
  <w:style w:type="character" w:styleId="Style19">
    <w:name w:val="Привязка сноски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20">
    <w:name w:val="Текст сноски Знак"/>
    <w:qFormat/>
    <w:rPr/>
  </w:style>
  <w:style w:type="character" w:styleId="Style21">
    <w:name w:val="комментарий"/>
    <w:qFormat/>
    <w:rPr>
      <w:rFonts w:eastAsia="Times New Roman"/>
      <w:i/>
      <w:shd w:fill="FFFF99" w:val="clear"/>
    </w:rPr>
  </w:style>
  <w:style w:type="character" w:styleId="31">
    <w:name w:val="Заголовок 3 Знак"/>
    <w:qFormat/>
    <w:rPr>
      <w:rFonts w:ascii="Cambria" w:hAnsi="Cambria" w:eastAsia="Times New Roman" w:cs="Cambria"/>
      <w:b/>
      <w:color w:val="4F81BD"/>
    </w:rPr>
  </w:style>
  <w:style w:type="character" w:styleId="Annotationreference">
    <w:name w:val="annotation reference"/>
    <w:qFormat/>
    <w:rPr>
      <w:sz w:val="16"/>
    </w:rPr>
  </w:style>
  <w:style w:type="character" w:styleId="32">
    <w:name w:val="Основной текст 3 Знак"/>
    <w:qFormat/>
    <w:rPr>
      <w:sz w:val="16"/>
    </w:rPr>
  </w:style>
  <w:style w:type="character" w:styleId="Pagenumber">
    <w:name w:val="page number"/>
    <w:qFormat/>
    <w:rPr/>
  </w:style>
  <w:style w:type="character" w:styleId="Style22">
    <w:name w:val="Заголовок Знак"/>
    <w:qFormat/>
    <w:rPr>
      <w:b/>
      <w:sz w:val="24"/>
      <w:lang w:val="ru-RU"/>
    </w:rPr>
  </w:style>
  <w:style w:type="character" w:styleId="DefaultParagraphFont">
    <w:name w:val="Default Paragraph Font"/>
    <w:qFormat/>
    <w:rPr/>
  </w:style>
  <w:style w:type="character" w:styleId="Style23">
    <w:name w:val="Знак примечания"/>
    <w:qFormat/>
    <w:rPr>
      <w:sz w:val="16"/>
      <w:szCs w:val="16"/>
    </w:rPr>
  </w:style>
  <w:style w:type="character" w:styleId="Style24">
    <w:name w:val="Ссылка указателя"/>
    <w:qFormat/>
    <w:rPr/>
  </w:style>
  <w:style w:type="paragraph" w:styleId="Style25">
    <w:name w:val="Заголовок"/>
    <w:basedOn w:val="Normal"/>
    <w:next w:val="Style26"/>
    <w:qFormat/>
    <w:pPr>
      <w:keepNext w:val="true"/>
      <w:spacing w:before="240" w:after="120"/>
    </w:pPr>
    <w:rPr>
      <w:rFonts w:ascii="Liberation Sans;Arial" w:hAnsi="Liberation Sans;Arial" w:eastAsia="WenQuanYi Zen Hei Sharp;Times New Roman" w:cs="Lohit Devanagari;Times New Roman"/>
      <w:sz w:val="28"/>
      <w:szCs w:val="28"/>
    </w:rPr>
  </w:style>
  <w:style w:type="paragraph" w:styleId="Style26">
    <w:name w:val="Body Text"/>
    <w:basedOn w:val="Normal"/>
    <w:pPr>
      <w:spacing w:before="0" w:after="120"/>
    </w:pPr>
    <w:rPr/>
  </w:style>
  <w:style w:type="paragraph" w:styleId="Style27">
    <w:name w:val="List"/>
    <w:basedOn w:val="Style26"/>
    <w:pPr/>
    <w:rPr>
      <w:rFonts w:cs="Lohit Devanagari;Times New Roman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30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5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Style31">
    <w:name w:val="Колонтитул"/>
    <w:basedOn w:val="Normal"/>
    <w:qFormat/>
    <w:pPr>
      <w:suppressLineNumbers/>
      <w:tabs>
        <w:tab w:val="clear" w:pos="388"/>
        <w:tab w:val="center" w:pos="4819" w:leader="none"/>
        <w:tab w:val="right" w:pos="9638" w:leader="none"/>
      </w:tabs>
    </w:pPr>
    <w:rPr/>
  </w:style>
  <w:style w:type="paragraph" w:styleId="Style32">
    <w:name w:val="Header"/>
    <w:basedOn w:val="Normal"/>
    <w:pPr>
      <w:tabs>
        <w:tab w:val="clear" w:pos="38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33">
    <w:name w:val="Body Text Indent"/>
    <w:basedOn w:val="Normal"/>
    <w:pPr/>
    <w:rPr>
      <w:sz w:val="26"/>
      <w:szCs w:val="26"/>
    </w:rPr>
  </w:style>
  <w:style w:type="paragraph" w:styleId="Style34">
    <w:name w:val="Обычный (веб)"/>
    <w:basedOn w:val="Normal"/>
    <w:qFormat/>
    <w:pPr>
      <w:spacing w:before="280" w:after="280"/>
    </w:pPr>
    <w:rPr>
      <w:rFonts w:ascii="Verdana" w:hAnsi="Verdana" w:eastAsia="Arial Unicode MS" w:cs="Arial Unicode MS"/>
      <w:color w:val="333333"/>
      <w:sz w:val="16"/>
      <w:szCs w:val="16"/>
    </w:rPr>
  </w:style>
  <w:style w:type="paragraph" w:styleId="Style35">
    <w:name w:val="Пункт"/>
    <w:basedOn w:val="Normal"/>
    <w:qFormat/>
    <w:pPr>
      <w:tabs>
        <w:tab w:val="clear" w:pos="388"/>
        <w:tab w:val="left" w:pos="1844" w:leader="none"/>
      </w:tabs>
      <w:spacing w:lineRule="auto" w:line="360"/>
      <w:ind w:left="1844" w:right="0" w:hanging="1134"/>
      <w:jc w:val="both"/>
    </w:pPr>
    <w:rPr>
      <w:sz w:val="28"/>
      <w:szCs w:val="20"/>
    </w:rPr>
  </w:style>
  <w:style w:type="paragraph" w:styleId="Style3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37">
    <w:name w:val="Абзац списка"/>
    <w:basedOn w:val="Normal"/>
    <w:qFormat/>
    <w:pPr>
      <w:spacing w:before="0" w:after="0"/>
      <w:ind w:left="720" w:right="0" w:hanging="0"/>
      <w:contextualSpacing/>
    </w:pPr>
    <w:rPr>
      <w:rFonts w:eastAsia="Calibri"/>
    </w:rPr>
  </w:style>
  <w:style w:type="paragraph" w:styleId="Style38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6">
    <w:name w:val="Текст примечания1"/>
    <w:basedOn w:val="Normal"/>
    <w:qFormat/>
    <w:pPr/>
    <w:rPr>
      <w:sz w:val="20"/>
      <w:szCs w:val="20"/>
    </w:rPr>
  </w:style>
  <w:style w:type="paragraph" w:styleId="Style39">
    <w:name w:val="Тема примечания"/>
    <w:basedOn w:val="16"/>
    <w:next w:val="16"/>
    <w:qFormat/>
    <w:pPr/>
    <w:rPr>
      <w:b/>
      <w:bCs/>
    </w:rPr>
  </w:style>
  <w:style w:type="paragraph" w:styleId="Style40">
    <w:name w:val="Содержимое таблицы"/>
    <w:basedOn w:val="Normal"/>
    <w:qFormat/>
    <w:pPr>
      <w:suppressLineNumbers/>
    </w:pPr>
    <w:rPr/>
  </w:style>
  <w:style w:type="paragraph" w:styleId="Style41">
    <w:name w:val="Заголовок таблицы"/>
    <w:basedOn w:val="Style40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Liberation Serif;Times New Roman"/>
      <w:color w:val="000000"/>
      <w:kern w:val="2"/>
      <w:sz w:val="20"/>
      <w:szCs w:val="24"/>
      <w:lang w:val="ru-RU" w:eastAsia="zh-CN" w:bidi="hi-IN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Liberation Serif;Times New Roman"/>
      <w:color w:val="000000"/>
      <w:kern w:val="2"/>
      <w:sz w:val="22"/>
      <w:szCs w:val="24"/>
      <w:lang w:val="ru-RU" w:eastAsia="zh-CN" w:bidi="hi-IN"/>
    </w:rPr>
  </w:style>
  <w:style w:type="paragraph" w:styleId="17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0"/>
      <w:szCs w:val="20"/>
      <w:lang w:val="ru-RU" w:eastAsia="zh-CN" w:bidi="ru-RU"/>
    </w:rPr>
  </w:style>
  <w:style w:type="paragraph" w:styleId="18">
    <w:name w:val="Знак Знак Знак Знак Знак Знак Знак Знак Знак1"/>
    <w:basedOn w:val="Normal"/>
    <w:qFormat/>
    <w:pPr>
      <w:widowControl/>
      <w:bidi w:val="0"/>
      <w:spacing w:lineRule="exact" w:line="240" w:before="0" w:after="160"/>
      <w:jc w:val="both"/>
    </w:pPr>
    <w:rPr>
      <w:rFonts w:ascii="Verdana" w:hAnsi="Verdana" w:cs="Verdana"/>
      <w:szCs w:val="22"/>
      <w:lang w:bidi="en-US"/>
    </w:rPr>
  </w:style>
  <w:style w:type="paragraph" w:styleId="Style42">
    <w:name w:val="Пункт договора"/>
    <w:basedOn w:val="Normal"/>
    <w:qFormat/>
    <w:pPr>
      <w:widowControl w:val="false"/>
      <w:bidi w:val="0"/>
      <w:jc w:val="both"/>
    </w:pPr>
    <w:rPr>
      <w:rFonts w:ascii="Arial" w:hAnsi="Arial" w:cs="Arial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0"/>
      <w:szCs w:val="20"/>
      <w:lang w:val="ru-RU" w:eastAsia="zh-CN" w:bidi="ru-RU"/>
    </w:rPr>
  </w:style>
  <w:style w:type="paragraph" w:styleId="DocumentMap">
    <w:name w:val="Document Map"/>
    <w:basedOn w:val="Normal"/>
    <w:qFormat/>
    <w:pPr>
      <w:widowControl w:val="false"/>
      <w:shd w:val="clear" w:fill="000080"/>
      <w:bidi w:val="0"/>
      <w:jc w:val="left"/>
    </w:pPr>
    <w:rPr>
      <w:rFonts w:ascii="Tahoma" w:hAnsi="Tahoma" w:eastAsia="Tahoma" w:cs="Tahoma"/>
    </w:rPr>
  </w:style>
  <w:style w:type="paragraph" w:styleId="Style43">
    <w:name w:val="Контракт-пункт"/>
    <w:basedOn w:val="Normal"/>
    <w:qFormat/>
    <w:pPr>
      <w:widowControl/>
      <w:tabs>
        <w:tab w:val="clear" w:pos="388"/>
        <w:tab w:val="left" w:pos="1702" w:leader="none"/>
      </w:tabs>
      <w:bidi w:val="0"/>
      <w:spacing w:lineRule="auto" w:line="360"/>
      <w:ind w:left="851" w:right="0" w:hanging="851"/>
      <w:jc w:val="both"/>
    </w:pPr>
    <w:rPr>
      <w:rFonts w:eastAsia="Calibri"/>
      <w:sz w:val="28"/>
    </w:rPr>
  </w:style>
  <w:style w:type="paragraph" w:styleId="ListBullet3">
    <w:name w:val="List Bullet 3"/>
    <w:basedOn w:val="Normal"/>
    <w:qFormat/>
    <w:pPr>
      <w:widowControl/>
      <w:tabs>
        <w:tab w:val="clear" w:pos="388"/>
        <w:tab w:val="left" w:pos="1418" w:leader="none"/>
      </w:tabs>
      <w:bidi w:val="0"/>
      <w:spacing w:lineRule="auto" w:line="360" w:before="120" w:after="0"/>
      <w:ind w:left="0" w:right="0" w:firstLine="720"/>
      <w:jc w:val="both"/>
    </w:pPr>
    <w:rPr>
      <w:rFonts w:eastAsia="Calibri"/>
      <w:i/>
      <w:sz w:val="24"/>
    </w:rPr>
  </w:style>
  <w:style w:type="paragraph" w:styleId="Style44">
    <w:name w:val="Footnote Text"/>
    <w:basedOn w:val="Normal"/>
    <w:qFormat/>
    <w:pPr>
      <w:widowControl w:val="false"/>
      <w:bidi w:val="0"/>
      <w:jc w:val="left"/>
    </w:pPr>
    <w:rPr/>
  </w:style>
  <w:style w:type="paragraph" w:styleId="Style45">
    <w:name w:val="Знак"/>
    <w:basedOn w:val="Normal"/>
    <w:qFormat/>
    <w:pPr>
      <w:widowControl/>
      <w:bidi w:val="0"/>
      <w:spacing w:lineRule="exact" w:line="240" w:before="0" w:after="160"/>
      <w:jc w:val="left"/>
    </w:pPr>
    <w:rPr>
      <w:rFonts w:ascii="Verdana" w:hAnsi="Verdana" w:eastAsia="Verdana" w:cs="Verdana"/>
      <w:lang w:val="en-US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Arial"/>
      <w:color w:val="000000"/>
      <w:kern w:val="2"/>
      <w:sz w:val="20"/>
      <w:szCs w:val="32"/>
      <w:lang w:val="ru-RU" w:eastAsia="zh-CN" w:bidi="ru-RU"/>
    </w:rPr>
  </w:style>
  <w:style w:type="paragraph" w:styleId="Style46">
    <w:name w:val="Подпункт договора"/>
    <w:basedOn w:val="Normal"/>
    <w:qFormat/>
    <w:pPr>
      <w:widowControl/>
      <w:tabs>
        <w:tab w:val="clear" w:pos="388"/>
        <w:tab w:val="left" w:pos="360" w:leader="none"/>
      </w:tabs>
      <w:bidi w:val="0"/>
      <w:jc w:val="both"/>
    </w:pPr>
    <w:rPr>
      <w:rFonts w:ascii="Arial" w:hAnsi="Arial" w:cs="Arial"/>
    </w:rPr>
  </w:style>
  <w:style w:type="paragraph" w:styleId="Style47">
    <w:name w:val="Знак Знак Знак Знак Знак Знак Знак Знак Знак"/>
    <w:basedOn w:val="Normal"/>
    <w:qFormat/>
    <w:pPr>
      <w:widowControl/>
      <w:bidi w:val="0"/>
      <w:spacing w:lineRule="exact" w:line="240" w:before="0" w:after="160"/>
      <w:jc w:val="both"/>
    </w:pPr>
    <w:rPr>
      <w:rFonts w:ascii="Verdana" w:hAnsi="Verdana" w:cs="Verdana"/>
      <w:szCs w:val="22"/>
      <w:lang w:bidi="en-US"/>
    </w:rPr>
  </w:style>
  <w:style w:type="paragraph" w:styleId="Annotationsubject">
    <w:name w:val="annotation subject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WenQuanYi Zen Hei Sharp;Times New Roman" w:cs="Lohit Devanagari;Times New Roman"/>
      <w:b/>
      <w:color w:val="auto"/>
      <w:kern w:val="0"/>
      <w:sz w:val="24"/>
      <w:szCs w:val="24"/>
      <w:lang w:val="ru-RU" w:eastAsia="zh-CN" w:bidi="hi-IN"/>
    </w:rPr>
  </w:style>
  <w:style w:type="paragraph" w:styleId="Annotationtext">
    <w:name w:val="annotation text"/>
    <w:basedOn w:val="Normal"/>
    <w:qFormat/>
    <w:pPr>
      <w:widowControl w:val="false"/>
      <w:bidi w:val="0"/>
      <w:jc w:val="left"/>
    </w:pPr>
    <w:rPr/>
  </w:style>
  <w:style w:type="paragraph" w:styleId="BodyText3">
    <w:name w:val="Body Text 3"/>
    <w:basedOn w:val="Normal"/>
    <w:qFormat/>
    <w:pPr>
      <w:widowControl w:val="false"/>
      <w:bidi w:val="0"/>
      <w:spacing w:before="0" w:after="120"/>
      <w:jc w:val="left"/>
    </w:pPr>
    <w:rPr>
      <w:sz w:val="16"/>
      <w:lang w:val="ru-RU"/>
    </w:rPr>
  </w:style>
  <w:style w:type="paragraph" w:styleId="BodyText2">
    <w:name w:val="Body Text 2"/>
    <w:basedOn w:val="Normal"/>
    <w:qFormat/>
    <w:pPr>
      <w:widowControl/>
      <w:bidi w:val="0"/>
      <w:spacing w:lineRule="auto" w:line="480" w:before="0" w:after="120"/>
      <w:jc w:val="left"/>
    </w:pPr>
    <w:rPr>
      <w:sz w:val="24"/>
    </w:rPr>
  </w:style>
  <w:style w:type="paragraph" w:styleId="BalloonText">
    <w:name w:val="Balloon Text"/>
    <w:basedOn w:val="Normal"/>
    <w:qFormat/>
    <w:pPr>
      <w:widowControl w:val="false"/>
      <w:bidi w:val="0"/>
      <w:jc w:val="left"/>
    </w:pPr>
    <w:rPr>
      <w:rFonts w:ascii="Tahoma" w:hAnsi="Tahoma" w:eastAsia="Tahoma" w:cs="Tahoma"/>
      <w:sz w:val="16"/>
    </w:rPr>
  </w:style>
  <w:style w:type="paragraph" w:styleId="BodyTextIndent2">
    <w:name w:val="Body Text Indent 2"/>
    <w:basedOn w:val="Normal"/>
    <w:qFormat/>
    <w:pPr>
      <w:widowControl w:val="false"/>
      <w:bidi w:val="0"/>
      <w:ind w:left="1843" w:right="0" w:hanging="0"/>
      <w:jc w:val="both"/>
    </w:pPr>
    <w:rPr>
      <w:sz w:val="24"/>
    </w:rPr>
  </w:style>
  <w:style w:type="paragraph" w:styleId="Style48">
    <w:name w:val="Таблицы (моноширинный)"/>
    <w:basedOn w:val="Normal"/>
    <w:qFormat/>
    <w:pPr>
      <w:widowControl w:val="false"/>
      <w:bidi w:val="0"/>
      <w:jc w:val="both"/>
    </w:pPr>
    <w:rPr>
      <w:rFonts w:ascii="Courier New" w:hAnsi="Courier New" w:eastAsia="Courier New" w:cs="Courier New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42">
    <w:name w:val="TOC 4"/>
    <w:basedOn w:val="Normal"/>
    <w:next w:val="Normal"/>
    <w:pPr>
      <w:tabs>
        <w:tab w:val="clear" w:pos="388"/>
        <w:tab w:val="left" w:pos="1019" w:leader="none"/>
        <w:tab w:val="left" w:pos="1455" w:leader="none"/>
      </w:tabs>
      <w:ind w:left="560" w:right="0" w:hanging="0"/>
    </w:pPr>
    <w:rPr>
      <w:rFonts w:cs="Calibri"/>
      <w:sz w:val="20"/>
      <w:szCs w:val="20"/>
    </w:rPr>
  </w:style>
  <w:style w:type="paragraph" w:styleId="19">
    <w:name w:val="TOC 1"/>
    <w:basedOn w:val="Normal"/>
    <w:next w:val="Normal"/>
    <w:pPr>
      <w:widowControl/>
      <w:tabs>
        <w:tab w:val="clear" w:pos="388"/>
        <w:tab w:val="left" w:pos="963" w:leader="none"/>
      </w:tabs>
      <w:suppressAutoHyphens w:val="true"/>
      <w:bidi w:val="0"/>
      <w:spacing w:lineRule="auto" w:line="240" w:before="0" w:after="0"/>
      <w:ind w:left="0" w:right="0" w:firstLine="567"/>
      <w:jc w:val="left"/>
    </w:pPr>
    <w:rPr>
      <w:rFonts w:cs="Calibri Light (Заголовки)"/>
      <w:b/>
      <w:bCs/>
      <w:sz w:val="24"/>
      <w:szCs w:val="24"/>
    </w:rPr>
  </w:style>
  <w:style w:type="paragraph" w:styleId="33">
    <w:name w:val="TOC 3"/>
    <w:basedOn w:val="Normal"/>
    <w:next w:val="Normal"/>
    <w:pPr>
      <w:tabs>
        <w:tab w:val="clear" w:pos="388"/>
        <w:tab w:val="left" w:pos="1019" w:leader="none"/>
        <w:tab w:val="left" w:pos="9179" w:leader="none"/>
        <w:tab w:val="left" w:pos="9694" w:leader="none"/>
      </w:tabs>
      <w:ind w:left="280" w:right="0" w:hanging="0"/>
    </w:pPr>
    <w:rPr>
      <w:rFonts w:cs="Calibri"/>
      <w:sz w:val="20"/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Application>LibreOffice/7.1.8.1$Linux_X86_64 LibreOffice_project/10$Build-1</Application>
  <AppVersion>15.0000</AppVersion>
  <Pages>9</Pages>
  <Words>1291</Words>
  <Characters>8789</Characters>
  <CharactersWithSpaces>9871</CharactersWithSpaces>
  <Paragraphs>251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2024-08-27T17:01:00Z</dcterms:created>
  <dc:creator>user1</dc:creator>
  <dc:description/>
  <dc:language>ru-RU</dc:language>
  <cp:lastModifiedBy/>
  <cp:lastPrinted>2025-10-14T14:26:00Z</cp:lastPrinted>
  <dcterms:modified xsi:type="dcterms:W3CDTF">2026-08-25T09:06:04Z</dcterms:modified>
  <cp:revision>55</cp:revision>
  <dc:subject/>
  <dc:title>О Т К Р Ы Т О Е    А К Ц И О Н Е Р Н О Е     О Б Щ Е С Т В 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1855193</vt:r8>
  </property>
  <property fmtid="{D5CDD505-2E9C-101B-9397-08002B2CF9AE}" pid="3" name="_AuthorEmail">
    <vt:lpwstr>Lapidas-SS@amur.drsk.ru</vt:lpwstr>
  </property>
  <property fmtid="{D5CDD505-2E9C-101B-9397-08002B2CF9AE}" pid="4" name="_AuthorEmailDisplayName">
    <vt:lpwstr>Лапидас С.С.</vt:lpwstr>
  </property>
  <property fmtid="{D5CDD505-2E9C-101B-9397-08002B2CF9AE}" pid="5" name="_EmailSubject">
    <vt:lpwstr>АЭС Технические требования по 2 этапу ГКПЗ 2024 </vt:lpwstr>
  </property>
</Properties>
</file>