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oter3.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1260" w:leader="none"/>
        </w:tabs>
        <w:jc w:val="center"/>
        <w:rPr>
          <w:b/>
          <w:szCs w:val="24"/>
        </w:rPr>
      </w:pPr>
      <w:r>
        <w:rPr>
          <w:b/>
          <w:szCs w:val="24"/>
        </w:rPr>
        <w:t xml:space="preserve">ДОГОВОР № </w:t>
      </w:r>
    </w:p>
    <w:p>
      <w:pPr>
        <w:pStyle w:val="Normal"/>
        <w:widowControl w:val="false"/>
        <w:tabs>
          <w:tab w:val="clear" w:pos="708"/>
          <w:tab w:val="left" w:pos="1260" w:leader="none"/>
        </w:tabs>
        <w:jc w:val="center"/>
        <w:rPr>
          <w:b/>
          <w:szCs w:val="24"/>
        </w:rPr>
      </w:pPr>
      <w:r>
        <w:rPr>
          <w:b/>
          <w:szCs w:val="24"/>
        </w:rPr>
      </w:r>
    </w:p>
    <w:p>
      <w:pPr>
        <w:pStyle w:val="Normal"/>
        <w:widowControl w:val="false"/>
        <w:tabs>
          <w:tab w:val="clear" w:pos="708"/>
          <w:tab w:val="left" w:pos="1260" w:leader="none"/>
        </w:tabs>
        <w:jc w:val="center"/>
        <w:rPr>
          <w:b/>
          <w:bCs/>
          <w:szCs w:val="24"/>
        </w:rPr>
      </w:pPr>
      <w:r>
        <w:rPr>
          <w:b/>
          <w:bCs/>
          <w:szCs w:val="24"/>
        </w:rPr>
        <w:t xml:space="preserve">на оказание услуг по предрейсовому и послерейсовому </w:t>
      </w:r>
    </w:p>
    <w:p>
      <w:pPr>
        <w:pStyle w:val="Normal"/>
        <w:widowControl w:val="false"/>
        <w:tabs>
          <w:tab w:val="clear" w:pos="708"/>
          <w:tab w:val="left" w:pos="1260" w:leader="none"/>
        </w:tabs>
        <w:jc w:val="center"/>
        <w:rPr>
          <w:b/>
          <w:bCs/>
          <w:szCs w:val="24"/>
        </w:rPr>
      </w:pPr>
      <w:r>
        <w:rPr>
          <w:b/>
          <w:bCs/>
          <w:szCs w:val="24"/>
        </w:rPr>
        <w:t>медицинскому осмотру водителей с использованием комплекса медицинского осмотра.</w:t>
      </w:r>
    </w:p>
    <w:tbl>
      <w:tblPr>
        <w:tblStyle w:val="aa"/>
        <w:tblW w:w="10205" w:type="dxa"/>
        <w:jc w:val="left"/>
        <w:tblInd w:w="108" w:type="dxa"/>
        <w:tblLayout w:type="fixed"/>
        <w:tblCellMar>
          <w:top w:w="0" w:type="dxa"/>
          <w:left w:w="108" w:type="dxa"/>
          <w:bottom w:w="0" w:type="dxa"/>
          <w:right w:w="108" w:type="dxa"/>
        </w:tblCellMar>
        <w:tblLook w:lastRow="0" w:firstRow="1" w:lastColumn="0" w:firstColumn="1" w:val="04a0" w:noHBand="0" w:noVBand="1"/>
      </w:tblPr>
      <w:tblGrid>
        <w:gridCol w:w="5109"/>
        <w:gridCol w:w="5095"/>
      </w:tblGrid>
      <w:tr>
        <w:trPr/>
        <w:tc>
          <w:tcPr>
            <w:tcW w:w="5109" w:type="dxa"/>
            <w:tcBorders>
              <w:top w:val="nil"/>
              <w:left w:val="nil"/>
              <w:bottom w:val="nil"/>
              <w:right w:val="nil"/>
            </w:tcBorders>
          </w:tcPr>
          <w:p>
            <w:pPr>
              <w:pStyle w:val="Normal"/>
              <w:widowControl w:val="false"/>
              <w:tabs>
                <w:tab w:val="clear" w:pos="708"/>
                <w:tab w:val="left" w:pos="1260" w:leader="none"/>
              </w:tabs>
              <w:suppressAutoHyphens w:val="true"/>
              <w:spacing w:before="0" w:after="0"/>
              <w:jc w:val="left"/>
              <w:rPr>
                <w:b/>
                <w:bCs/>
                <w:color w:val="000000" w:themeColor="text1"/>
                <w:szCs w:val="24"/>
              </w:rPr>
            </w:pPr>
            <w:r>
              <w:rPr>
                <w:b/>
                <w:bCs/>
                <w:color w:val="000000" w:themeColor="text1"/>
                <w:sz w:val="20"/>
                <w:szCs w:val="24"/>
              </w:rPr>
            </w:r>
          </w:p>
          <w:p>
            <w:pPr>
              <w:pStyle w:val="Normal"/>
              <w:widowControl w:val="false"/>
              <w:tabs>
                <w:tab w:val="clear" w:pos="708"/>
                <w:tab w:val="left" w:pos="1260" w:leader="none"/>
              </w:tabs>
              <w:suppressAutoHyphens w:val="true"/>
              <w:spacing w:before="0" w:after="0"/>
              <w:jc w:val="left"/>
              <w:rPr>
                <w:b/>
                <w:bCs/>
                <w:color w:val="000000" w:themeColor="text1"/>
                <w:szCs w:val="24"/>
              </w:rPr>
            </w:pPr>
            <w:r>
              <w:rPr>
                <w:rFonts w:eastAsia="Times New Roman" w:cs="Times New Roman"/>
                <w:color w:val="000000" w:themeColor="text1"/>
                <w:kern w:val="0"/>
                <w:sz w:val="20"/>
                <w:szCs w:val="24"/>
                <w:lang w:val="ru-RU" w:eastAsia="ru-RU" w:bidi="ar-SA"/>
              </w:rPr>
              <w:t>г. Хабаровск</w:t>
            </w:r>
          </w:p>
        </w:tc>
        <w:tc>
          <w:tcPr>
            <w:tcW w:w="5095" w:type="dxa"/>
            <w:tcBorders>
              <w:top w:val="nil"/>
              <w:left w:val="nil"/>
              <w:bottom w:val="nil"/>
              <w:right w:val="nil"/>
            </w:tcBorders>
          </w:tcPr>
          <w:p>
            <w:pPr>
              <w:pStyle w:val="Normal"/>
              <w:widowControl w:val="false"/>
              <w:tabs>
                <w:tab w:val="clear" w:pos="708"/>
                <w:tab w:val="left" w:pos="1260" w:leader="none"/>
              </w:tabs>
              <w:suppressAutoHyphens w:val="true"/>
              <w:spacing w:before="0" w:after="0"/>
              <w:jc w:val="right"/>
              <w:rPr>
                <w:b/>
                <w:bCs/>
                <w:color w:val="000000" w:themeColor="text1"/>
                <w:szCs w:val="24"/>
              </w:rPr>
            </w:pPr>
            <w:r>
              <w:rPr>
                <w:b/>
                <w:bCs/>
                <w:color w:val="000000" w:themeColor="text1"/>
                <w:sz w:val="20"/>
                <w:szCs w:val="24"/>
              </w:rPr>
            </w:r>
          </w:p>
          <w:p>
            <w:pPr>
              <w:pStyle w:val="Normal"/>
              <w:widowControl w:val="false"/>
              <w:tabs>
                <w:tab w:val="clear" w:pos="708"/>
                <w:tab w:val="left" w:pos="1260" w:leader="none"/>
              </w:tabs>
              <w:suppressAutoHyphens w:val="true"/>
              <w:spacing w:before="0" w:after="0"/>
              <w:jc w:val="right"/>
              <w:rPr>
                <w:b/>
                <w:bCs/>
                <w:color w:val="000000" w:themeColor="text1"/>
                <w:szCs w:val="24"/>
              </w:rPr>
            </w:pPr>
            <w:r>
              <w:rPr>
                <w:rFonts w:eastAsia="Times New Roman" w:cs="Times New Roman"/>
                <w:color w:val="000000" w:themeColor="text1"/>
                <w:kern w:val="0"/>
                <w:sz w:val="20"/>
                <w:szCs w:val="24"/>
                <w:lang w:val="ru-RU" w:eastAsia="ru-RU" w:bidi="ar-SA"/>
              </w:rPr>
              <w:t>«   »  202</w:t>
            </w:r>
            <w:r>
              <w:rPr>
                <w:rFonts w:eastAsia="Times New Roman" w:cs="Times New Roman"/>
                <w:color w:val="000000" w:themeColor="text1"/>
                <w:kern w:val="0"/>
                <w:sz w:val="20"/>
                <w:szCs w:val="24"/>
                <w:lang w:val="ru-RU" w:eastAsia="ru-RU" w:bidi="ar-SA"/>
              </w:rPr>
              <w:t>6</w:t>
            </w:r>
            <w:r>
              <w:rPr>
                <w:rFonts w:eastAsia="Times New Roman" w:cs="Times New Roman"/>
                <w:color w:val="000000" w:themeColor="text1"/>
                <w:kern w:val="0"/>
                <w:sz w:val="20"/>
                <w:szCs w:val="24"/>
                <w:lang w:val="ru-RU" w:eastAsia="ru-RU" w:bidi="ar-SA"/>
              </w:rPr>
              <w:t xml:space="preserve"> год</w:t>
            </w:r>
          </w:p>
        </w:tc>
      </w:tr>
    </w:tbl>
    <w:p>
      <w:pPr>
        <w:pStyle w:val="Normal"/>
        <w:widowControl w:val="false"/>
        <w:tabs>
          <w:tab w:val="clear" w:pos="708"/>
          <w:tab w:val="left" w:pos="1260" w:leader="none"/>
        </w:tabs>
        <w:ind w:firstLine="680"/>
        <w:jc w:val="center"/>
        <w:rPr>
          <w:b/>
          <w:bCs/>
          <w:color w:val="000000" w:themeColor="text1"/>
          <w:szCs w:val="24"/>
        </w:rPr>
      </w:pPr>
      <w:r>
        <w:rPr>
          <w:b/>
          <w:bCs/>
          <w:color w:val="000000" w:themeColor="text1"/>
          <w:szCs w:val="24"/>
        </w:rPr>
      </w:r>
    </w:p>
    <w:p>
      <w:pPr>
        <w:pStyle w:val="Normal"/>
        <w:widowControl w:val="false"/>
        <w:tabs>
          <w:tab w:val="clear" w:pos="708"/>
          <w:tab w:val="left" w:pos="1260" w:leader="none"/>
        </w:tabs>
        <w:ind w:firstLine="680"/>
        <w:jc w:val="center"/>
        <w:rPr>
          <w:b/>
          <w:bCs/>
          <w:color w:val="000000" w:themeColor="text1"/>
          <w:szCs w:val="24"/>
        </w:rPr>
      </w:pPr>
      <w:r>
        <w:rPr>
          <w:b/>
          <w:bCs/>
          <w:color w:val="000000" w:themeColor="text1"/>
          <w:szCs w:val="24"/>
        </w:rPr>
      </w:r>
    </w:p>
    <w:p>
      <w:pPr>
        <w:pStyle w:val="NoSpacing"/>
        <w:ind w:firstLine="680"/>
        <w:jc w:val="both"/>
        <w:rPr>
          <w:b/>
          <w:bCs/>
          <w:szCs w:val="24"/>
        </w:rPr>
      </w:pPr>
      <w:r>
        <w:rPr>
          <w:b/>
          <w:bCs/>
          <w:sz w:val="24"/>
          <w:szCs w:val="24"/>
        </w:rPr>
        <w:t>АО «Дальневосточная распределительная сетевая компания» (АО «ДРСК»)</w:t>
      </w:r>
      <w:r>
        <w:rPr>
          <w:sz w:val="24"/>
          <w:szCs w:val="24"/>
        </w:rPr>
        <w:t xml:space="preserve"> именуемая в дальнейшем «Заказчик», в лице директора филиала АО «ДРСК» «Хабаровские электрические сети» </w:t>
      </w:r>
      <w:r>
        <w:rPr>
          <w:b/>
          <w:bCs/>
          <w:sz w:val="24"/>
          <w:szCs w:val="24"/>
        </w:rPr>
        <w:t>Сугоровского Максима Александровича</w:t>
      </w:r>
      <w:r>
        <w:rPr>
          <w:sz w:val="24"/>
          <w:szCs w:val="24"/>
        </w:rPr>
        <w:t>, действующего на основании доверенности № 60 от 01.01.2024 года</w:t>
      </w:r>
      <w:r>
        <w:rPr>
          <w:szCs w:val="24"/>
        </w:rPr>
        <w:t xml:space="preserve"> и </w:t>
      </w:r>
      <w:r>
        <w:rPr>
          <w:b/>
          <w:szCs w:val="24"/>
        </w:rPr>
        <w:t>ООО «ЭкоМед»</w:t>
      </w:r>
      <w:r>
        <w:rPr>
          <w:szCs w:val="24"/>
        </w:rPr>
        <w:t>, имеющее право на осуществление медицинской деятельности (Лицензия № Л041-01189-27/00367544 от 18.11.2020 г.), именуемое в дальнейшем «Исполнитель»</w:t>
      </w:r>
      <w:r>
        <w:rPr>
          <w:b/>
          <w:szCs w:val="24"/>
        </w:rPr>
        <w:t>,</w:t>
      </w:r>
      <w:r>
        <w:rPr>
          <w:szCs w:val="24"/>
        </w:rPr>
        <w:t xml:space="preserve"> в лице директора </w:t>
      </w:r>
      <w:r>
        <w:rPr>
          <w:b/>
          <w:bCs/>
          <w:szCs w:val="24"/>
        </w:rPr>
        <w:t>Боченкова Владилена Михайловича</w:t>
      </w:r>
      <w:r>
        <w:rPr>
          <w:szCs w:val="24"/>
        </w:rPr>
        <w:t>, действующего на основании Устава, с другой стороны, а вместе именуемые в дальнейшем «Стороны», руководствуясь действующим законодательством РФ, заключили настоящий Договор о нижеследующем:</w:t>
      </w:r>
    </w:p>
    <w:p>
      <w:pPr>
        <w:pStyle w:val="NoSpacing"/>
        <w:ind w:firstLine="680"/>
        <w:jc w:val="both"/>
        <w:rPr>
          <w:b/>
          <w:bCs/>
          <w:szCs w:val="24"/>
        </w:rPr>
      </w:pPr>
      <w:r>
        <w:rPr>
          <w:b/>
          <w:bCs/>
          <w:szCs w:val="24"/>
        </w:rPr>
      </w:r>
    </w:p>
    <w:p>
      <w:pPr>
        <w:pStyle w:val="Normal"/>
        <w:numPr>
          <w:ilvl w:val="0"/>
          <w:numId w:val="0"/>
        </w:numPr>
        <w:ind w:left="0" w:hanging="0"/>
        <w:jc w:val="center"/>
        <w:rPr/>
      </w:pPr>
      <w:r>
        <w:rPr>
          <w:b/>
          <w:szCs w:val="24"/>
        </w:rPr>
        <w:t>1. Предмет договора</w:t>
      </w:r>
    </w:p>
    <w:p>
      <w:pPr>
        <w:pStyle w:val="Normal"/>
        <w:numPr>
          <w:ilvl w:val="1"/>
          <w:numId w:val="2"/>
        </w:numPr>
        <w:shd w:val="clear" w:color="auto" w:fill="FFFFFF"/>
        <w:ind w:left="0" w:firstLine="680"/>
        <w:jc w:val="both"/>
        <w:rPr/>
      </w:pPr>
      <w:r>
        <w:rPr>
          <w:szCs w:val="24"/>
        </w:rPr>
        <w:t>Предметом настоящего Договора является оказание Исполнителем медицинских услуг по предрейсовым / послерейсовым медицинским осмотрам работников Заказчика с использованием арендуемого комплекса медицинских осмотров у Исполнителя.</w:t>
      </w:r>
    </w:p>
    <w:p>
      <w:pPr>
        <w:pStyle w:val="4"/>
        <w:numPr>
          <w:ilvl w:val="1"/>
          <w:numId w:val="2"/>
        </w:numPr>
        <w:shd w:val="clear" w:fill="auto"/>
        <w:tabs>
          <w:tab w:val="clear" w:pos="708"/>
          <w:tab w:val="left" w:pos="1230" w:leader="none"/>
        </w:tabs>
        <w:spacing w:lineRule="auto" w:line="240" w:before="0" w:after="0"/>
        <w:ind w:left="20" w:right="20" w:firstLine="720"/>
        <w:rPr/>
      </w:pPr>
      <w:r>
        <w:rPr>
          <w:sz w:val="24"/>
          <w:szCs w:val="24"/>
        </w:rPr>
        <w:t>Медицинские услуги, оказываемые в соответствии с настоящим Договором, оплачиваются в соответствии с Прейскурантом на медицинские услуги (Приложение № 1 к настоящему Договору).</w:t>
      </w:r>
    </w:p>
    <w:p>
      <w:pPr>
        <w:pStyle w:val="4"/>
        <w:numPr>
          <w:ilvl w:val="1"/>
          <w:numId w:val="2"/>
        </w:numPr>
        <w:shd w:val="clear" w:fill="auto"/>
        <w:tabs>
          <w:tab w:val="clear" w:pos="708"/>
          <w:tab w:val="left" w:pos="1230" w:leader="none"/>
        </w:tabs>
        <w:spacing w:lineRule="auto" w:line="240" w:before="0" w:after="0"/>
        <w:ind w:left="20" w:right="20" w:firstLine="720"/>
        <w:rPr/>
      </w:pPr>
      <w:r>
        <w:rPr>
          <w:sz w:val="24"/>
          <w:szCs w:val="24"/>
        </w:rPr>
        <w:t>Список работников, подлежащих осмотру, прилагается к настоящему Договору и является его неотъемлемой частью (Приложение № 2).</w:t>
      </w:r>
    </w:p>
    <w:p>
      <w:pPr>
        <w:pStyle w:val="Normal"/>
        <w:numPr>
          <w:ilvl w:val="1"/>
          <w:numId w:val="2"/>
        </w:numPr>
        <w:ind w:left="0" w:firstLine="680"/>
        <w:jc w:val="both"/>
        <w:rPr/>
      </w:pPr>
      <w:r>
        <w:rPr>
          <w:szCs w:val="24"/>
        </w:rPr>
        <w:t xml:space="preserve">Место оказания услуг – по месту установки комплекса медицинских осмотров на территории Заказчика (Хабаровский край, Хабаровский район, с. Некрасовка, ул. Солнечная, 2). </w:t>
      </w:r>
    </w:p>
    <w:p>
      <w:pPr>
        <w:pStyle w:val="21"/>
        <w:numPr>
          <w:ilvl w:val="1"/>
          <w:numId w:val="2"/>
        </w:numPr>
        <w:ind w:left="0" w:firstLine="709"/>
        <w:rPr/>
      </w:pPr>
      <w:r>
        <w:rPr/>
        <w:t>Услуги оказываются с применением Комплекса(ов) медицинского осмотра «Кодос» по ТУ 26.60.12.120</w:t>
      </w:r>
      <w:r>
        <w:rPr>
          <w:rFonts w:cs="MS Mincho" w:ascii="MS Mincho" w:hAnsi="MS Mincho"/>
        </w:rPr>
        <w:noBreakHyphen/>
      </w:r>
      <w:r>
        <w:rPr/>
        <w:t>000</w:t>
      </w:r>
      <w:r>
        <w:rPr>
          <w:rFonts w:cs="MS Mincho" w:ascii="MS Mincho" w:hAnsi="MS Mincho"/>
        </w:rPr>
        <w:noBreakHyphen/>
      </w:r>
      <w:r>
        <w:rPr/>
        <w:t>75538036</w:t>
      </w:r>
      <w:r>
        <w:rPr>
          <w:rFonts w:cs="MS Mincho" w:ascii="MS Mincho" w:hAnsi="MS Mincho"/>
        </w:rPr>
        <w:noBreakHyphen/>
      </w:r>
      <w:r>
        <w:rPr/>
        <w:t xml:space="preserve">2018, </w:t>
      </w:r>
      <w:r>
        <w:rPr>
          <w:rFonts w:cs="Times New Roman"/>
        </w:rPr>
        <w:t>регистрационное</w:t>
      </w:r>
      <w:r>
        <w:rPr/>
        <w:t xml:space="preserve"> </w:t>
      </w:r>
      <w:r>
        <w:rPr>
          <w:rFonts w:cs="Times New Roman"/>
        </w:rPr>
        <w:t>удостоверение</w:t>
      </w:r>
      <w:r>
        <w:rPr/>
        <w:t xml:space="preserve"> </w:t>
      </w:r>
      <w:r>
        <w:rPr>
          <w:rFonts w:cs="Times New Roman"/>
        </w:rPr>
        <w:t>на</w:t>
      </w:r>
      <w:r>
        <w:rPr/>
        <w:t xml:space="preserve"> </w:t>
      </w:r>
      <w:r>
        <w:rPr>
          <w:rFonts w:cs="Times New Roman"/>
        </w:rPr>
        <w:t>медицинское</w:t>
      </w:r>
      <w:r>
        <w:rPr/>
        <w:t xml:space="preserve"> </w:t>
      </w:r>
      <w:r>
        <w:rPr>
          <w:rFonts w:cs="Times New Roman"/>
        </w:rPr>
        <w:t>изделие</w:t>
      </w:r>
      <w:r>
        <w:rPr/>
        <w:t xml:space="preserve"> </w:t>
      </w:r>
      <w:r>
        <w:rPr>
          <w:rFonts w:cs="Times New Roman"/>
        </w:rPr>
        <w:t>РЗН</w:t>
      </w:r>
      <w:r>
        <w:rPr/>
        <w:t xml:space="preserve"> 2020/9834 </w:t>
      </w:r>
      <w:r>
        <w:rPr>
          <w:rFonts w:cs="Times New Roman"/>
        </w:rPr>
        <w:t>от</w:t>
      </w:r>
      <w:r>
        <w:rPr/>
        <w:t xml:space="preserve"> 09.04.2020 </w:t>
      </w:r>
      <w:r>
        <w:rPr>
          <w:rFonts w:cs="Times New Roman"/>
        </w:rPr>
        <w:t>г</w:t>
      </w:r>
      <w:r>
        <w:rPr/>
        <w:t xml:space="preserve">. (далее – Оборудование). </w:t>
      </w:r>
    </w:p>
    <w:p>
      <w:pPr>
        <w:pStyle w:val="21"/>
        <w:numPr>
          <w:ilvl w:val="1"/>
          <w:numId w:val="2"/>
        </w:numPr>
        <w:ind w:left="0" w:firstLine="709"/>
        <w:rPr/>
      </w:pPr>
      <w:r>
        <w:rPr/>
        <w:t>Порядок проведения медицинских осмотров указан в Приложении № 4 к настоящему договору.</w:t>
      </w:r>
    </w:p>
    <w:p>
      <w:pPr>
        <w:pStyle w:val="21"/>
        <w:numPr>
          <w:ilvl w:val="1"/>
          <w:numId w:val="2"/>
        </w:numPr>
        <w:ind w:left="0" w:firstLine="709"/>
        <w:rPr/>
      </w:pPr>
      <w:r>
        <w:rPr/>
        <w:t>Исполнитель гарантирует оказание услуг по настоящему Договору в полном соответствии с действующим законодательством РФ, а также наличие у себя всех лицензий, разрешений, сертификатов, предусмотренных для оказания подобного рода услуг действующим законодательством РФ.</w:t>
      </w:r>
    </w:p>
    <w:p>
      <w:pPr>
        <w:pStyle w:val="21"/>
        <w:numPr>
          <w:ilvl w:val="0"/>
          <w:numId w:val="0"/>
        </w:numPr>
        <w:ind w:left="0" w:hanging="0"/>
        <w:rPr/>
      </w:pPr>
      <w:r>
        <w:rPr/>
      </w:r>
    </w:p>
    <w:p>
      <w:pPr>
        <w:pStyle w:val="ListParagraph"/>
        <w:numPr>
          <w:ilvl w:val="0"/>
          <w:numId w:val="0"/>
        </w:numPr>
        <w:ind w:left="0" w:hanging="0"/>
        <w:jc w:val="center"/>
        <w:rPr/>
      </w:pPr>
      <w:r>
        <w:rPr>
          <w:b/>
          <w:sz w:val="24"/>
          <w:szCs w:val="24"/>
        </w:rPr>
        <w:t xml:space="preserve">                     </w:t>
      </w:r>
      <w:r>
        <w:rPr>
          <w:b/>
          <w:sz w:val="24"/>
          <w:szCs w:val="24"/>
        </w:rPr>
        <w:t>2. Стоимость услуг и порядок расчетов</w:t>
      </w:r>
    </w:p>
    <w:p>
      <w:pPr>
        <w:pStyle w:val="4"/>
        <w:numPr>
          <w:ilvl w:val="0"/>
          <w:numId w:val="0"/>
        </w:numPr>
        <w:shd w:val="clear" w:fill="auto"/>
        <w:tabs>
          <w:tab w:val="clear" w:pos="708"/>
          <w:tab w:val="left" w:pos="1249" w:leader="none"/>
        </w:tabs>
        <w:spacing w:lineRule="auto" w:line="240" w:before="0" w:after="0"/>
        <w:ind w:left="20" w:right="20" w:hanging="0"/>
        <w:rPr>
          <w:sz w:val="24"/>
          <w:szCs w:val="24"/>
        </w:rPr>
      </w:pPr>
      <w:r>
        <w:rPr>
          <w:sz w:val="24"/>
          <w:szCs w:val="24"/>
        </w:rPr>
        <w:t xml:space="preserve">            </w:t>
      </w:r>
      <w:r>
        <w:rPr>
          <w:sz w:val="24"/>
          <w:szCs w:val="24"/>
        </w:rPr>
        <w:t xml:space="preserve">2.1 Максимальная цена договора составляет </w:t>
      </w:r>
      <w:r>
        <w:rPr>
          <w:b/>
          <w:sz w:val="24"/>
          <w:szCs w:val="24"/>
        </w:rPr>
        <w:t>413 905</w:t>
      </w:r>
      <w:r>
        <w:rPr>
          <w:sz w:val="24"/>
          <w:szCs w:val="24"/>
        </w:rPr>
        <w:t>(</w:t>
      </w:r>
      <w:r>
        <w:rPr>
          <w:b/>
          <w:bCs/>
          <w:sz w:val="24"/>
          <w:szCs w:val="24"/>
        </w:rPr>
        <w:t>четыреста тринадцать тысяч девятьсот пять</w:t>
      </w:r>
      <w:r>
        <w:rPr>
          <w:b/>
          <w:sz w:val="24"/>
          <w:szCs w:val="24"/>
        </w:rPr>
        <w:t xml:space="preserve">) рублей </w:t>
      </w:r>
      <w:r>
        <w:rPr>
          <w:b/>
          <w:sz w:val="24"/>
          <w:szCs w:val="24"/>
        </w:rPr>
        <w:t>50 копеек</w:t>
      </w:r>
      <w:r>
        <w:rPr>
          <w:b/>
          <w:sz w:val="24"/>
          <w:szCs w:val="24"/>
        </w:rPr>
        <w:t>, НДС не облагается</w:t>
      </w:r>
      <w:r>
        <w:rPr>
          <w:sz w:val="24"/>
          <w:szCs w:val="24"/>
        </w:rPr>
        <w:t>. При недостаточности указанных средств для оплаты услуг до окончания срока действия настоящего Договора он подлежит прекращению.</w:t>
      </w:r>
    </w:p>
    <w:p>
      <w:pPr>
        <w:pStyle w:val="4"/>
        <w:numPr>
          <w:ilvl w:val="0"/>
          <w:numId w:val="0"/>
        </w:numPr>
        <w:shd w:val="clear" w:fill="auto"/>
        <w:tabs>
          <w:tab w:val="clear" w:pos="708"/>
          <w:tab w:val="left" w:pos="1249" w:leader="none"/>
        </w:tabs>
        <w:spacing w:lineRule="auto" w:line="240" w:before="0" w:after="0"/>
        <w:ind w:left="20" w:right="20" w:hanging="0"/>
        <w:rPr>
          <w:sz w:val="24"/>
          <w:szCs w:val="24"/>
        </w:rPr>
      </w:pPr>
      <w:r>
        <w:rPr>
          <w:sz w:val="24"/>
          <w:szCs w:val="24"/>
        </w:rPr>
        <w:t xml:space="preserve">      </w:t>
      </w:r>
      <w:r>
        <w:rPr>
          <w:sz w:val="24"/>
          <w:szCs w:val="24"/>
        </w:rPr>
        <w:t>2.2 Стоимость услуг по настоящему Договору рассчитывается в соответствии с Прейскурантом (Приложение № 1). Услуги Исполнителя НДС не облагаются (п. 2 ч. 2 ст. 149 Налогового кодекса РФ).</w:t>
      </w:r>
    </w:p>
    <w:p>
      <w:pPr>
        <w:pStyle w:val="4"/>
        <w:shd w:val="clear" w:fill="auto"/>
        <w:spacing w:lineRule="auto" w:line="240" w:before="0" w:after="0"/>
        <w:ind w:left="20" w:right="20" w:firstLine="720"/>
        <w:rPr>
          <w:sz w:val="24"/>
          <w:szCs w:val="24"/>
        </w:rPr>
      </w:pPr>
      <w:r>
        <w:rPr>
          <w:sz w:val="24"/>
          <w:szCs w:val="24"/>
        </w:rPr>
        <w:t>Стоимость услуг включает в себя все затраты, издержки и иные расходы Исполнителя, в том числе сопутствующие, связанные с исполнением настоящего Договора.</w:t>
      </w:r>
    </w:p>
    <w:p>
      <w:pPr>
        <w:pStyle w:val="4"/>
        <w:shd w:val="clear" w:fill="auto"/>
        <w:spacing w:lineRule="auto" w:line="240" w:before="0" w:after="0"/>
        <w:ind w:left="20" w:right="20" w:firstLine="720"/>
        <w:rPr>
          <w:sz w:val="24"/>
          <w:szCs w:val="24"/>
        </w:rPr>
      </w:pPr>
      <w:r>
        <w:rPr>
          <w:sz w:val="24"/>
          <w:szCs w:val="24"/>
        </w:rPr>
        <w:t xml:space="preserve">Цены на медицинские услуги, оказываемые в соответствии с настоящим Договором, могут изменяться Исполнителем при условии письменного уведомления об этом Заказчика не менее, чем за 1 (один) месяц. </w:t>
      </w:r>
    </w:p>
    <w:p>
      <w:pPr>
        <w:pStyle w:val="4"/>
        <w:shd w:val="clear" w:fill="auto"/>
        <w:spacing w:lineRule="auto" w:line="240" w:before="0" w:after="0"/>
        <w:ind w:left="20" w:right="20" w:firstLine="720"/>
        <w:rPr>
          <w:sz w:val="24"/>
          <w:szCs w:val="24"/>
        </w:rPr>
      </w:pPr>
      <w:r>
        <w:rPr>
          <w:sz w:val="24"/>
          <w:szCs w:val="24"/>
        </w:rPr>
        <w:t xml:space="preserve">2.3. Оплата оказанных услуг производится Заказчиком ежемесячно путем перечисления денежных средств на расчетный счет Исполнителя на основании выставленного счета в течении 10 банковских дней с даты получения счета. </w:t>
      </w:r>
    </w:p>
    <w:p>
      <w:pPr>
        <w:pStyle w:val="4"/>
        <w:shd w:val="clear" w:fill="auto"/>
        <w:spacing w:lineRule="auto" w:line="240" w:before="0" w:after="0"/>
        <w:ind w:left="0" w:right="20" w:firstLine="709"/>
        <w:rPr>
          <w:sz w:val="24"/>
          <w:szCs w:val="24"/>
        </w:rPr>
      </w:pPr>
      <w:r>
        <w:rPr>
          <w:sz w:val="24"/>
          <w:szCs w:val="24"/>
        </w:rPr>
        <w:t>2.4. Количество работников, подлежащих предрейсовым и послерейсовым медицинским осмотрам определяется Заказчиком (Приложение 2).</w:t>
      </w:r>
    </w:p>
    <w:p>
      <w:pPr>
        <w:pStyle w:val="4"/>
        <w:spacing w:lineRule="auto" w:line="240" w:before="0" w:after="0"/>
        <w:ind w:left="23" w:right="23" w:firstLine="720"/>
        <w:rPr>
          <w:sz w:val="24"/>
          <w:szCs w:val="24"/>
        </w:rPr>
      </w:pPr>
      <w:r>
        <w:rPr>
          <w:sz w:val="24"/>
          <w:szCs w:val="24"/>
        </w:rPr>
        <w:t>Количество работников может быть увеличено за счет сотрудников Заказчика, прибывших в служебную командировку.</w:t>
      </w:r>
    </w:p>
    <w:p>
      <w:pPr>
        <w:pStyle w:val="4"/>
        <w:spacing w:lineRule="auto" w:line="240" w:before="0" w:after="0"/>
        <w:ind w:left="23" w:right="23" w:firstLine="720"/>
        <w:rPr>
          <w:sz w:val="24"/>
          <w:szCs w:val="24"/>
        </w:rPr>
      </w:pPr>
      <w:r>
        <w:rPr>
          <w:sz w:val="24"/>
          <w:szCs w:val="24"/>
        </w:rPr>
        <w:t>Изменение списка работников, подлежащих предрейсовым и послерейсовым медицинским осмотрам по Договору, не требует заключения дополнительного соглашения к Договору в случае, когда оно вызвано увольнением сотрудника или кадровым перемещением.</w:t>
      </w:r>
    </w:p>
    <w:p>
      <w:pPr>
        <w:pStyle w:val="4"/>
        <w:shd w:val="clear" w:fill="auto"/>
        <w:spacing w:lineRule="auto" w:line="240" w:before="0" w:after="0"/>
        <w:ind w:left="20" w:right="20" w:firstLine="720"/>
        <w:rPr>
          <w:szCs w:val="24"/>
        </w:rPr>
      </w:pPr>
      <w:r>
        <w:rPr>
          <w:szCs w:val="24"/>
        </w:rPr>
      </w:r>
    </w:p>
    <w:p>
      <w:pPr>
        <w:pStyle w:val="ListParagraph"/>
        <w:numPr>
          <w:ilvl w:val="0"/>
          <w:numId w:val="0"/>
        </w:numPr>
        <w:ind w:left="0" w:hanging="0"/>
        <w:jc w:val="center"/>
        <w:rPr/>
      </w:pPr>
      <w:r>
        <w:rPr>
          <w:b/>
          <w:sz w:val="24"/>
          <w:szCs w:val="24"/>
        </w:rPr>
        <w:t xml:space="preserve">     </w:t>
      </w:r>
      <w:r>
        <w:rPr>
          <w:b/>
          <w:sz w:val="24"/>
          <w:szCs w:val="24"/>
        </w:rPr>
        <w:t>3. Права и обязанности Сторон</w:t>
      </w:r>
    </w:p>
    <w:p>
      <w:pPr>
        <w:pStyle w:val="Normal"/>
        <w:ind w:firstLine="709"/>
        <w:jc w:val="both"/>
        <w:rPr/>
      </w:pPr>
      <w:r>
        <w:rPr>
          <w:b/>
          <w:bCs/>
          <w:szCs w:val="24"/>
        </w:rPr>
        <w:t>3.1</w:t>
      </w:r>
      <w:r>
        <w:rPr>
          <w:szCs w:val="24"/>
        </w:rPr>
        <w:t xml:space="preserve">. </w:t>
      </w:r>
      <w:r>
        <w:rPr>
          <w:b/>
          <w:bCs/>
          <w:szCs w:val="24"/>
        </w:rPr>
        <w:t>Исполнитель обязан:</w:t>
      </w:r>
    </w:p>
    <w:p>
      <w:pPr>
        <w:pStyle w:val="31"/>
        <w:numPr>
          <w:ilvl w:val="0"/>
          <w:numId w:val="0"/>
        </w:numPr>
        <w:ind w:left="0" w:hanging="0"/>
        <w:rPr/>
      </w:pPr>
      <w:r>
        <w:rPr/>
        <w:t xml:space="preserve">           </w:t>
      </w:r>
      <w:r>
        <w:rPr/>
        <w:t xml:space="preserve">3.1.Проводить медицинский осмотр на допуск к работе сотрудников Заказчика, указанных в Приложении №2 к настоящему договору. </w:t>
      </w:r>
      <w:r>
        <w:rPr>
          <w:szCs w:val="24"/>
        </w:rPr>
        <w:t>Регистрировать в журнале медицинских осмотров, заполняемом в форме электронного документа и отмечать в путевом листе состояние работников перед выходом в рейс и/или на смену (после окончания рейса и/или смены).</w:t>
      </w:r>
    </w:p>
    <w:p>
      <w:pPr>
        <w:pStyle w:val="Normal"/>
        <w:ind w:firstLine="709"/>
        <w:jc w:val="both"/>
        <w:rPr/>
      </w:pPr>
      <w:r>
        <w:rPr>
          <w:szCs w:val="24"/>
        </w:rPr>
        <w:t xml:space="preserve">3.1.2. </w:t>
      </w:r>
      <w:r>
        <w:rPr/>
        <w:t>При оказании услуг проводить:</w:t>
      </w:r>
    </w:p>
    <w:p>
      <w:pPr>
        <w:pStyle w:val="Normal"/>
        <w:ind w:firstLine="709"/>
        <w:jc w:val="both"/>
        <w:rPr/>
      </w:pPr>
      <w:r>
        <w:rPr/>
        <w:t>- сбор жалоб;</w:t>
      </w:r>
    </w:p>
    <w:p>
      <w:pPr>
        <w:pStyle w:val="Normal"/>
        <w:ind w:firstLine="709"/>
        <w:jc w:val="both"/>
        <w:rPr/>
      </w:pPr>
      <w:r>
        <w:rPr/>
        <w:t xml:space="preserve">- измерение артериального давления и пульса, температуры тела; </w:t>
      </w:r>
    </w:p>
    <w:p>
      <w:pPr>
        <w:pStyle w:val="Normal"/>
        <w:ind w:firstLine="709"/>
        <w:jc w:val="both"/>
        <w:rPr/>
      </w:pPr>
      <w:r>
        <w:rPr/>
        <w:t>- определение наличия алкоголя и других психотропных веществ в выдыхаемом воздухе;</w:t>
      </w:r>
    </w:p>
    <w:p>
      <w:pPr>
        <w:pStyle w:val="Normal"/>
        <w:ind w:firstLine="709"/>
        <w:jc w:val="both"/>
        <w:rPr/>
      </w:pPr>
      <w:r>
        <w:rPr/>
        <w:t>- при наличии показаний – любые другие разрешенные медицинские исследования, необходимые для решения вопроса о допуске к работе.</w:t>
      </w:r>
    </w:p>
    <w:p>
      <w:pPr>
        <w:pStyle w:val="Normal"/>
        <w:ind w:firstLine="709"/>
        <w:jc w:val="both"/>
        <w:rPr/>
      </w:pPr>
      <w:r>
        <w:rPr/>
        <w:t>3.1.3. Для включенных в группу риска сотрудников Заказчика, больных гипертонической болезнью, определять индивидуальные нормы артериального давления. При решении вопроса о допуске сотрудника к выполнению трудовых обязанностей медицинский работник, проводящий медицинский осмотр, учитывает принадлежность сотрудника к одной из групп риска, возраст, стаж работы в профессии, условия работы и характер производственных факторов.</w:t>
      </w:r>
    </w:p>
    <w:p>
      <w:pPr>
        <w:pStyle w:val="Normal"/>
        <w:ind w:firstLine="709"/>
        <w:jc w:val="both"/>
        <w:rPr/>
      </w:pPr>
      <w:r>
        <w:rPr/>
        <w:t>3.1.4. Не допускать медицинским работником сотрудников Заказчика к выполнению трудовых обязанностей в следующих случаях:</w:t>
      </w:r>
    </w:p>
    <w:p>
      <w:pPr>
        <w:pStyle w:val="Style13"/>
        <w:numPr>
          <w:ilvl w:val="0"/>
          <w:numId w:val="11"/>
        </w:numPr>
        <w:rPr/>
      </w:pPr>
      <w:r>
        <w:rPr/>
        <w:t>при выявлении признаков временной нетрудоспособности;</w:t>
      </w:r>
    </w:p>
    <w:p>
      <w:pPr>
        <w:pStyle w:val="Style13"/>
        <w:numPr>
          <w:ilvl w:val="0"/>
          <w:numId w:val="12"/>
        </w:numPr>
        <w:rPr/>
      </w:pPr>
      <w:r>
        <w:rPr/>
        <w:t>при выявлении паров алкоголя в выдыхаемом воздухе;</w:t>
      </w:r>
    </w:p>
    <w:p>
      <w:pPr>
        <w:pStyle w:val="Style13"/>
        <w:numPr>
          <w:ilvl w:val="0"/>
          <w:numId w:val="13"/>
        </w:numPr>
        <w:rPr/>
      </w:pPr>
      <w:r>
        <w:rPr/>
        <w:t>при выявлении признаков воздействия наркотических веществ, воздействия лекарственных или иных веществ, отрицательно влияющих на работоспособность сотрудника (визуальный осмотр);</w:t>
      </w:r>
    </w:p>
    <w:p>
      <w:pPr>
        <w:pStyle w:val="Normal"/>
        <w:ind w:firstLine="709"/>
        <w:jc w:val="both"/>
        <w:rPr/>
      </w:pPr>
      <w:r>
        <w:rPr/>
        <w:t>В случаях, когда медицинским работником, проводившем осмотр, принимается решение о допуске работников Заказчика к исполнению ими трудовых обязанностей, им подписывается автоматически генерируемый протокол медицинского осмотра с помощью усиленной квалифицированной электронной подписи, система автоматически вносит все полученные данные в журнал регистрации медицинских осмотров и формирует стикер, печатаемый на термопринтере, подключённом к терминалу. Стикер, в свою очередь, содержит всю необходимую информацию о проведённом осмотре для допуска или отказа в допуске сотрудника к выполнению трудовых обязанностей.</w:t>
      </w:r>
    </w:p>
    <w:p>
      <w:pPr>
        <w:pStyle w:val="Normal"/>
        <w:ind w:firstLine="709"/>
        <w:jc w:val="both"/>
        <w:rPr/>
      </w:pPr>
      <w:r>
        <w:rPr/>
        <w:t>3.1.5. Вести все необходимые журналы и протоколы предрейсовых и послерейсовых медицинских осмотров, а также хранить и обрабатывать документацию согласно требованиям законодательства РФ, хранение не менее 5 лет.</w:t>
      </w:r>
    </w:p>
    <w:p>
      <w:pPr>
        <w:pStyle w:val="Normal"/>
        <w:ind w:firstLine="709"/>
        <w:jc w:val="both"/>
        <w:rPr/>
      </w:pPr>
      <w:r>
        <w:rPr>
          <w:szCs w:val="24"/>
        </w:rPr>
        <w:t>3.1.6. Иметь персонал достаточной численностью и с необходимым уровнем квалификации для обеспечения качественного оказания услуг медицинских осмотров.</w:t>
      </w:r>
    </w:p>
    <w:p>
      <w:pPr>
        <w:pStyle w:val="Normal"/>
        <w:ind w:firstLine="709"/>
        <w:jc w:val="both"/>
        <w:rPr/>
      </w:pPr>
      <w:r>
        <w:rPr>
          <w:szCs w:val="24"/>
        </w:rPr>
        <w:t>3.1.7. Подтверждать факт прохождения работниками Заказчика медосмотров посредством фиксации процесса прохождения осмотра и предоставлению Заказчику онлайн доступа к данным по проведенным осмотрам; оповещать представителей Заказчика обо всех отклонениях при проведении медицинских осмотров работников</w:t>
      </w:r>
    </w:p>
    <w:p>
      <w:pPr>
        <w:pStyle w:val="Normal"/>
        <w:ind w:firstLine="709"/>
        <w:jc w:val="both"/>
        <w:rPr/>
      </w:pPr>
      <w:r>
        <w:rPr>
          <w:szCs w:val="24"/>
        </w:rPr>
        <w:t>3.1.8. Провести обучение (инструктаж) специалистов (работников) Заказчика по правилам эксплуатации и технического обслуживания Комплекса медицинских осмотров в соответствии с технической и эксплуатационной документацией.</w:t>
      </w:r>
    </w:p>
    <w:p>
      <w:pPr>
        <w:pStyle w:val="Normal"/>
        <w:widowControl/>
        <w:ind w:firstLine="709"/>
        <w:jc w:val="both"/>
        <w:rPr>
          <w:sz w:val="24"/>
          <w:szCs w:val="24"/>
        </w:rPr>
      </w:pPr>
      <w:r>
        <w:rPr>
          <w:sz w:val="24"/>
          <w:szCs w:val="24"/>
        </w:rPr>
        <w:t>3.1.9. Предоставить Заказчику во временное возмездное пользование Комплекс, на основании Акта приема-передачи (Приложение № 6), который будет являться неотъемлемой частью настоящего Договора.</w:t>
      </w:r>
    </w:p>
    <w:p>
      <w:pPr>
        <w:pStyle w:val="Normal"/>
        <w:widowControl/>
        <w:ind w:firstLine="709"/>
        <w:jc w:val="both"/>
        <w:rPr>
          <w:sz w:val="24"/>
          <w:szCs w:val="24"/>
        </w:rPr>
      </w:pPr>
      <w:r>
        <w:rPr>
          <w:sz w:val="24"/>
          <w:szCs w:val="24"/>
        </w:rPr>
        <w:t>3.1.10. Передать Заказчику Руководство по эксплуатации и другие документы, необходимые для его использования.</w:t>
      </w:r>
    </w:p>
    <w:p>
      <w:pPr>
        <w:pStyle w:val="Normal"/>
        <w:widowControl/>
        <w:ind w:firstLine="709"/>
        <w:jc w:val="both"/>
        <w:rPr>
          <w:sz w:val="24"/>
          <w:szCs w:val="24"/>
        </w:rPr>
      </w:pPr>
      <w:r>
        <w:rPr>
          <w:sz w:val="24"/>
          <w:szCs w:val="24"/>
        </w:rPr>
        <w:t>3.1.11. Производить техническое обслуживание, ремонт, поверку Комплекса за свой счет.</w:t>
      </w:r>
    </w:p>
    <w:p>
      <w:pPr>
        <w:pStyle w:val="Normal"/>
        <w:widowControl/>
        <w:ind w:firstLine="709"/>
        <w:jc w:val="both"/>
        <w:rPr>
          <w:sz w:val="24"/>
          <w:szCs w:val="24"/>
        </w:rPr>
      </w:pPr>
      <w:r>
        <w:rPr>
          <w:sz w:val="24"/>
          <w:szCs w:val="24"/>
        </w:rPr>
        <w:t xml:space="preserve">3.1.12. В случае выхода Комплекса из строя, предоставлять аналогичный подменный комплекс в течении 1 рабочего дня. Место передачи комплекса: г. Хабаровск, ул. Некрасова, д. 44, литер И, офис 27 или по месту нахождения Заказчика в г. Хабаровск. Неисправный комплекс Исполнитель отправляет на завод изготовитель или в сертифицированную заводом сервисную службу. </w:t>
      </w:r>
    </w:p>
    <w:p>
      <w:pPr>
        <w:pStyle w:val="Normal"/>
        <w:widowControl/>
        <w:ind w:firstLine="709"/>
        <w:jc w:val="both"/>
        <w:rPr>
          <w:sz w:val="24"/>
          <w:szCs w:val="24"/>
        </w:rPr>
      </w:pPr>
      <w:r>
        <w:rPr>
          <w:sz w:val="24"/>
          <w:szCs w:val="24"/>
        </w:rPr>
        <w:t>3.1.13. Провести инструктаж ответственного представителя Заказчика особенностям работы на Комплексе.</w:t>
      </w:r>
    </w:p>
    <w:p>
      <w:pPr>
        <w:pStyle w:val="Normal"/>
        <w:ind w:firstLine="709"/>
        <w:jc w:val="both"/>
        <w:rPr/>
      </w:pPr>
      <w:r>
        <w:rPr>
          <w:szCs w:val="24"/>
        </w:rPr>
        <w:t>3.1.14. Предоставить право пользования на условиях простой (неисключительной) лицензии результатов интеллектуальной деятельности, а именно право использования ПО и баз данных конечному пользователю.</w:t>
      </w:r>
    </w:p>
    <w:p>
      <w:pPr>
        <w:pStyle w:val="Normal"/>
        <w:ind w:firstLine="709"/>
        <w:jc w:val="both"/>
        <w:rPr/>
      </w:pPr>
      <w:r>
        <w:rPr>
          <w:szCs w:val="24"/>
        </w:rPr>
        <w:t>3.1.15. Обеспечивать ежедневную круглосуточную информационно-техническую поддержку при оказании услуг.</w:t>
      </w:r>
    </w:p>
    <w:p>
      <w:pPr>
        <w:pStyle w:val="Normal"/>
        <w:ind w:firstLine="709"/>
        <w:jc w:val="both"/>
        <w:rPr/>
      </w:pPr>
      <w:r>
        <w:rPr>
          <w:szCs w:val="24"/>
        </w:rPr>
        <w:t>3.1.16. Обновлять ПО по мере выхода новых версий, оперативно исправлять все выявленные ошибки в работе ПО и оборудования.</w:t>
      </w:r>
    </w:p>
    <w:p>
      <w:pPr>
        <w:pStyle w:val="Normal"/>
        <w:ind w:firstLine="709"/>
        <w:jc w:val="both"/>
        <w:rPr/>
      </w:pPr>
      <w:r>
        <w:rPr>
          <w:szCs w:val="24"/>
        </w:rPr>
        <w:t xml:space="preserve">3.1.17. В случае выхода комплекса из строя или отправке комплекса на ежегодную поверку предоставлять Заказчику на возмездной основе комплекс медицинских осмотров в аренду. </w:t>
      </w:r>
    </w:p>
    <w:p>
      <w:pPr>
        <w:pStyle w:val="Normal"/>
        <w:ind w:firstLine="709"/>
        <w:jc w:val="both"/>
        <w:rPr/>
      </w:pPr>
      <w:r>
        <w:rPr>
          <w:szCs w:val="24"/>
        </w:rPr>
        <w:t>3.1.18. Обеспечить на информационное сопровождение комплекса медицинских осмотров, в случае необходимости его частичной настройки, особенностям работы с ним.</w:t>
      </w:r>
    </w:p>
    <w:p>
      <w:pPr>
        <w:pStyle w:val="Style12"/>
        <w:numPr>
          <w:ilvl w:val="0"/>
          <w:numId w:val="0"/>
        </w:numPr>
        <w:ind w:left="0" w:firstLine="709"/>
        <w:rPr/>
      </w:pPr>
      <w:r>
        <w:rPr>
          <w:rFonts w:cs="Times New Roman"/>
          <w:szCs w:val="24"/>
        </w:rPr>
        <w:t>3.1.19. Обеспечить на возмездной основе полное информационное, техническое и логистическое сопровождение комплекса медицинских осмотров, в случае его поломки или необходимости специализированной настройки и поверки.</w:t>
      </w:r>
    </w:p>
    <w:p>
      <w:pPr>
        <w:pStyle w:val="NormalWeb"/>
        <w:spacing w:beforeAutospacing="0" w:before="0" w:after="0"/>
        <w:ind w:firstLine="709"/>
        <w:jc w:val="both"/>
        <w:rPr/>
      </w:pPr>
      <w:r>
        <w:rPr/>
        <w:t>3.1.20. При проведении предрейсового медицинского осмотра на путевых листах ставить штамп (печатать наклейку) «прошел предрейсовый медицинский осмотр, к исполнению трудовых обязанностей допущен» заверенный с использованием усиленной квалифицированной электронной подписи медицинского работника Исполнителя, проводившего медицинский осмотр.</w:t>
      </w:r>
    </w:p>
    <w:p>
      <w:pPr>
        <w:pStyle w:val="NormalWeb"/>
        <w:spacing w:beforeAutospacing="0" w:before="0" w:after="0"/>
        <w:ind w:firstLine="709"/>
        <w:jc w:val="both"/>
        <w:rPr/>
      </w:pPr>
      <w:r>
        <w:rPr/>
        <w:t>3.1.21. При проведении послерейсового медицинского осмотра на путевых листах ставить штамп (печатать наклейку) «прошел послерейсовый медицинский осмотр» заверенный с использованием усиленной квалифицированной электронной подписи медицинского работника Исполнителя, проводившего медицинский осмотр.</w:t>
      </w:r>
    </w:p>
    <w:p>
      <w:pPr>
        <w:pStyle w:val="Normal"/>
        <w:ind w:firstLine="709"/>
        <w:jc w:val="both"/>
        <w:rPr/>
      </w:pPr>
      <w:r>
        <w:rPr>
          <w:szCs w:val="24"/>
        </w:rPr>
        <w:t>3.1.22. Предоставлять по запросу Заказчика в сроки, указанные в таком запросе, информацию о ходе исполнения обязательств по договору.</w:t>
      </w:r>
    </w:p>
    <w:p>
      <w:pPr>
        <w:pStyle w:val="Normal"/>
        <w:ind w:firstLine="709"/>
        <w:jc w:val="both"/>
        <w:rPr/>
      </w:pPr>
      <w:r>
        <w:rPr>
          <w:szCs w:val="24"/>
        </w:rPr>
        <w:t>3.1.23. Информировать Заказчика в случае изменения статуса Лицензии Исполнителя № Л041-01189-27/00367544 от 18.11.2020 г.</w:t>
      </w:r>
    </w:p>
    <w:p>
      <w:pPr>
        <w:pStyle w:val="Normal"/>
        <w:ind w:firstLine="709"/>
        <w:jc w:val="both"/>
        <w:rPr/>
      </w:pPr>
      <w:r>
        <w:rPr>
          <w:szCs w:val="24"/>
        </w:rPr>
        <w:t>3.1.24. Оказывать услуги надлежащего качества.</w:t>
      </w:r>
    </w:p>
    <w:p>
      <w:pPr>
        <w:pStyle w:val="Normal"/>
        <w:ind w:firstLine="709"/>
        <w:jc w:val="both"/>
        <w:rPr/>
      </w:pPr>
      <w:r>
        <w:rPr>
          <w:szCs w:val="24"/>
        </w:rPr>
        <w:t xml:space="preserve">3.1.25. Обеспечивать выполнение требований законодательства по защите персональных данных в соответствии с Федеральным </w:t>
      </w:r>
      <w:hyperlink r:id="rId2">
        <w:r>
          <w:rPr>
            <w:rStyle w:val="Hyperlink"/>
            <w:color w:val="auto"/>
            <w:szCs w:val="24"/>
            <w:u w:val="none"/>
          </w:rPr>
          <w:t>законом</w:t>
        </w:r>
      </w:hyperlink>
      <w:r>
        <w:rPr>
          <w:szCs w:val="24"/>
        </w:rPr>
        <w:t xml:space="preserve"> от 27.07.2006 г. № 152-ФЗ «О персональных данных» в рамках исполнения настоящего Договора.</w:t>
      </w:r>
    </w:p>
    <w:p>
      <w:pPr>
        <w:pStyle w:val="Normal"/>
        <w:ind w:firstLine="709"/>
        <w:jc w:val="both"/>
        <w:rPr/>
      </w:pPr>
      <w:r>
        <w:rPr>
          <w:szCs w:val="24"/>
        </w:rPr>
        <w:t xml:space="preserve">3.1.26. Принять все необходимые меры по обеспечению </w:t>
      </w:r>
      <w:r>
        <w:rPr>
          <w:bCs/>
          <w:szCs w:val="24"/>
        </w:rPr>
        <w:t>безопасности персональных данных</w:t>
      </w:r>
      <w:r>
        <w:rPr>
          <w:szCs w:val="24"/>
        </w:rPr>
        <w:t xml:space="preserve"> сотрудников Заказчика, переданных Исполнителю в целях оказания услуг по настоящему Договору. Исполнитель, обрабатывая персональные данные по поручению Заказчика, может осуществлять с ними следующие действия (операции): запись; систематизация; накопление; хранение; уточнение (обновление, изменение); использование; блокирование; удаление; уничтожение.</w:t>
      </w:r>
    </w:p>
    <w:p>
      <w:pPr>
        <w:pStyle w:val="Normal"/>
        <w:ind w:firstLine="709"/>
        <w:jc w:val="both"/>
        <w:rPr/>
      </w:pPr>
      <w:r>
        <w:rPr>
          <w:szCs w:val="24"/>
        </w:rPr>
        <w:t>3.1.27. Обрабатывая персональные данные по поручению Заказчика, соблюдать конфиденциальность по отношению к ним, обеспечивать их безопасность и исполнять требования к защите обрабатываемых персональных данных согласно ст.19 Федерального закона Российской Федерации от 27.07.2006 № 152-ФЗ «О персональных данных».</w:t>
      </w:r>
    </w:p>
    <w:p>
      <w:pPr>
        <w:pStyle w:val="Normal"/>
        <w:ind w:firstLine="709"/>
        <w:jc w:val="both"/>
        <w:rPr/>
      </w:pPr>
      <w:r>
        <w:rPr/>
        <w:t xml:space="preserve">3.1.28. На время действия договора внести используемое медицинское оборудование (комплекс медицинских осмотров Заказчика) в реестр ФРМО Исполнителя.  </w:t>
      </w:r>
    </w:p>
    <w:p>
      <w:pPr>
        <w:pStyle w:val="Normal"/>
        <w:widowControl/>
        <w:ind w:firstLine="709"/>
        <w:jc w:val="both"/>
        <w:rPr>
          <w:sz w:val="24"/>
          <w:szCs w:val="24"/>
        </w:rPr>
      </w:pPr>
      <w:r>
        <w:rPr>
          <w:b/>
          <w:bCs/>
          <w:sz w:val="24"/>
          <w:szCs w:val="24"/>
        </w:rPr>
        <w:t>3.2. Заказчик обязуется:</w:t>
      </w:r>
    </w:p>
    <w:p>
      <w:pPr>
        <w:pStyle w:val="Normal"/>
        <w:widowControl/>
        <w:ind w:firstLine="709"/>
        <w:jc w:val="both"/>
        <w:rPr>
          <w:sz w:val="24"/>
          <w:szCs w:val="24"/>
        </w:rPr>
      </w:pPr>
      <w:r>
        <w:rPr>
          <w:sz w:val="24"/>
          <w:szCs w:val="24"/>
        </w:rPr>
        <w:t>3.2.1. Обеспечивать соблюдение правил эксплуатации Комплекса в соответствии с Руководством по эксплуатации.</w:t>
      </w:r>
    </w:p>
    <w:p>
      <w:pPr>
        <w:pStyle w:val="Normal"/>
        <w:widowControl/>
        <w:ind w:firstLine="709"/>
        <w:jc w:val="both"/>
        <w:rPr>
          <w:sz w:val="24"/>
          <w:szCs w:val="24"/>
        </w:rPr>
      </w:pPr>
      <w:r>
        <w:rPr>
          <w:sz w:val="24"/>
          <w:szCs w:val="24"/>
        </w:rPr>
        <w:t>3.2.2. Содержать Комплекс в исправном техническом состоянии, не допуская его ухудшения, не считая нормального износа.</w:t>
      </w:r>
    </w:p>
    <w:p>
      <w:pPr>
        <w:pStyle w:val="Normal"/>
        <w:widowControl/>
        <w:ind w:firstLine="709"/>
        <w:jc w:val="both"/>
        <w:rPr>
          <w:sz w:val="24"/>
          <w:szCs w:val="24"/>
        </w:rPr>
      </w:pPr>
      <w:r>
        <w:rPr>
          <w:sz w:val="24"/>
          <w:szCs w:val="24"/>
        </w:rPr>
        <w:t>3.2.3. Использовать Комплекс только с соблюдением правил технической эксплуатации.</w:t>
      </w:r>
    </w:p>
    <w:p>
      <w:pPr>
        <w:pStyle w:val="Normal"/>
        <w:widowControl/>
        <w:ind w:firstLine="709"/>
        <w:jc w:val="both"/>
        <w:rPr>
          <w:sz w:val="24"/>
          <w:szCs w:val="24"/>
        </w:rPr>
      </w:pPr>
      <w:r>
        <w:rPr>
          <w:sz w:val="24"/>
          <w:szCs w:val="24"/>
        </w:rPr>
        <w:t>3.2.4. При хищении Комплекса немедленно сообщить об этом в органы внутренних дел по месту совершения хищения, а также уведомить об этом  Исполнителя.</w:t>
      </w:r>
    </w:p>
    <w:p>
      <w:pPr>
        <w:pStyle w:val="Normal"/>
        <w:widowControl/>
        <w:ind w:firstLine="709"/>
        <w:jc w:val="both"/>
        <w:rPr>
          <w:sz w:val="24"/>
          <w:szCs w:val="24"/>
        </w:rPr>
      </w:pPr>
      <w:r>
        <w:rPr>
          <w:sz w:val="24"/>
          <w:szCs w:val="24"/>
        </w:rPr>
        <w:t>3.2.5. Нести материальную ответственность перед Исполнителем за принятое во временное владение и пользование Оборудование, в случае его повреждения или утраты, как по своей вине, так и по вине любых третьих лиц.</w:t>
      </w:r>
    </w:p>
    <w:p>
      <w:pPr>
        <w:pStyle w:val="Normal"/>
        <w:widowControl/>
        <w:ind w:firstLine="709"/>
        <w:jc w:val="both"/>
        <w:rPr>
          <w:sz w:val="24"/>
          <w:szCs w:val="24"/>
        </w:rPr>
      </w:pPr>
      <w:r>
        <w:rPr>
          <w:sz w:val="24"/>
          <w:szCs w:val="24"/>
        </w:rPr>
        <w:t>3.2.6. По окончанию срока действия Договора передать Комплекс Исполнителю по Акту приема-передачи в исправном состоянии с учетом нормального износа.</w:t>
      </w:r>
    </w:p>
    <w:p>
      <w:pPr>
        <w:pStyle w:val="ListParagraph"/>
        <w:ind w:left="0" w:firstLine="720"/>
        <w:jc w:val="both"/>
        <w:rPr>
          <w:sz w:val="24"/>
          <w:szCs w:val="24"/>
        </w:rPr>
      </w:pPr>
      <w:r>
        <w:rPr>
          <w:sz w:val="24"/>
          <w:szCs w:val="24"/>
        </w:rPr>
        <w:t>3.2.7 В Случае полной утери комплекса, Исполнитель возмещает Заказчику стоимость комплекса:</w:t>
      </w:r>
    </w:p>
    <w:p>
      <w:pPr>
        <w:pStyle w:val="21"/>
        <w:numPr>
          <w:ilvl w:val="0"/>
          <w:numId w:val="0"/>
        </w:numPr>
        <w:ind w:left="0" w:firstLine="720"/>
        <w:rPr>
          <w:rFonts w:cs="Times New Roman"/>
          <w:szCs w:val="24"/>
        </w:rPr>
      </w:pPr>
      <w:r>
        <w:rPr>
          <w:sz w:val="24"/>
          <w:szCs w:val="24"/>
        </w:rPr>
        <w:t xml:space="preserve">- </w:t>
      </w:r>
      <w:r>
        <w:rPr>
          <w:rFonts w:cs="Times New Roman"/>
          <w:sz w:val="24"/>
          <w:szCs w:val="24"/>
        </w:rPr>
        <w:t>Комплекс медицинского осмотра «Кодос» - 240 000 (двести сорок тысяч) рублей;</w:t>
      </w:r>
    </w:p>
    <w:p>
      <w:pPr>
        <w:pStyle w:val="Normal"/>
        <w:ind w:firstLine="709"/>
        <w:jc w:val="both"/>
        <w:rPr>
          <w:szCs w:val="24"/>
        </w:rPr>
      </w:pPr>
      <w:r>
        <w:rPr>
          <w:szCs w:val="24"/>
        </w:rPr>
      </w:r>
    </w:p>
    <w:p>
      <w:pPr>
        <w:pStyle w:val="Normal"/>
        <w:ind w:firstLine="709"/>
        <w:jc w:val="both"/>
        <w:rPr/>
      </w:pPr>
      <w:r>
        <w:rPr>
          <w:b/>
          <w:bCs/>
          <w:szCs w:val="24"/>
        </w:rPr>
        <w:t>3.3.</w:t>
      </w:r>
      <w:r>
        <w:rPr>
          <w:szCs w:val="24"/>
        </w:rPr>
        <w:t xml:space="preserve"> </w:t>
      </w:r>
      <w:r>
        <w:rPr>
          <w:b/>
          <w:bCs/>
          <w:szCs w:val="24"/>
        </w:rPr>
        <w:t>Исполнитель имеет право:</w:t>
      </w:r>
    </w:p>
    <w:p>
      <w:pPr>
        <w:pStyle w:val="Normal"/>
        <w:ind w:firstLine="709"/>
        <w:jc w:val="both"/>
        <w:rPr/>
      </w:pPr>
      <w:r>
        <w:rPr>
          <w:szCs w:val="24"/>
        </w:rPr>
        <w:t>3.3.1. Требовать от Заказчика своевременной оплаты оказанных услуг;</w:t>
      </w:r>
    </w:p>
    <w:p>
      <w:pPr>
        <w:pStyle w:val="Normal"/>
        <w:ind w:firstLine="709"/>
        <w:jc w:val="both"/>
        <w:rPr/>
      </w:pPr>
      <w:r>
        <w:rPr>
          <w:szCs w:val="24"/>
        </w:rPr>
        <w:t>3.3.2. П</w:t>
      </w:r>
      <w:r>
        <w:rPr/>
        <w:t>ривлекать для оказания услуг по настоящему Договору третьих лиц, в том числе медицинские организации, оставаясь ответственным за их действия (бездействия), как за свои собственные.</w:t>
      </w:r>
    </w:p>
    <w:p>
      <w:pPr>
        <w:pStyle w:val="Normal"/>
        <w:ind w:firstLine="709"/>
        <w:jc w:val="both"/>
        <w:rPr/>
      </w:pPr>
      <w:r>
        <w:rPr/>
        <w:t>3.3.3. Приостановить оказание услуг, предусмотренных настоящим Договором, в случае истечения сроки поверки Оборудования.</w:t>
      </w:r>
    </w:p>
    <w:p>
      <w:pPr>
        <w:pStyle w:val="Normal"/>
        <w:ind w:firstLine="709"/>
        <w:jc w:val="both"/>
        <w:rPr/>
      </w:pPr>
      <w:r>
        <w:rPr>
          <w:b/>
          <w:bCs/>
          <w:szCs w:val="24"/>
        </w:rPr>
        <w:t>3.4. Заказчик обязан:</w:t>
      </w:r>
    </w:p>
    <w:p>
      <w:pPr>
        <w:pStyle w:val="Normal"/>
        <w:ind w:firstLine="709"/>
        <w:jc w:val="both"/>
        <w:rPr/>
      </w:pPr>
      <w:r>
        <w:rPr>
          <w:szCs w:val="24"/>
        </w:rPr>
        <w:t xml:space="preserve">3.4.1. </w:t>
      </w:r>
      <w:r>
        <w:rPr/>
        <w:t>Назначить из состава своих сотрудников лицо ответственное за взаимодействие с Заказчиком и решений административных вопросов.</w:t>
      </w:r>
    </w:p>
    <w:p>
      <w:pPr>
        <w:pStyle w:val="Normal"/>
        <w:ind w:firstLine="709"/>
        <w:jc w:val="both"/>
        <w:rPr/>
      </w:pPr>
      <w:r>
        <w:rPr>
          <w:szCs w:val="24"/>
        </w:rPr>
        <w:t>3.4.2. Информировать Исполнителя обо всех изменениях в списке водителей/сотрудников (Приложение № 2) в письменной форме за 3 (три) рабочих дня.</w:t>
      </w:r>
    </w:p>
    <w:p>
      <w:pPr>
        <w:pStyle w:val="Normal"/>
        <w:ind w:firstLine="709"/>
        <w:jc w:val="both"/>
        <w:rPr/>
      </w:pPr>
      <w:r>
        <w:rPr>
          <w:szCs w:val="24"/>
        </w:rPr>
        <w:t>3.4.3. Принять и оплатить услуги согласно пункту 2.1. настоящего договора в течение срока, указанного в пункте 4.5. настоящего договора.</w:t>
      </w:r>
    </w:p>
    <w:p>
      <w:pPr>
        <w:pStyle w:val="Style12"/>
        <w:numPr>
          <w:ilvl w:val="0"/>
          <w:numId w:val="0"/>
        </w:numPr>
        <w:ind w:left="0" w:firstLine="709"/>
        <w:rPr/>
      </w:pPr>
      <w:r>
        <w:rPr>
          <w:rFonts w:cs="Times New Roman"/>
          <w:szCs w:val="24"/>
        </w:rPr>
        <w:t>3.4.4. Обеспечить к началу оказания услуг по проведению медицинских осмотров с использованием комплексов медицинских осмотров, все необходимые технические условия для их оказания (интернет, электричество, сухое отапливаемое помещение).</w:t>
      </w:r>
    </w:p>
    <w:p>
      <w:pPr>
        <w:pStyle w:val="Normal"/>
        <w:ind w:firstLine="709"/>
        <w:jc w:val="both"/>
        <w:rPr/>
      </w:pPr>
      <w:r>
        <w:rPr>
          <w:szCs w:val="24"/>
        </w:rPr>
        <w:t>3.4.5. Обеспечивать соблюдение правил эксплуатации Оборудования в соответствии с требованиями нормативно-регламентирующей документации, предоставляемой изготовителем.</w:t>
      </w:r>
    </w:p>
    <w:p>
      <w:pPr>
        <w:pStyle w:val="ConsPlusNormal"/>
        <w:suppressAutoHyphens w:val="false"/>
        <w:ind w:firstLine="709"/>
        <w:jc w:val="both"/>
        <w:rPr/>
      </w:pPr>
      <w:r>
        <w:rPr>
          <w:rFonts w:cs="Times New Roman" w:ascii="Times New Roman" w:hAnsi="Times New Roman"/>
          <w:sz w:val="24"/>
          <w:szCs w:val="24"/>
        </w:rPr>
        <w:t xml:space="preserve">3.4.6. Направлять работников, проходящих осмотр с использованием комплексов медицинских осмотров, </w:t>
      </w:r>
      <w:r>
        <w:rPr>
          <w:rFonts w:cs="Times New Roman" w:ascii="Times New Roman" w:hAnsi="Times New Roman"/>
          <w:bCs/>
          <w:sz w:val="24"/>
          <w:szCs w:val="24"/>
        </w:rPr>
        <w:t>не менее двух раз в год</w:t>
      </w:r>
      <w:r>
        <w:rPr>
          <w:rFonts w:cs="Times New Roman" w:ascii="Times New Roman" w:hAnsi="Times New Roman"/>
          <w:sz w:val="24"/>
          <w:szCs w:val="24"/>
        </w:rPr>
        <w:t xml:space="preserve"> на проведение в очной форме химико-токсикологических исследований наличия (отсутствия) в организме человека наркотических средств, психотропных веществ и их метаболитов. (согласно п. 11 Приказа Минздрава России от 30.05.2023 N 266н). Результаты тестирования в обязательном порядке предоставлять Исполнителю.</w:t>
      </w:r>
    </w:p>
    <w:p>
      <w:pPr>
        <w:pStyle w:val="ConsPlusNormal"/>
        <w:suppressAutoHyphens w:val="false"/>
        <w:ind w:firstLine="709"/>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3.4.7. Проводить настройку и поверку комплекса медицинских осмотров, согласно технической документации завода изготовителя (согласно п. 4 Постановления Правительства РФ от 30.05.2023 N 866) и предоставлять Исполнителю результаты поверки. Период поверки комплекса составляет 1 год. Срок действия  поверки Комплекса указан в «Сведениях о результатах поверки СИ», доступном на сайте Федерального агентства по техническому регулированию и метрологии. </w:t>
      </w:r>
    </w:p>
    <w:p>
      <w:pPr>
        <w:pStyle w:val="Normal"/>
        <w:ind w:firstLine="709"/>
        <w:jc w:val="both"/>
        <w:rPr/>
      </w:pPr>
      <w:r>
        <w:rPr>
          <w:szCs w:val="24"/>
        </w:rPr>
        <w:t>3.4.8. Заказчик имеет право проверять в любое время ход и качество оказания Исполнителем услуг, не вмешиваясь в его деятельность.</w:t>
      </w:r>
    </w:p>
    <w:p>
      <w:pPr>
        <w:pStyle w:val="ConsPlusNonformat"/>
        <w:widowControl/>
        <w:numPr>
          <w:ilvl w:val="0"/>
          <w:numId w:val="0"/>
        </w:numPr>
        <w:ind w:left="0" w:hanging="0"/>
        <w:jc w:val="center"/>
        <w:rPr>
          <w:rFonts w:ascii="Times New Roman" w:hAnsi="Times New Roman" w:cs="Times New Roman"/>
          <w:b/>
          <w:sz w:val="24"/>
          <w:szCs w:val="24"/>
        </w:rPr>
      </w:pPr>
      <w:r>
        <w:rPr>
          <w:rFonts w:cs="Times New Roman" w:ascii="Times New Roman" w:hAnsi="Times New Roman"/>
          <w:b/>
          <w:sz w:val="24"/>
          <w:szCs w:val="24"/>
        </w:rPr>
      </w:r>
    </w:p>
    <w:p>
      <w:pPr>
        <w:pStyle w:val="ConsPlusNonformat"/>
        <w:widowControl/>
        <w:numPr>
          <w:ilvl w:val="0"/>
          <w:numId w:val="0"/>
        </w:numPr>
        <w:ind w:left="0" w:hanging="0"/>
        <w:jc w:val="center"/>
        <w:rPr/>
      </w:pPr>
      <w:r>
        <w:rPr>
          <w:rFonts w:cs="Times New Roman" w:ascii="Times New Roman" w:hAnsi="Times New Roman"/>
          <w:b/>
          <w:sz w:val="24"/>
          <w:szCs w:val="24"/>
        </w:rPr>
        <w:t xml:space="preserve">                </w:t>
      </w:r>
      <w:r>
        <w:rPr>
          <w:rFonts w:cs="Times New Roman" w:ascii="Times New Roman" w:hAnsi="Times New Roman"/>
          <w:b/>
          <w:sz w:val="24"/>
          <w:szCs w:val="24"/>
        </w:rPr>
        <w:t>4. Порядок сдачи-приемки оказанных услуг</w:t>
      </w:r>
    </w:p>
    <w:p>
      <w:pPr>
        <w:pStyle w:val="ConsPlusNonformat"/>
        <w:widowControl/>
        <w:ind w:firstLine="680"/>
        <w:jc w:val="both"/>
        <w:rPr/>
      </w:pPr>
      <w:r>
        <w:rPr>
          <w:rFonts w:cs="Times New Roman" w:ascii="Times New Roman" w:hAnsi="Times New Roman"/>
          <w:sz w:val="24"/>
          <w:szCs w:val="24"/>
        </w:rPr>
        <w:t>4.1. Исполнитель по окончании каждого календарного месяца обязан предоставить Заказчику 2 (два) экземпляра акта выполненных работ и счет за оказанные услуги.</w:t>
      </w:r>
    </w:p>
    <w:p>
      <w:pPr>
        <w:pStyle w:val="ConsPlusNonformat"/>
        <w:widowControl/>
        <w:ind w:firstLine="680"/>
        <w:jc w:val="both"/>
        <w:rPr/>
      </w:pPr>
      <w:r>
        <w:rPr>
          <w:rFonts w:cs="Times New Roman" w:ascii="Times New Roman" w:hAnsi="Times New Roman"/>
          <w:sz w:val="24"/>
          <w:szCs w:val="24"/>
        </w:rPr>
        <w:t>4.2. При оказании услуг в полном объеме, предусмотренном настоящим договором, стороны подписывают акт об оказании услуг.</w:t>
      </w:r>
    </w:p>
    <w:p>
      <w:pPr>
        <w:pStyle w:val="ConsPlusNonformat"/>
        <w:widowControl/>
        <w:ind w:firstLine="680"/>
        <w:jc w:val="both"/>
        <w:rPr/>
      </w:pPr>
      <w:r>
        <w:rPr>
          <w:rFonts w:cs="Times New Roman" w:ascii="Times New Roman" w:hAnsi="Times New Roman"/>
          <w:sz w:val="24"/>
          <w:szCs w:val="24"/>
        </w:rPr>
        <w:t>4.3. Заказчик обязан в течение 5 (пяти) рабочих дней со дня получения актов об оказании услуг подписать их или направить Исполнителю мотивированный отказ в подписании.</w:t>
      </w:r>
    </w:p>
    <w:p>
      <w:pPr>
        <w:pStyle w:val="ConsPlusNonformat"/>
        <w:widowControl/>
        <w:ind w:firstLine="680"/>
        <w:jc w:val="both"/>
        <w:rPr/>
      </w:pPr>
      <w:r>
        <w:rPr>
          <w:rFonts w:cs="Times New Roman" w:ascii="Times New Roman" w:hAnsi="Times New Roman"/>
          <w:sz w:val="24"/>
          <w:szCs w:val="24"/>
        </w:rPr>
        <w:t>4.4. В случае мотивированного отказа Заказчика подписать акты об оказании услуг и признания Исполнителем этого отказа обоснованным, Сторонами составляется двусторонний протокол разногласий с перечнем замечаний по оказанным услугам и согласованными сроками их устранения.</w:t>
      </w:r>
    </w:p>
    <w:p>
      <w:pPr>
        <w:pStyle w:val="ConsPlusNonformat"/>
        <w:widowControl/>
        <w:ind w:firstLine="680"/>
        <w:jc w:val="both"/>
        <w:rPr/>
      </w:pPr>
      <w:r>
        <w:rPr>
          <w:rFonts w:cs="Times New Roman" w:ascii="Times New Roman" w:hAnsi="Times New Roman"/>
          <w:sz w:val="24"/>
          <w:szCs w:val="24"/>
        </w:rPr>
        <w:t xml:space="preserve">4.5. Заказчик обязуется оплатить услуги Исполнителя в течение 5 (пяти) рабочих дней с момента получения счета и акта оказанных услуг, который должен быть подписан уполномоченными представителем Исполнителя, путем перечисления денежных средств платежным поручением на расчетный счет Исполнителя. </w:t>
      </w:r>
    </w:p>
    <w:p>
      <w:pPr>
        <w:pStyle w:val="21"/>
        <w:numPr>
          <w:ilvl w:val="1"/>
          <w:numId w:val="6"/>
        </w:numPr>
        <w:ind w:left="0" w:firstLine="680"/>
        <w:rPr/>
      </w:pPr>
      <w:r>
        <w:rPr/>
        <w:t xml:space="preserve">В целях сокращения времени на обмен документами </w:t>
      </w:r>
      <w:bookmarkStart w:id="0" w:name="_Hlk73541154"/>
      <w:r>
        <w:rPr/>
        <w:t xml:space="preserve">Стороны допускают и признают юридическую силу копий (сканов) следующих документов, отправленных на адрес электронной почты </w:t>
      </w:r>
      <w:hyperlink r:id="rId3">
        <w:r>
          <w:rPr>
            <w:rStyle w:val="Hyperlink"/>
          </w:rPr>
          <w:t>Gordeychuk_NP@khab.drsk.ru</w:t>
        </w:r>
      </w:hyperlink>
      <w:r>
        <w:rPr/>
        <w:t>:</w:t>
      </w:r>
      <w:r>
        <w:rPr>
          <w:shd w:fill="FFFFFF" w:val="clear"/>
        </w:rPr>
        <w:t xml:space="preserve"> </w:t>
      </w:r>
      <w:r>
        <w:rPr>
          <w:bCs/>
        </w:rPr>
        <w:t>Договора, приложений и дополнений к нему, актов оказанных услуг, уведомлений, счетов и иных сопровождающих Договор документов</w:t>
      </w:r>
      <w:r>
        <w:rPr/>
        <w:t xml:space="preserve">. Моментом получения адресатом документов, отправленных на адрес электронной почты в соответствии с настоящим Договором, считается рабочий день, следующий за датой отправки электронного письма. Стороны несут обязанность своевременного ознакомления с корреспонденцией, поступившей на адреса электронной почты. При этом </w:t>
      </w:r>
      <w:r>
        <w:rPr>
          <w:bCs/>
        </w:rPr>
        <w:t>Стороны обязуются обменяться оригиналами документов, направив их в течение 10 (десяти) рабочих дней с момента подписания другой Стороне.</w:t>
      </w:r>
      <w:bookmarkEnd w:id="0"/>
    </w:p>
    <w:p>
      <w:pPr>
        <w:pStyle w:val="21"/>
        <w:numPr>
          <w:ilvl w:val="1"/>
          <w:numId w:val="6"/>
        </w:numPr>
        <w:ind w:left="0" w:firstLine="680"/>
        <w:rPr/>
      </w:pPr>
      <w:r>
        <w:rPr/>
        <w:t>Стороны обязаны проводить сверку расчетов с оформлением соответствующего акта в течение 5 (пяти) рабочих дней с момента предъявления любой из Сторон требования об этом. Инициирующая Сторона составляет и отправляет другой Стороне акт сверки взаиморасчетов по электронной почте/электронной системе с последующей заменой на оригиналы актов сверки.</w:t>
      </w:r>
    </w:p>
    <w:p>
      <w:pPr>
        <w:pStyle w:val="21"/>
        <w:numPr>
          <w:ilvl w:val="0"/>
          <w:numId w:val="0"/>
        </w:numPr>
        <w:ind w:left="0" w:firstLine="680"/>
        <w:rPr/>
      </w:pPr>
      <w:r>
        <w:rPr/>
      </w:r>
    </w:p>
    <w:p>
      <w:pPr>
        <w:pStyle w:val="Normal"/>
        <w:widowControl/>
        <w:jc w:val="center"/>
        <w:rPr>
          <w:b/>
          <w:sz w:val="24"/>
          <w:szCs w:val="24"/>
        </w:rPr>
      </w:pPr>
      <w:r>
        <w:rPr>
          <w:b/>
          <w:sz w:val="24"/>
          <w:szCs w:val="24"/>
        </w:rPr>
        <w:t>5. Срок передачи Комплекса</w:t>
      </w:r>
    </w:p>
    <w:p>
      <w:pPr>
        <w:pStyle w:val="Normal"/>
        <w:widowControl/>
        <w:ind w:firstLine="709"/>
        <w:jc w:val="both"/>
        <w:rPr>
          <w:sz w:val="24"/>
          <w:szCs w:val="24"/>
        </w:rPr>
      </w:pPr>
      <w:r>
        <w:rPr>
          <w:sz w:val="24"/>
          <w:szCs w:val="24"/>
        </w:rPr>
        <w:t>5.1. Исполнитель передает Заказчику Комплекс в течении 3-х рабочих дней с момента подписания настоящего Договора.</w:t>
      </w:r>
    </w:p>
    <w:p>
      <w:pPr>
        <w:pStyle w:val="Normal"/>
        <w:ind w:firstLine="709"/>
        <w:jc w:val="both"/>
        <w:rPr>
          <w:sz w:val="24"/>
          <w:szCs w:val="24"/>
        </w:rPr>
      </w:pPr>
      <w:r>
        <w:rPr>
          <w:sz w:val="24"/>
          <w:szCs w:val="24"/>
        </w:rPr>
        <w:t>5.2. Место передачи Комплекса — Хабаровский край, Хабаровский район, с. Некрасовка, ул. Солнечная 2</w:t>
      </w:r>
    </w:p>
    <w:p>
      <w:pPr>
        <w:pStyle w:val="Normal"/>
        <w:widowControl/>
        <w:ind w:firstLine="709"/>
        <w:jc w:val="both"/>
        <w:rPr>
          <w:sz w:val="24"/>
          <w:szCs w:val="24"/>
        </w:rPr>
      </w:pPr>
      <w:r>
        <w:rPr>
          <w:sz w:val="24"/>
          <w:szCs w:val="24"/>
        </w:rPr>
        <w:t>5.3. По истечению срока действия Договора, либо в случае досрочного его прекращения, Заказчик передает Комплекс Исполнителю в течении 3-х рабочих дней с момента наступления соответствующей даты.</w:t>
      </w:r>
    </w:p>
    <w:p>
      <w:pPr>
        <w:pStyle w:val="21"/>
        <w:numPr>
          <w:ilvl w:val="0"/>
          <w:numId w:val="0"/>
        </w:numPr>
        <w:ind w:left="0" w:firstLine="680"/>
        <w:rPr/>
      </w:pPr>
      <w:r>
        <w:rPr/>
      </w:r>
    </w:p>
    <w:p>
      <w:pPr>
        <w:pStyle w:val="21"/>
        <w:numPr>
          <w:ilvl w:val="0"/>
          <w:numId w:val="0"/>
        </w:numPr>
        <w:ind w:left="0" w:firstLine="680"/>
        <w:rPr/>
      </w:pPr>
      <w:r>
        <w:rPr/>
      </w:r>
    </w:p>
    <w:p>
      <w:pPr>
        <w:pStyle w:val="ConsPlusNonformat"/>
        <w:widowControl/>
        <w:ind w:firstLine="680"/>
        <w:jc w:val="center"/>
        <w:rPr/>
      </w:pPr>
      <w:r>
        <w:rPr>
          <w:rFonts w:cs="Times New Roman" w:ascii="Times New Roman" w:hAnsi="Times New Roman"/>
          <w:b/>
          <w:sz w:val="24"/>
          <w:szCs w:val="24"/>
        </w:rPr>
        <w:t>6. Ответственность Сторон</w:t>
      </w:r>
    </w:p>
    <w:p>
      <w:pPr>
        <w:pStyle w:val="21"/>
        <w:numPr>
          <w:ilvl w:val="0"/>
          <w:numId w:val="0"/>
        </w:numPr>
        <w:ind w:left="0" w:firstLine="709"/>
        <w:rPr/>
      </w:pPr>
      <w:r>
        <w:rPr>
          <w:szCs w:val="24"/>
        </w:rPr>
        <w:t xml:space="preserve">6.1. </w:t>
      </w:r>
      <w:r>
        <w:rPr/>
        <w:t>Каждая из Сторон обязана заблаговременно уведомить другую Сторону в письменном виде об изменениях своих банковских и иных реквизитов. В случае отсутствия предоставленных доказательств своевременного уведомления об этом, действия, совершенные по прежним реквизитам, будут считаться совершенными надлежащим образом.</w:t>
      </w:r>
    </w:p>
    <w:p>
      <w:pPr>
        <w:pStyle w:val="Normal"/>
        <w:ind w:firstLine="709"/>
        <w:jc w:val="both"/>
        <w:rPr/>
      </w:pPr>
      <w:r>
        <w:rPr>
          <w:szCs w:val="24"/>
        </w:rPr>
        <w:t>6.2. Заказчик вправе потребовать от Исполнителя при нарушении срока оказания услуг уплаты пени в размере одной трехсотой действующей на день уплаты пени ставки рефинансирования Центрального банка Российской Федерации от цены не оказанных в срок услуг, за каждый календарный день просрочки, начиная со дня, следующего после дня истечения срока оказания услуг.</w:t>
      </w:r>
    </w:p>
    <w:p>
      <w:pPr>
        <w:pStyle w:val="Normal"/>
        <w:ind w:firstLine="680"/>
        <w:jc w:val="both"/>
        <w:rPr/>
      </w:pPr>
      <w:r>
        <w:rPr>
          <w:szCs w:val="24"/>
        </w:rPr>
        <w:tab/>
        <w:t>6.3. Исполнитель при нарушении сроков оплаты оказанных услуг вправе потребовать от Заказчика уплаты пени в размере одной трехсотой действующей на день уплаты пени ставки рефинансирования Центрального банка Российской Федерации от не перечисленной в срок суммы, за каждый календарный день просрочки, начиная со дня, следующего после дня истечения срока платежа.</w:t>
      </w:r>
    </w:p>
    <w:p>
      <w:pPr>
        <w:pStyle w:val="BodyTextIndent2"/>
        <w:spacing w:lineRule="auto" w:line="240" w:before="0" w:after="0"/>
        <w:ind w:left="0" w:firstLine="680"/>
        <w:jc w:val="both"/>
        <w:rPr/>
      </w:pPr>
      <w:r>
        <w:rPr>
          <w:rStyle w:val="Apple-converted-space"/>
          <w:szCs w:val="24"/>
          <w:shd w:fill="FFFFFF" w:val="clear"/>
        </w:rPr>
        <w:t xml:space="preserve">6.4. Заказчик вправе взыскать с Исполнителя неустойку в размере 0,01 % от общей цены договора, указанной в п. 2.1. договора, в случае досрочного расторжения договора в связи с наличием хотя бы одного из следующих обстоятельств: отказ Исполнителя от исполнения своих обязательств; констатация Исполнителем факта возможности неисполнения в срок и (или) факта иного ненадлежащего исполнения своих обязательств по договору. </w:t>
      </w:r>
    </w:p>
    <w:p>
      <w:pPr>
        <w:pStyle w:val="Normal"/>
        <w:ind w:firstLine="680"/>
        <w:jc w:val="both"/>
        <w:rPr/>
      </w:pPr>
      <w:r>
        <w:rPr>
          <w:szCs w:val="24"/>
        </w:rPr>
        <w:t>6.5. Уплата пеней и неустойки не освобождает Стороны от исполнения обязательств по настоящему Договору.</w:t>
      </w:r>
    </w:p>
    <w:p>
      <w:pPr>
        <w:pStyle w:val="21"/>
        <w:numPr>
          <w:ilvl w:val="0"/>
          <w:numId w:val="0"/>
        </w:numPr>
        <w:ind w:left="0" w:hanging="0"/>
        <w:rPr/>
      </w:pPr>
      <w:r>
        <w:rPr/>
        <w:t xml:space="preserve">         </w:t>
      </w:r>
      <w:r>
        <w:rPr/>
        <w:t>6.6. Исполнитель не несет ответственности за качество оказанных услуг, предусмотренных настоящим Договором в случае, если такие услуги оказаны на неповеренном Оборудовании или с истекшим сроком поверки.</w:t>
      </w:r>
    </w:p>
    <w:p>
      <w:pPr>
        <w:pStyle w:val="Normal"/>
        <w:ind w:firstLine="680"/>
        <w:jc w:val="both"/>
        <w:rPr/>
      </w:pPr>
      <w:r>
        <w:rPr>
          <w:szCs w:val="24"/>
        </w:rPr>
        <w:t>6.7. Ответственность Сторон в иных случаях определяется в соответствии с законодательством Российской Федерации.</w:t>
      </w:r>
    </w:p>
    <w:p>
      <w:pPr>
        <w:pStyle w:val="Normal"/>
        <w:ind w:firstLine="680"/>
        <w:jc w:val="both"/>
        <w:rPr/>
      </w:pPr>
      <w:r>
        <w:rPr/>
      </w:r>
    </w:p>
    <w:p>
      <w:pPr>
        <w:pStyle w:val="Normal"/>
        <w:ind w:firstLine="680"/>
        <w:jc w:val="center"/>
        <w:rPr/>
      </w:pPr>
      <w:r>
        <w:rPr>
          <w:b/>
          <w:szCs w:val="24"/>
        </w:rPr>
        <w:t>7. Порядок разрешения споров</w:t>
      </w:r>
    </w:p>
    <w:p>
      <w:pPr>
        <w:pStyle w:val="Normal"/>
        <w:ind w:firstLine="680"/>
        <w:jc w:val="both"/>
        <w:rPr/>
      </w:pPr>
      <w:r>
        <w:rPr>
          <w:szCs w:val="24"/>
        </w:rPr>
        <w:t>7.1. Все споры и разногласия, возникающие между Сторонами при исполнении настоящего договора, будут разрешаться путем переговоров, в том числе путем направления претензий.</w:t>
      </w:r>
    </w:p>
    <w:p>
      <w:pPr>
        <w:pStyle w:val="Normal"/>
        <w:ind w:firstLine="680"/>
        <w:jc w:val="both"/>
        <w:rPr/>
      </w:pPr>
      <w:r>
        <w:rPr>
          <w:szCs w:val="24"/>
        </w:rPr>
        <w:t>7.2.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pPr>
        <w:pStyle w:val="Normal"/>
        <w:ind w:firstLine="709"/>
        <w:jc w:val="both"/>
        <w:rPr/>
      </w:pPr>
      <w:r>
        <w:rPr>
          <w:szCs w:val="24"/>
        </w:rPr>
        <w:t>7.3. Срок рассмотрения писем, уведомлений или претензий не может превышать 10 (десяти) рабочих дней со дня их получения, если настоящим договором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pPr>
        <w:pStyle w:val="21"/>
        <w:numPr>
          <w:ilvl w:val="0"/>
          <w:numId w:val="0"/>
        </w:numPr>
        <w:ind w:left="0" w:firstLine="709"/>
        <w:rPr/>
      </w:pPr>
      <w:r>
        <w:rPr>
          <w:szCs w:val="24"/>
        </w:rPr>
        <w:t xml:space="preserve">7.4. </w:t>
      </w:r>
      <w:r>
        <w:rPr/>
        <w:t>В случае неурегулирования разногласий в претензионном порядке, а также в случае ненаправления ответа на требование в течение указанного срока спор передается в Арбитражный суд Хабаровского края.</w:t>
      </w:r>
    </w:p>
    <w:p>
      <w:pPr>
        <w:pStyle w:val="21"/>
        <w:numPr>
          <w:ilvl w:val="0"/>
          <w:numId w:val="0"/>
        </w:numPr>
        <w:ind w:left="0" w:firstLine="709"/>
        <w:rPr/>
      </w:pPr>
      <w:r>
        <w:rPr/>
      </w:r>
    </w:p>
    <w:p>
      <w:pPr>
        <w:pStyle w:val="Normal"/>
        <w:ind w:firstLine="680"/>
        <w:jc w:val="center"/>
        <w:rPr/>
      </w:pPr>
      <w:r>
        <w:rPr>
          <w:b/>
          <w:szCs w:val="24"/>
        </w:rPr>
        <w:t>8. Действие обстоятельств непреодолимой силы</w:t>
      </w:r>
    </w:p>
    <w:p>
      <w:pPr>
        <w:pStyle w:val="Normal"/>
        <w:ind w:firstLine="680"/>
        <w:jc w:val="both"/>
        <w:rPr/>
      </w:pPr>
      <w:r>
        <w:rPr>
          <w:szCs w:val="24"/>
        </w:rPr>
        <w:t>8.1.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pPr>
        <w:pStyle w:val="Normal"/>
        <w:ind w:firstLine="680"/>
        <w:jc w:val="both"/>
        <w:rPr/>
      </w:pPr>
      <w:r>
        <w:rPr>
          <w:szCs w:val="24"/>
        </w:rPr>
        <w:t>8.2.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pPr>
        <w:pStyle w:val="Normal"/>
        <w:ind w:firstLine="680"/>
        <w:jc w:val="both"/>
        <w:rPr/>
      </w:pPr>
      <w:r>
        <w:rPr>
          <w:szCs w:val="24"/>
        </w:rPr>
        <w:t>8.3. Сторона, которая не исполняет обязательств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pPr>
        <w:pStyle w:val="Normal"/>
        <w:ind w:firstLine="680"/>
        <w:jc w:val="both"/>
        <w:rPr>
          <w:szCs w:val="24"/>
        </w:rPr>
      </w:pPr>
      <w:r>
        <w:rPr>
          <w:szCs w:val="24"/>
        </w:rPr>
        <w:t>8.4. Если обстоятельства непреодолимой силы действуют на протяжении 3 (трех) последовательных месяцев, настоящий Договор может быть расторгнут любой из Сторон путем направления письменного уведомления другой Стороне.</w:t>
      </w:r>
    </w:p>
    <w:p>
      <w:pPr>
        <w:pStyle w:val="Normal"/>
        <w:ind w:firstLine="680"/>
        <w:jc w:val="both"/>
        <w:rPr>
          <w:szCs w:val="24"/>
        </w:rPr>
      </w:pPr>
      <w:r>
        <w:rPr>
          <w:szCs w:val="24"/>
        </w:rPr>
      </w:r>
    </w:p>
    <w:p>
      <w:pPr>
        <w:pStyle w:val="Normal"/>
        <w:ind w:firstLine="680"/>
        <w:jc w:val="center"/>
        <w:rPr>
          <w:b/>
          <w:szCs w:val="24"/>
        </w:rPr>
      </w:pPr>
      <w:r>
        <w:rPr>
          <w:b/>
          <w:szCs w:val="24"/>
        </w:rPr>
        <w:t>9. Порядок изменения и расторжения договора</w:t>
      </w:r>
    </w:p>
    <w:p>
      <w:pPr>
        <w:pStyle w:val="Normal"/>
        <w:ind w:firstLine="680"/>
        <w:jc w:val="both"/>
        <w:rPr>
          <w:szCs w:val="24"/>
        </w:rPr>
      </w:pPr>
      <w:r>
        <w:rPr>
          <w:szCs w:val="24"/>
        </w:rPr>
        <w:t>9.1. Любые изменения и дополнения к настоящему договору имеют силу только при условии их оформления в письменном виде и подписания Сторонами.</w:t>
      </w:r>
    </w:p>
    <w:p>
      <w:pPr>
        <w:pStyle w:val="21"/>
        <w:numPr>
          <w:ilvl w:val="0"/>
          <w:numId w:val="0"/>
        </w:numPr>
        <w:ind w:left="0" w:firstLine="567"/>
        <w:rPr/>
      </w:pPr>
      <w:r>
        <w:rPr>
          <w:szCs w:val="24"/>
        </w:rPr>
        <w:t xml:space="preserve"> </w:t>
      </w:r>
      <w:r>
        <w:rPr>
          <w:szCs w:val="24"/>
        </w:rPr>
        <w:t xml:space="preserve">9.2. </w:t>
      </w:r>
      <w:r>
        <w:rPr/>
        <w:t>Стороны имеют право в одностороннем внесудебном порядке отказаться от исполнения настоящего Договора путем направления в адрес другой Стороны соответствующего письменного уведомления за 30 (тридцать) календарных дней до даты прекращения настоящего Договора. Обязательства Сторон, неисполненные до даты истечения срока действия настоящего Договора или даты расторжения договора, подлежат исполнению в полном объеме.</w:t>
      </w:r>
    </w:p>
    <w:p>
      <w:pPr>
        <w:pStyle w:val="Normal"/>
        <w:ind w:firstLine="680"/>
        <w:jc w:val="both"/>
        <w:rPr>
          <w:szCs w:val="24"/>
        </w:rPr>
      </w:pPr>
      <w:r>
        <w:rPr>
          <w:szCs w:val="24"/>
        </w:rPr>
        <w:t>9.3.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РФ.</w:t>
      </w:r>
    </w:p>
    <w:p>
      <w:pPr>
        <w:pStyle w:val="Normal"/>
        <w:ind w:hanging="0"/>
        <w:jc w:val="center"/>
        <w:rPr>
          <w:b/>
          <w:szCs w:val="24"/>
        </w:rPr>
      </w:pPr>
      <w:r>
        <w:rPr>
          <w:b/>
          <w:szCs w:val="24"/>
        </w:rPr>
      </w:r>
    </w:p>
    <w:p>
      <w:pPr>
        <w:pStyle w:val="Normal"/>
        <w:ind w:hanging="0"/>
        <w:jc w:val="center"/>
        <w:rPr>
          <w:b/>
          <w:szCs w:val="24"/>
        </w:rPr>
      </w:pPr>
      <w:r>
        <w:rPr>
          <w:b/>
          <w:szCs w:val="24"/>
        </w:rPr>
        <w:t xml:space="preserve">10. Прочие условия </w:t>
      </w:r>
    </w:p>
    <w:p>
      <w:pPr>
        <w:pStyle w:val="Normal"/>
        <w:ind w:firstLine="680"/>
        <w:jc w:val="both"/>
        <w:rPr>
          <w:szCs w:val="24"/>
        </w:rPr>
      </w:pPr>
      <w:r>
        <w:rPr>
          <w:szCs w:val="24"/>
        </w:rPr>
        <w:t>10.1. Период оказания услуг: с 01.01.202</w:t>
      </w:r>
      <w:r>
        <w:rPr>
          <w:szCs w:val="24"/>
        </w:rPr>
        <w:t>7</w:t>
      </w:r>
      <w:r>
        <w:rPr>
          <w:szCs w:val="24"/>
        </w:rPr>
        <w:t xml:space="preserve"> до 31.12.20</w:t>
      </w:r>
      <w:r>
        <w:rPr>
          <w:szCs w:val="24"/>
        </w:rPr>
        <w:t xml:space="preserve">7 </w:t>
      </w:r>
      <w:r>
        <w:rPr>
          <w:szCs w:val="24"/>
        </w:rPr>
        <w:t>г. Время оказания услуг: ежедневно, круглосуточно.</w:t>
      </w:r>
    </w:p>
    <w:p>
      <w:pPr>
        <w:pStyle w:val="Normal"/>
        <w:ind w:firstLine="680"/>
        <w:jc w:val="both"/>
        <w:rPr>
          <w:b/>
          <w:szCs w:val="24"/>
        </w:rPr>
      </w:pPr>
      <w:r>
        <w:rPr>
          <w:szCs w:val="24"/>
        </w:rPr>
        <w:t xml:space="preserve">10.2. Настоящий договор вступает в силу </w:t>
      </w:r>
      <w:r>
        <w:rPr>
          <w:color w:val="000000" w:themeColor="text1"/>
          <w:szCs w:val="24"/>
        </w:rPr>
        <w:t>с даты его подписания и действует до 31.12.2026г.,</w:t>
      </w:r>
      <w:r>
        <w:rPr>
          <w:szCs w:val="24"/>
        </w:rPr>
        <w:t xml:space="preserve"> а в части взаиморасчетов до полного исполнения Сторонами своих обязательств.</w:t>
      </w:r>
    </w:p>
    <w:p>
      <w:pPr>
        <w:pStyle w:val="Normal"/>
        <w:ind w:firstLine="680"/>
        <w:jc w:val="both"/>
        <w:rPr>
          <w:szCs w:val="24"/>
        </w:rPr>
      </w:pPr>
      <w:r>
        <w:rPr>
          <w:spacing w:val="-3"/>
          <w:szCs w:val="24"/>
        </w:rPr>
        <w:t xml:space="preserve">10.3. </w:t>
      </w:r>
      <w:r>
        <w:rPr/>
        <w:t xml:space="preserve">В случае если не менее чем за пятнадцать дней до окончания срока действия Договора ни одна из Сторон не направит другой Стороне письменный отказ от продления его действия, Договор считается пролонгированным каждый раз на тех же условиях на один календарный год. Количество пролонгаций не ограниченно. </w:t>
      </w:r>
    </w:p>
    <w:p>
      <w:pPr>
        <w:pStyle w:val="Normal"/>
        <w:ind w:firstLine="680"/>
        <w:jc w:val="both"/>
        <w:rPr>
          <w:szCs w:val="24"/>
        </w:rPr>
      </w:pPr>
      <w:r>
        <w:rPr>
          <w:szCs w:val="24"/>
        </w:rPr>
      </w:r>
    </w:p>
    <w:p>
      <w:pPr>
        <w:pStyle w:val="Normal"/>
        <w:ind w:firstLine="680"/>
        <w:jc w:val="both"/>
        <w:rPr>
          <w:szCs w:val="24"/>
        </w:rPr>
      </w:pPr>
      <w:r>
        <w:rPr>
          <w:szCs w:val="24"/>
        </w:rPr>
        <w:t>10.4. При изменении, у одной из Сторон местонахождения, наименования, банковских и других реквизитов она обязана в течение 3 (трех) рабочих дней письменно известить об этом другую Сторону. В письме необходимо указать, что оно является неотъемлемой частью настоящего договора.</w:t>
      </w:r>
    </w:p>
    <w:p>
      <w:pPr>
        <w:pStyle w:val="Normal"/>
        <w:ind w:firstLine="680"/>
        <w:jc w:val="both"/>
        <w:rPr>
          <w:szCs w:val="24"/>
        </w:rPr>
      </w:pPr>
      <w:r>
        <w:rPr>
          <w:szCs w:val="24"/>
        </w:rPr>
        <w:t xml:space="preserve">10.5. </w:t>
      </w:r>
      <w:r>
        <w:rPr/>
        <w:t>Условия настоящего Договора могут быть изменены по взаимному согласию Сторон путем подписания дополнительного соглашения к нему.</w:t>
      </w:r>
    </w:p>
    <w:p>
      <w:pPr>
        <w:pStyle w:val="Normal"/>
        <w:shd w:val="clear" w:fill="FFFFFF"/>
        <w:tabs>
          <w:tab w:val="clear" w:pos="708"/>
          <w:tab w:val="left" w:pos="1276" w:leader="none"/>
        </w:tabs>
        <w:ind w:left="0" w:right="0" w:firstLine="567"/>
        <w:jc w:val="both"/>
        <w:rPr/>
      </w:pPr>
      <w:r>
        <w:rPr>
          <w:color w:val="000000"/>
        </w:rPr>
        <w:t xml:space="preserve"> </w:t>
      </w:r>
      <w:r>
        <w:rPr>
          <w:color w:val="000000"/>
        </w:rPr>
        <w:t xml:space="preserve">10.6 В целях недопущения действий коррупционного характера, Стороны обязуются выполнять требования, изложенные в </w:t>
      </w:r>
      <w:r>
        <w:rPr>
          <w:rFonts w:cs="Courier New"/>
        </w:rPr>
        <w:t>«Антикоррупционной оговорке» (Приложение № 5 к Договору).</w:t>
      </w:r>
    </w:p>
    <w:p>
      <w:pPr>
        <w:pStyle w:val="Normal"/>
        <w:ind w:firstLine="680"/>
        <w:jc w:val="both"/>
        <w:rPr>
          <w:szCs w:val="24"/>
        </w:rPr>
      </w:pPr>
      <w:r>
        <w:rPr>
          <w:szCs w:val="24"/>
        </w:rPr>
        <w:t>10.7. Настоящий договор составлен в двух экземплярах, имеющих одинаковую юридическую силу, по одному экземпляру для каждой из Сторон.</w:t>
      </w:r>
    </w:p>
    <w:p>
      <w:pPr>
        <w:pStyle w:val="Normal"/>
        <w:ind w:firstLine="680"/>
        <w:jc w:val="both"/>
        <w:rPr>
          <w:szCs w:val="24"/>
        </w:rPr>
      </w:pPr>
      <w:r>
        <w:rPr>
          <w:szCs w:val="24"/>
        </w:rPr>
        <w:t>10.8. Вопросы, не урегулированные настоящим договором, разрешаются в соответствии с законодательством РФ.</w:t>
      </w:r>
    </w:p>
    <w:p>
      <w:pPr>
        <w:pStyle w:val="Normal"/>
        <w:ind w:firstLine="680"/>
        <w:jc w:val="both"/>
        <w:rPr>
          <w:szCs w:val="24"/>
        </w:rPr>
      </w:pPr>
      <w:r>
        <w:rPr>
          <w:szCs w:val="24"/>
        </w:rPr>
      </w:r>
    </w:p>
    <w:p>
      <w:pPr>
        <w:pStyle w:val="Normal"/>
        <w:ind w:firstLine="680"/>
        <w:jc w:val="both"/>
        <w:rPr>
          <w:szCs w:val="24"/>
        </w:rPr>
      </w:pPr>
      <w:r>
        <w:rPr>
          <w:szCs w:val="24"/>
        </w:rPr>
      </w:r>
    </w:p>
    <w:p>
      <w:pPr>
        <w:pStyle w:val="Normal"/>
        <w:ind w:firstLine="680"/>
        <w:jc w:val="both"/>
        <w:rPr>
          <w:szCs w:val="24"/>
        </w:rPr>
      </w:pPr>
      <w:r>
        <w:rPr>
          <w:szCs w:val="24"/>
        </w:rPr>
      </w:r>
    </w:p>
    <w:p>
      <w:pPr>
        <w:pStyle w:val="Normal"/>
        <w:jc w:val="center"/>
        <w:rPr>
          <w:szCs w:val="24"/>
        </w:rPr>
      </w:pPr>
      <w:r>
        <w:rPr>
          <w:b/>
          <w:szCs w:val="24"/>
        </w:rPr>
        <w:t>11. Местонахождение и банковские реквизиты Сторон</w:t>
      </w:r>
    </w:p>
    <w:tbl>
      <w:tblPr>
        <w:tblW w:w="10205"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5097"/>
        <w:gridCol w:w="5107"/>
      </w:tblGrid>
      <w:tr>
        <w:trPr/>
        <w:tc>
          <w:tcPr>
            <w:tcW w:w="5097" w:type="dxa"/>
            <w:tcBorders/>
            <w:shd w:color="auto" w:fill="auto" w:val="clear"/>
          </w:tcPr>
          <w:tbl>
            <w:tblPr>
              <w:tblW w:w="4437" w:type="dxa"/>
              <w:jc w:val="left"/>
              <w:tblInd w:w="1404" w:type="dxa"/>
              <w:tblLayout w:type="fixed"/>
              <w:tblCellMar>
                <w:top w:w="0" w:type="dxa"/>
                <w:left w:w="108" w:type="dxa"/>
                <w:bottom w:w="0" w:type="dxa"/>
                <w:right w:w="108" w:type="dxa"/>
              </w:tblCellMar>
              <w:tblLook w:noVBand="0" w:val="0000" w:noHBand="0" w:lastColumn="0" w:firstColumn="0" w:lastRow="0" w:firstRow="0"/>
            </w:tblPr>
            <w:tblGrid>
              <w:gridCol w:w="4437"/>
            </w:tblGrid>
            <w:tr>
              <w:trPr>
                <w:trHeight w:val="229" w:hRule="atLeast"/>
              </w:trPr>
              <w:tc>
                <w:tcPr>
                  <w:tcW w:w="4437" w:type="dxa"/>
                  <w:tcBorders/>
                </w:tcPr>
                <w:p>
                  <w:pPr>
                    <w:pStyle w:val="Normal"/>
                    <w:widowControl w:val="false"/>
                    <w:ind w:firstLine="680"/>
                    <w:jc w:val="both"/>
                    <w:rPr>
                      <w:szCs w:val="24"/>
                    </w:rPr>
                  </w:pPr>
                  <w:r>
                    <w:rPr>
                      <w:szCs w:val="24"/>
                    </w:rPr>
                    <w:t>Заказчик:</w:t>
                  </w:r>
                </w:p>
              </w:tc>
            </w:tr>
          </w:tbl>
          <w:p>
            <w:pPr>
              <w:pStyle w:val="Normal"/>
              <w:widowControl w:val="false"/>
              <w:jc w:val="both"/>
              <w:rPr>
                <w:b/>
                <w:bCs/>
                <w:szCs w:val="24"/>
              </w:rPr>
            </w:pPr>
            <w:r>
              <w:rPr>
                <w:b/>
                <w:bCs/>
                <w:szCs w:val="24"/>
              </w:rPr>
              <w:t>АО «ДРСК»</w:t>
            </w:r>
          </w:p>
          <w:p>
            <w:pPr>
              <w:pStyle w:val="Normal"/>
              <w:widowControl w:val="false"/>
              <w:jc w:val="both"/>
              <w:rPr>
                <w:szCs w:val="24"/>
              </w:rPr>
            </w:pPr>
            <w:r>
              <w:rPr>
                <w:szCs w:val="24"/>
              </w:rPr>
              <w:t>Юридический адрес:</w:t>
            </w:r>
          </w:p>
          <w:p>
            <w:pPr>
              <w:pStyle w:val="Normal"/>
              <w:widowControl w:val="false"/>
              <w:jc w:val="both"/>
              <w:rPr>
                <w:szCs w:val="24"/>
              </w:rPr>
            </w:pPr>
            <w:r>
              <w:rPr>
                <w:szCs w:val="24"/>
              </w:rPr>
              <w:t>675004, РФ, Амурская обл.,</w:t>
            </w:r>
          </w:p>
          <w:p>
            <w:pPr>
              <w:pStyle w:val="Normal"/>
              <w:widowControl w:val="false"/>
              <w:jc w:val="both"/>
              <w:rPr>
                <w:szCs w:val="24"/>
              </w:rPr>
            </w:pPr>
            <w:r>
              <w:rPr>
                <w:szCs w:val="24"/>
              </w:rPr>
              <w:t>г. Благовещенск, ул. Шевченко, 32</w:t>
            </w:r>
          </w:p>
          <w:p>
            <w:pPr>
              <w:pStyle w:val="Normal"/>
              <w:widowControl w:val="false"/>
              <w:jc w:val="both"/>
              <w:rPr>
                <w:szCs w:val="24"/>
              </w:rPr>
            </w:pPr>
            <w:r>
              <w:rPr>
                <w:szCs w:val="24"/>
              </w:rPr>
              <w:t>Почтовый адрес: 680009, г. Хабаровск,</w:t>
            </w:r>
          </w:p>
          <w:p>
            <w:pPr>
              <w:pStyle w:val="Normal"/>
              <w:widowControl w:val="false"/>
              <w:jc w:val="both"/>
              <w:rPr>
                <w:szCs w:val="24"/>
              </w:rPr>
            </w:pPr>
            <w:r>
              <w:rPr>
                <w:szCs w:val="24"/>
              </w:rPr>
              <w:t>ул. Промышленная, 13</w:t>
            </w:r>
          </w:p>
          <w:p>
            <w:pPr>
              <w:pStyle w:val="Normal"/>
              <w:widowControl w:val="false"/>
              <w:jc w:val="both"/>
              <w:rPr>
                <w:szCs w:val="24"/>
              </w:rPr>
            </w:pPr>
            <w:r>
              <w:rPr>
                <w:szCs w:val="24"/>
              </w:rPr>
              <w:t>Филиал АО «ДРСК» «Хабаровские электрические сети»</w:t>
            </w:r>
          </w:p>
          <w:p>
            <w:pPr>
              <w:pStyle w:val="Normal"/>
              <w:widowControl w:val="false"/>
              <w:jc w:val="both"/>
              <w:rPr>
                <w:szCs w:val="24"/>
              </w:rPr>
            </w:pPr>
            <w:r>
              <w:rPr>
                <w:szCs w:val="24"/>
              </w:rPr>
              <w:t>ИНН/КПП 2801108200/272402001</w:t>
            </w:r>
          </w:p>
          <w:p>
            <w:pPr>
              <w:pStyle w:val="Normal"/>
              <w:widowControl w:val="false"/>
              <w:jc w:val="both"/>
              <w:rPr>
                <w:szCs w:val="24"/>
              </w:rPr>
            </w:pPr>
            <w:r>
              <w:rPr>
                <w:szCs w:val="24"/>
              </w:rPr>
              <w:t>Р/с 40702810003010113258</w:t>
            </w:r>
          </w:p>
          <w:p>
            <w:pPr>
              <w:pStyle w:val="Normal"/>
              <w:widowControl w:val="false"/>
              <w:jc w:val="both"/>
              <w:rPr>
                <w:szCs w:val="24"/>
              </w:rPr>
            </w:pPr>
            <w:r>
              <w:rPr>
                <w:szCs w:val="24"/>
              </w:rPr>
              <w:t>Дальневосточный банк</w:t>
            </w:r>
          </w:p>
          <w:p>
            <w:pPr>
              <w:pStyle w:val="Normal"/>
              <w:widowControl w:val="false"/>
              <w:jc w:val="both"/>
              <w:rPr>
                <w:szCs w:val="24"/>
              </w:rPr>
            </w:pPr>
            <w:r>
              <w:rPr>
                <w:szCs w:val="24"/>
              </w:rPr>
              <w:t>ПАО Сбербанк г. Хабаровск</w:t>
            </w:r>
          </w:p>
          <w:p>
            <w:pPr>
              <w:pStyle w:val="Normal"/>
              <w:widowControl w:val="false"/>
              <w:jc w:val="both"/>
              <w:rPr>
                <w:szCs w:val="24"/>
              </w:rPr>
            </w:pPr>
            <w:r>
              <w:rPr>
                <w:szCs w:val="24"/>
              </w:rPr>
              <w:t>БИК 040813608</w:t>
            </w:r>
          </w:p>
          <w:p>
            <w:pPr>
              <w:pStyle w:val="Normal"/>
              <w:widowControl w:val="false"/>
              <w:jc w:val="both"/>
              <w:rPr>
                <w:szCs w:val="24"/>
              </w:rPr>
            </w:pPr>
            <w:r>
              <w:rPr>
                <w:szCs w:val="24"/>
              </w:rPr>
              <w:t>К/с 30101810600000000608</w:t>
            </w:r>
          </w:p>
        </w:tc>
        <w:tc>
          <w:tcPr>
            <w:tcW w:w="5107" w:type="dxa"/>
            <w:tcBorders/>
            <w:shd w:color="auto" w:fill="auto" w:val="clear"/>
          </w:tcPr>
          <w:tbl>
            <w:tblPr>
              <w:tblW w:w="489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92"/>
            </w:tblGrid>
            <w:tr>
              <w:trPr>
                <w:trHeight w:val="229" w:hRule="atLeast"/>
              </w:trPr>
              <w:tc>
                <w:tcPr>
                  <w:tcW w:w="4892" w:type="dxa"/>
                  <w:tcBorders/>
                </w:tcPr>
                <w:p>
                  <w:pPr>
                    <w:pStyle w:val="Normal"/>
                    <w:widowControl w:val="false"/>
                    <w:jc w:val="both"/>
                    <w:rPr>
                      <w:szCs w:val="24"/>
                    </w:rPr>
                  </w:pPr>
                  <w:r>
                    <w:rPr>
                      <w:szCs w:val="24"/>
                    </w:rPr>
                    <w:t>Исполнитель:</w:t>
                  </w:r>
                </w:p>
              </w:tc>
            </w:tr>
            <w:tr>
              <w:trPr>
                <w:trHeight w:val="568" w:hRule="atLeast"/>
              </w:trPr>
              <w:tc>
                <w:tcPr>
                  <w:tcW w:w="4892" w:type="dxa"/>
                  <w:tcBorders/>
                </w:tcPr>
                <w:p>
                  <w:pPr>
                    <w:pStyle w:val="Normal"/>
                    <w:widowControl w:val="false"/>
                    <w:jc w:val="both"/>
                    <w:rPr>
                      <w:b/>
                      <w:szCs w:val="24"/>
                    </w:rPr>
                  </w:pPr>
                  <w:r>
                    <w:rPr>
                      <w:b/>
                      <w:szCs w:val="24"/>
                    </w:rPr>
                    <w:t>ООО «ЭкоМед»</w:t>
                  </w:r>
                </w:p>
              </w:tc>
            </w:tr>
            <w:tr>
              <w:trPr>
                <w:trHeight w:val="852" w:hRule="atLeast"/>
              </w:trPr>
              <w:tc>
                <w:tcPr>
                  <w:tcW w:w="4892" w:type="dxa"/>
                  <w:tcBorders/>
                </w:tcPr>
                <w:p>
                  <w:pPr>
                    <w:pStyle w:val="Normal"/>
                    <w:widowControl w:val="false"/>
                    <w:rPr>
                      <w:szCs w:val="24"/>
                    </w:rPr>
                  </w:pPr>
                  <w:r>
                    <w:rPr>
                      <w:szCs w:val="24"/>
                    </w:rPr>
                    <w:t>Юридический / почтовый адрес: 680021,</w:t>
                  </w:r>
                </w:p>
                <w:p>
                  <w:pPr>
                    <w:pStyle w:val="Normal"/>
                    <w:widowControl w:val="false"/>
                    <w:rPr>
                      <w:szCs w:val="24"/>
                    </w:rPr>
                  </w:pPr>
                  <w:r>
                    <w:rPr>
                      <w:szCs w:val="24"/>
                    </w:rPr>
                    <w:t>г. Хабаровск, ул. Некрасова, д. 44,</w:t>
                  </w:r>
                </w:p>
                <w:p>
                  <w:pPr>
                    <w:pStyle w:val="Normal"/>
                    <w:widowControl w:val="false"/>
                    <w:rPr>
                      <w:szCs w:val="24"/>
                    </w:rPr>
                  </w:pPr>
                  <w:r>
                    <w:rPr>
                      <w:szCs w:val="24"/>
                    </w:rPr>
                    <w:t>литер И, офис 27</w:t>
                  </w:r>
                </w:p>
                <w:p>
                  <w:pPr>
                    <w:pStyle w:val="Normal"/>
                    <w:widowControl w:val="false"/>
                    <w:rPr>
                      <w:szCs w:val="24"/>
                    </w:rPr>
                  </w:pPr>
                  <w:r>
                    <w:rPr>
                      <w:szCs w:val="24"/>
                    </w:rPr>
                    <w:t>ОГРН 1192724024624</w:t>
                  </w:r>
                </w:p>
                <w:p>
                  <w:pPr>
                    <w:pStyle w:val="Normal"/>
                    <w:widowControl w:val="false"/>
                    <w:rPr>
                      <w:szCs w:val="24"/>
                    </w:rPr>
                  </w:pPr>
                  <w:r>
                    <w:rPr>
                      <w:szCs w:val="24"/>
                    </w:rPr>
                    <w:t>ИНН 2724237664    / КПП 272401001</w:t>
                  </w:r>
                </w:p>
                <w:p>
                  <w:pPr>
                    <w:pStyle w:val="Normal"/>
                    <w:widowControl w:val="false"/>
                    <w:shd w:val="clear" w:color="auto" w:fill="FFFFFF"/>
                    <w:rPr>
                      <w:szCs w:val="24"/>
                    </w:rPr>
                  </w:pPr>
                  <w:r>
                    <w:rPr>
                      <w:szCs w:val="24"/>
                    </w:rPr>
                    <w:t>Банк ГПБ (АО) г. Москва</w:t>
                  </w:r>
                </w:p>
                <w:p>
                  <w:pPr>
                    <w:pStyle w:val="Normal"/>
                    <w:widowControl w:val="false"/>
                    <w:shd w:val="clear" w:color="auto" w:fill="FFFFFF"/>
                    <w:rPr>
                      <w:szCs w:val="24"/>
                    </w:rPr>
                  </w:pPr>
                  <w:r>
                    <w:rPr>
                      <w:szCs w:val="24"/>
                    </w:rPr>
                    <w:t>БИК 044525823</w:t>
                  </w:r>
                </w:p>
                <w:p>
                  <w:pPr>
                    <w:pStyle w:val="Normal"/>
                    <w:widowControl w:val="false"/>
                    <w:shd w:val="clear" w:color="auto" w:fill="FFFFFF"/>
                    <w:rPr>
                      <w:szCs w:val="24"/>
                    </w:rPr>
                  </w:pPr>
                  <w:r>
                    <w:rPr>
                      <w:szCs w:val="24"/>
                    </w:rPr>
                    <w:t>Кор. сч. No 30101810200000000823</w:t>
                  </w:r>
                </w:p>
                <w:p>
                  <w:pPr>
                    <w:pStyle w:val="Normal"/>
                    <w:widowControl w:val="false"/>
                    <w:shd w:val="clear" w:color="auto" w:fill="FFFFFF"/>
                    <w:rPr>
                      <w:szCs w:val="24"/>
                      <w:lang w:val="en-US"/>
                    </w:rPr>
                  </w:pPr>
                  <w:r>
                    <w:rPr>
                      <w:szCs w:val="24"/>
                    </w:rPr>
                    <w:t xml:space="preserve">Рас. сч. </w:t>
                  </w:r>
                  <w:r>
                    <w:rPr>
                      <w:szCs w:val="24"/>
                      <w:lang w:val="en-US"/>
                    </w:rPr>
                    <w:t>№  40702810400000100695</w:t>
                  </w:r>
                </w:p>
                <w:p>
                  <w:pPr>
                    <w:pStyle w:val="Normal"/>
                    <w:widowControl w:val="false"/>
                    <w:rPr>
                      <w:szCs w:val="24"/>
                      <w:lang w:val="en-US"/>
                    </w:rPr>
                  </w:pPr>
                  <w:r>
                    <w:rPr>
                      <w:szCs w:val="24"/>
                      <w:lang w:val="en-US"/>
                    </w:rPr>
                    <w:t>e-mail: ecomed.ltd@bk.ru</w:t>
                  </w:r>
                </w:p>
                <w:p>
                  <w:pPr>
                    <w:pStyle w:val="Normal"/>
                    <w:widowControl w:val="false"/>
                    <w:rPr>
                      <w:szCs w:val="24"/>
                    </w:rPr>
                  </w:pPr>
                  <w:r>
                    <w:rPr>
                      <w:szCs w:val="24"/>
                    </w:rPr>
                    <w:t>тел. +7-914-159-05-45</w:t>
                  </w:r>
                </w:p>
              </w:tc>
            </w:tr>
          </w:tbl>
          <w:p>
            <w:pPr>
              <w:pStyle w:val="Normal"/>
              <w:widowControl w:val="false"/>
              <w:ind w:firstLine="680"/>
              <w:jc w:val="center"/>
              <w:rPr>
                <w:szCs w:val="24"/>
              </w:rPr>
            </w:pPr>
            <w:r>
              <w:rPr>
                <w:szCs w:val="24"/>
              </w:rPr>
            </w:r>
          </w:p>
        </w:tc>
      </w:tr>
    </w:tbl>
    <w:p>
      <w:pPr>
        <w:pStyle w:val="Normal"/>
        <w:ind w:firstLine="680"/>
        <w:rPr>
          <w:szCs w:val="24"/>
        </w:rPr>
      </w:pPr>
      <w:r>
        <w:rPr>
          <w:szCs w:val="24"/>
        </w:rPr>
      </w:r>
    </w:p>
    <w:tbl>
      <w:tblPr>
        <w:tblW w:w="10598"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474"/>
        <w:gridCol w:w="4147"/>
        <w:gridCol w:w="1977"/>
      </w:tblGrid>
      <w:tr>
        <w:trPr>
          <w:trHeight w:val="403" w:hRule="atLeast"/>
        </w:trPr>
        <w:tc>
          <w:tcPr>
            <w:tcW w:w="4474"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6124"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r>
        <w:trPr>
          <w:trHeight w:val="348" w:hRule="atLeast"/>
        </w:trPr>
        <w:tc>
          <w:tcPr>
            <w:tcW w:w="4474"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4147"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1977" w:type="dxa"/>
            <w:tcBorders/>
          </w:tcPr>
          <w:p>
            <w:pPr>
              <w:pStyle w:val="Normal"/>
              <w:widowControl w:val="false"/>
              <w:snapToGrid w:val="false"/>
              <w:rPr/>
            </w:pPr>
            <w:r>
              <w:rPr/>
            </w:r>
          </w:p>
        </w:tc>
      </w:tr>
    </w:tbl>
    <w:p>
      <w:pPr>
        <w:pStyle w:val="Normal"/>
        <w:rPr>
          <w:b/>
          <w:szCs w:val="24"/>
        </w:rPr>
      </w:pPr>
      <w:r>
        <w:rPr>
          <w:b/>
          <w:szCs w:val="24"/>
        </w:rPr>
      </w:r>
      <w:r>
        <w:br w:type="page"/>
      </w:r>
    </w:p>
    <w:p>
      <w:pPr>
        <w:pStyle w:val="Normal"/>
        <w:ind w:firstLine="680"/>
        <w:jc w:val="right"/>
        <w:rPr>
          <w:b w:val="false"/>
          <w:bCs w:val="false"/>
        </w:rPr>
      </w:pPr>
      <w:r>
        <w:rPr>
          <w:b w:val="false"/>
          <w:bCs w:val="false"/>
          <w:szCs w:val="24"/>
        </w:rPr>
        <w:t xml:space="preserve">Приложение № 1 </w:t>
      </w:r>
    </w:p>
    <w:p>
      <w:pPr>
        <w:pStyle w:val="Normal"/>
        <w:ind w:firstLine="680"/>
        <w:jc w:val="right"/>
        <w:rPr>
          <w:b w:val="false"/>
          <w:bCs w:val="false"/>
        </w:rPr>
      </w:pPr>
      <w:r>
        <w:rPr>
          <w:b w:val="false"/>
          <w:bCs w:val="false"/>
          <w:szCs w:val="24"/>
        </w:rPr>
        <w:t>к договору № ___________</w:t>
      </w:r>
    </w:p>
    <w:p>
      <w:pPr>
        <w:pStyle w:val="Normal"/>
        <w:ind w:firstLine="680"/>
        <w:jc w:val="right"/>
        <w:rPr>
          <w:b w:val="false"/>
          <w:bCs w:val="false"/>
        </w:rPr>
      </w:pPr>
      <w:r>
        <w:rPr>
          <w:b w:val="false"/>
          <w:bCs w:val="false"/>
          <w:szCs w:val="24"/>
        </w:rPr>
        <w:t xml:space="preserve">от «  </w:t>
      </w:r>
      <w:r>
        <w:rPr>
          <w:b w:val="false"/>
          <w:bCs w:val="false"/>
          <w:color w:val="000000" w:themeColor="text1"/>
          <w:szCs w:val="24"/>
        </w:rPr>
        <w:t>»   __________  202</w:t>
      </w:r>
      <w:r>
        <w:rPr>
          <w:b w:val="false"/>
          <w:bCs w:val="false"/>
          <w:color w:val="000000" w:themeColor="text1"/>
          <w:szCs w:val="24"/>
        </w:rPr>
        <w:t>6</w:t>
      </w:r>
      <w:r>
        <w:rPr>
          <w:b w:val="false"/>
          <w:bCs w:val="false"/>
          <w:szCs w:val="24"/>
        </w:rPr>
        <w:t xml:space="preserve"> г.</w:t>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
        <w:tabs>
          <w:tab w:val="clear" w:pos="708"/>
          <w:tab w:val="left" w:pos="900" w:leader="none"/>
        </w:tabs>
        <w:ind w:left="2640" w:right="0" w:firstLine="192"/>
        <w:jc w:val="right"/>
        <w:rPr/>
      </w:pPr>
      <w:r>
        <w:rPr/>
      </w:r>
    </w:p>
    <w:p>
      <w:pPr>
        <w:pStyle w:val="Normal"/>
        <w:tabs>
          <w:tab w:val="clear" w:pos="708"/>
          <w:tab w:val="left" w:pos="900" w:leader="none"/>
        </w:tabs>
        <w:ind w:left="2640" w:right="0" w:firstLine="192"/>
        <w:jc w:val="right"/>
        <w:rPr/>
      </w:pPr>
      <w:r>
        <w:rPr/>
      </w:r>
    </w:p>
    <w:p>
      <w:pPr>
        <w:pStyle w:val="Normal"/>
        <w:shd w:val="clear" w:fill="FFFFFF"/>
        <w:ind w:left="0" w:right="-31" w:hanging="0"/>
        <w:jc w:val="center"/>
        <w:rPr/>
      </w:pPr>
      <w:r>
        <w:rPr>
          <w:b/>
          <w:bCs/>
          <w:spacing w:val="-1"/>
          <w:sz w:val="24"/>
          <w:szCs w:val="24"/>
        </w:rPr>
        <w:t>ПРЕЙСКУРАНТ</w:t>
      </w:r>
    </w:p>
    <w:p>
      <w:pPr>
        <w:pStyle w:val="Normal"/>
        <w:shd w:val="clear" w:fill="FFFFFF"/>
        <w:ind w:left="0" w:right="-31" w:hanging="0"/>
        <w:jc w:val="center"/>
        <w:rPr/>
      </w:pPr>
      <w:r>
        <w:rPr>
          <w:b/>
          <w:bCs/>
          <w:spacing w:val="-1"/>
          <w:sz w:val="24"/>
          <w:szCs w:val="24"/>
        </w:rPr>
        <w:t xml:space="preserve">на медицинские услуги </w:t>
      </w:r>
    </w:p>
    <w:p>
      <w:pPr>
        <w:pStyle w:val="Normal"/>
        <w:shd w:val="clear" w:fill="FFFFFF"/>
        <w:spacing w:before="82" w:after="0"/>
        <w:ind w:left="86" w:right="29" w:hanging="0"/>
        <w:jc w:val="center"/>
        <w:rPr/>
      </w:pPr>
      <w:r>
        <w:rPr/>
      </w:r>
    </w:p>
    <w:p>
      <w:pPr>
        <w:pStyle w:val="Normal"/>
        <w:tabs>
          <w:tab w:val="clear" w:pos="708"/>
          <w:tab w:val="left" w:pos="900" w:leader="none"/>
        </w:tabs>
        <w:rPr/>
      </w:pPr>
      <w:r>
        <w:rPr/>
      </w:r>
    </w:p>
    <w:tbl>
      <w:tblPr>
        <w:tblW w:w="9803" w:type="dxa"/>
        <w:jc w:val="left"/>
        <w:tblInd w:w="165" w:type="dxa"/>
        <w:tblLayout w:type="fixed"/>
        <w:tblCellMar>
          <w:top w:w="0" w:type="dxa"/>
          <w:left w:w="5" w:type="dxa"/>
          <w:bottom w:w="0" w:type="dxa"/>
          <w:right w:w="0" w:type="dxa"/>
        </w:tblCellMar>
      </w:tblPr>
      <w:tblGrid>
        <w:gridCol w:w="746"/>
        <w:gridCol w:w="6718"/>
        <w:gridCol w:w="2339"/>
      </w:tblGrid>
      <w:tr>
        <w:trPr>
          <w:tblHeader w:val="true"/>
          <w:trHeight w:val="318" w:hRule="atLeast"/>
        </w:trPr>
        <w:tc>
          <w:tcPr>
            <w:tcW w:w="746"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pPr>
            <w:r>
              <w:rPr>
                <w:b/>
                <w:sz w:val="24"/>
                <w:szCs w:val="24"/>
              </w:rPr>
              <w:t xml:space="preserve">№ </w:t>
            </w:r>
            <w:r>
              <w:rPr>
                <w:b/>
                <w:sz w:val="24"/>
                <w:szCs w:val="24"/>
              </w:rPr>
              <w:t>п/п</w:t>
            </w:r>
          </w:p>
        </w:tc>
        <w:tc>
          <w:tcPr>
            <w:tcW w:w="6718"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Наименование медицинской услуги</w:t>
            </w:r>
          </w:p>
        </w:tc>
        <w:tc>
          <w:tcPr>
            <w:tcW w:w="2339"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Стоимость , руб./месяц</w:t>
            </w:r>
          </w:p>
          <w:p>
            <w:pPr>
              <w:pStyle w:val="Normal"/>
              <w:widowControl w:val="false"/>
              <w:tabs>
                <w:tab w:val="clear" w:pos="708"/>
                <w:tab w:val="left" w:pos="900" w:leader="none"/>
                <w:tab w:val="left" w:pos="7920" w:leader="none"/>
              </w:tabs>
              <w:jc w:val="center"/>
              <w:rPr>
                <w:b/>
                <w:sz w:val="24"/>
                <w:szCs w:val="24"/>
              </w:rPr>
            </w:pPr>
            <w:r>
              <w:rPr>
                <w:b/>
                <w:sz w:val="24"/>
                <w:szCs w:val="24"/>
              </w:rPr>
              <w:t>(НДС не облагается)</w:t>
            </w:r>
          </w:p>
        </w:tc>
      </w:tr>
      <w:tr>
        <w:trPr>
          <w:trHeight w:val="270" w:hRule="atLeast"/>
        </w:trPr>
        <w:tc>
          <w:tcPr>
            <w:tcW w:w="746"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sz w:val="24"/>
                <w:szCs w:val="24"/>
              </w:rPr>
            </w:pPr>
            <w:r>
              <w:rPr>
                <w:sz w:val="24"/>
                <w:szCs w:val="24"/>
              </w:rPr>
              <w:t>1.</w:t>
            </w:r>
          </w:p>
        </w:tc>
        <w:tc>
          <w:tcPr>
            <w:tcW w:w="6718" w:type="dxa"/>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t>Аренда комплекса медицинского осмотра «Кодос»</w:t>
            </w:r>
          </w:p>
        </w:tc>
        <w:tc>
          <w:tcPr>
            <w:tcW w:w="233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30 000</w:t>
            </w:r>
          </w:p>
        </w:tc>
      </w:tr>
    </w:tbl>
    <w:p>
      <w:pPr>
        <w:pStyle w:val="Normal"/>
        <w:tabs>
          <w:tab w:val="clear" w:pos="708"/>
          <w:tab w:val="left" w:pos="900" w:leader="none"/>
        </w:tabs>
        <w:rPr/>
      </w:pPr>
      <w:r>
        <w:rPr/>
      </w:r>
    </w:p>
    <w:p>
      <w:pPr>
        <w:pStyle w:val="NormalWeb"/>
        <w:spacing w:beforeAutospacing="0" w:before="0" w:after="0"/>
        <w:ind w:firstLine="680"/>
        <w:jc w:val="center"/>
        <w:rPr>
          <w:b/>
          <w:bCs/>
        </w:rPr>
      </w:pPr>
      <w:r>
        <w:rPr>
          <w:b/>
          <w:bCs/>
        </w:rPr>
      </w:r>
    </w:p>
    <w:tbl>
      <w:tblPr>
        <w:tblW w:w="9803" w:type="dxa"/>
        <w:jc w:val="left"/>
        <w:tblInd w:w="165" w:type="dxa"/>
        <w:tblLayout w:type="fixed"/>
        <w:tblCellMar>
          <w:top w:w="0" w:type="dxa"/>
          <w:left w:w="5" w:type="dxa"/>
          <w:bottom w:w="0" w:type="dxa"/>
          <w:right w:w="0" w:type="dxa"/>
        </w:tblCellMar>
      </w:tblPr>
      <w:tblGrid>
        <w:gridCol w:w="746"/>
        <w:gridCol w:w="3360"/>
        <w:gridCol w:w="3359"/>
        <w:gridCol w:w="2337"/>
      </w:tblGrid>
      <w:tr>
        <w:trPr>
          <w:tblHeader w:val="true"/>
          <w:trHeight w:val="318" w:hRule="atLeast"/>
        </w:trPr>
        <w:tc>
          <w:tcPr>
            <w:tcW w:w="746"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pPr>
            <w:r>
              <w:rPr>
                <w:b/>
                <w:sz w:val="24"/>
                <w:szCs w:val="24"/>
              </w:rPr>
              <w:t xml:space="preserve">№ </w:t>
            </w:r>
            <w:r>
              <w:rPr>
                <w:b/>
                <w:sz w:val="24"/>
                <w:szCs w:val="24"/>
              </w:rPr>
              <w:t>п/п</w:t>
            </w:r>
          </w:p>
        </w:tc>
        <w:tc>
          <w:tcPr>
            <w:tcW w:w="3360"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Наименование медицинской услуги</w:t>
            </w:r>
          </w:p>
        </w:tc>
        <w:tc>
          <w:tcPr>
            <w:tcW w:w="3359"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Количество</w:t>
            </w:r>
          </w:p>
        </w:tc>
        <w:tc>
          <w:tcPr>
            <w:tcW w:w="2337"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Стоимость , руб./осмотр</w:t>
            </w:r>
          </w:p>
          <w:p>
            <w:pPr>
              <w:pStyle w:val="Normal"/>
              <w:widowControl w:val="false"/>
              <w:tabs>
                <w:tab w:val="clear" w:pos="708"/>
                <w:tab w:val="left" w:pos="900" w:leader="none"/>
                <w:tab w:val="left" w:pos="7920" w:leader="none"/>
              </w:tabs>
              <w:jc w:val="center"/>
              <w:rPr>
                <w:b/>
                <w:sz w:val="24"/>
                <w:szCs w:val="24"/>
              </w:rPr>
            </w:pPr>
            <w:r>
              <w:rPr>
                <w:b/>
                <w:sz w:val="24"/>
                <w:szCs w:val="24"/>
              </w:rPr>
              <w:t>(НДС не облагается)</w:t>
            </w:r>
          </w:p>
        </w:tc>
      </w:tr>
      <w:tr>
        <w:trPr>
          <w:trHeight w:val="270" w:hRule="atLeast"/>
        </w:trPr>
        <w:tc>
          <w:tcPr>
            <w:tcW w:w="746" w:type="dxa"/>
            <w:vMerge w:val="restart"/>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sz w:val="24"/>
                <w:szCs w:val="24"/>
              </w:rPr>
            </w:pPr>
            <w:r>
              <w:rPr>
                <w:sz w:val="24"/>
                <w:szCs w:val="24"/>
              </w:rPr>
              <w:t>1</w:t>
            </w:r>
          </w:p>
        </w:tc>
        <w:tc>
          <w:tcPr>
            <w:tcW w:w="3360" w:type="dxa"/>
            <w:vMerge w:val="restart"/>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Медицинские осмотры</w:t>
            </w:r>
          </w:p>
        </w:tc>
        <w:tc>
          <w:tcPr>
            <w:tcW w:w="335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До 400 осмотров в месяц</w:t>
            </w:r>
          </w:p>
        </w:tc>
        <w:tc>
          <w:tcPr>
            <w:tcW w:w="2337"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0</w:t>
            </w:r>
          </w:p>
        </w:tc>
      </w:tr>
      <w:tr>
        <w:trPr>
          <w:trHeight w:val="270" w:hRule="atLeast"/>
        </w:trPr>
        <w:tc>
          <w:tcPr>
            <w:tcW w:w="746" w:type="dxa"/>
            <w:vMerge w:val="continue"/>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sz w:val="24"/>
                <w:szCs w:val="24"/>
              </w:rPr>
            </w:pPr>
            <w:r>
              <w:rPr>
                <w:sz w:val="24"/>
                <w:szCs w:val="24"/>
              </w:rPr>
            </w:r>
          </w:p>
        </w:tc>
        <w:tc>
          <w:tcPr>
            <w:tcW w:w="3360"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3359"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Каждый последующий осмотр после 400 и до 5000 осмотров в месяц</w:t>
            </w:r>
          </w:p>
        </w:tc>
        <w:tc>
          <w:tcPr>
            <w:tcW w:w="2337"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50</w:t>
            </w:r>
          </w:p>
        </w:tc>
      </w:tr>
      <w:tr>
        <w:trPr>
          <w:trHeight w:val="270" w:hRule="atLeast"/>
        </w:trPr>
        <w:tc>
          <w:tcPr>
            <w:tcW w:w="746" w:type="dxa"/>
            <w:vMerge w:val="continue"/>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sz w:val="24"/>
                <w:szCs w:val="24"/>
              </w:rPr>
            </w:pPr>
            <w:r>
              <w:rPr>
                <w:sz w:val="24"/>
                <w:szCs w:val="24"/>
              </w:rPr>
            </w:r>
          </w:p>
        </w:tc>
        <w:tc>
          <w:tcPr>
            <w:tcW w:w="3360"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3359"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Более 5000 осмотров в месяц</w:t>
            </w:r>
          </w:p>
        </w:tc>
        <w:tc>
          <w:tcPr>
            <w:tcW w:w="2337"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30</w:t>
            </w:r>
          </w:p>
        </w:tc>
      </w:tr>
    </w:tbl>
    <w:p>
      <w:pPr>
        <w:pStyle w:val="Normal"/>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5929"/>
      </w:tblGrid>
      <w:tr>
        <w:trPr>
          <w:trHeight w:val="469" w:hRule="atLeast"/>
        </w:trPr>
        <w:tc>
          <w:tcPr>
            <w:tcW w:w="4347"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5929" w:type="dxa"/>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bl>
    <w:p>
      <w:pPr>
        <w:pStyle w:val="Normal"/>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r>
        <w:br w:type="page"/>
      </w:r>
    </w:p>
    <w:p>
      <w:pPr>
        <w:pStyle w:val="Normal"/>
        <w:ind w:firstLine="680"/>
        <w:jc w:val="right"/>
        <w:rPr>
          <w:b w:val="false"/>
          <w:bCs w:val="false"/>
        </w:rPr>
      </w:pPr>
      <w:r>
        <w:rPr>
          <w:b w:val="false"/>
          <w:bCs w:val="false"/>
          <w:szCs w:val="24"/>
        </w:rPr>
        <w:t xml:space="preserve">Приложение № 2 </w:t>
      </w:r>
    </w:p>
    <w:p>
      <w:pPr>
        <w:pStyle w:val="Normal"/>
        <w:ind w:firstLine="680"/>
        <w:jc w:val="right"/>
        <w:rPr>
          <w:b w:val="false"/>
          <w:bCs w:val="false"/>
        </w:rPr>
      </w:pPr>
      <w:r>
        <w:rPr>
          <w:b w:val="false"/>
          <w:bCs w:val="false"/>
          <w:szCs w:val="24"/>
        </w:rPr>
        <w:t>к договору № ___________</w:t>
      </w:r>
    </w:p>
    <w:p>
      <w:pPr>
        <w:pStyle w:val="Normal"/>
        <w:ind w:firstLine="680"/>
        <w:jc w:val="right"/>
        <w:rPr>
          <w:b w:val="false"/>
          <w:bCs w:val="false"/>
        </w:rPr>
      </w:pPr>
      <w:r>
        <w:rPr>
          <w:b w:val="false"/>
          <w:bCs w:val="false"/>
          <w:szCs w:val="24"/>
        </w:rPr>
        <w:t xml:space="preserve">от «  </w:t>
      </w:r>
      <w:r>
        <w:rPr>
          <w:b w:val="false"/>
          <w:bCs w:val="false"/>
          <w:color w:val="000000" w:themeColor="text1"/>
          <w:szCs w:val="24"/>
        </w:rPr>
        <w:t>»   __________  202</w:t>
      </w:r>
      <w:r>
        <w:rPr>
          <w:b w:val="false"/>
          <w:bCs w:val="false"/>
          <w:color w:val="000000" w:themeColor="text1"/>
          <w:szCs w:val="24"/>
        </w:rPr>
        <w:t>6</w:t>
      </w:r>
      <w:r>
        <w:rPr>
          <w:b w:val="false"/>
          <w:bCs w:val="false"/>
          <w:szCs w:val="24"/>
        </w:rPr>
        <w:t xml:space="preserve"> г</w:t>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pPr>
      <w:r>
        <w:rPr>
          <w:b/>
          <w:bCs/>
        </w:rPr>
        <w:t>СПИСОК</w:t>
      </w:r>
    </w:p>
    <w:p>
      <w:pPr>
        <w:pStyle w:val="NormalWeb"/>
        <w:spacing w:beforeAutospacing="0" w:before="0" w:after="0"/>
        <w:ind w:firstLine="680"/>
        <w:jc w:val="center"/>
        <w:rPr>
          <w:b/>
          <w:bCs/>
        </w:rPr>
      </w:pPr>
      <w:r>
        <w:rPr>
          <w:b/>
          <w:bCs/>
        </w:rPr>
        <w:t>работников Хабаровского Южного РЭС, проходящих предрейсовые и послерейсовые медицинские осмотры</w:t>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pPr>
      <w:r>
        <w:rPr/>
        <w:t xml:space="preserve">     </w:t>
      </w:r>
      <w:r>
        <w:rPr/>
        <w:t>Предрейсовые медицинские осмотры</w:t>
      </w:r>
    </w:p>
    <w:tbl>
      <w:tblPr>
        <w:tblW w:w="10425" w:type="dxa"/>
        <w:jc w:val="left"/>
        <w:tblInd w:w="0" w:type="dxa"/>
        <w:tblLayout w:type="fixed"/>
        <w:tblCellMar>
          <w:top w:w="0" w:type="dxa"/>
          <w:left w:w="108" w:type="dxa"/>
          <w:bottom w:w="0" w:type="dxa"/>
          <w:right w:w="108" w:type="dxa"/>
        </w:tblCellMar>
      </w:tblPr>
      <w:tblGrid>
        <w:gridCol w:w="553"/>
        <w:gridCol w:w="4081"/>
        <w:gridCol w:w="1816"/>
        <w:gridCol w:w="3974"/>
      </w:tblGrid>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Сотрудник</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дата рождения</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Должность</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t xml:space="preserve">  </w:t>
            </w:r>
            <w:r>
              <w:rPr/>
              <w:t>1</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Ананьев Владимир Борисович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06.11.1974</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 xml:space="preserve"> </w:t>
            </w:r>
            <w:r>
              <w:rPr>
                <w:color w:val="000000"/>
              </w:rPr>
              <w:t>2</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Вилов Александр Федорович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rPr>
              <w:t>17.09.1963</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ind w:right="0" w:hanging="0"/>
              <w:jc w:val="center"/>
              <w:rPr/>
            </w:pPr>
            <w:r>
              <w:rPr/>
              <w:t>3</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ind w:right="0" w:hanging="0"/>
              <w:jc w:val="both"/>
              <w:rPr/>
            </w:pPr>
            <w:r>
              <w:rPr/>
              <w:t>Даниленко Антон Алексеевич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jc w:val="center"/>
              <w:rPr/>
            </w:pPr>
            <w:r>
              <w:rPr>
                <w:color w:val="000000"/>
              </w:rPr>
              <w:t>25.09.1992</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left w:val="single" w:sz="4" w:space="0" w:color="000000"/>
              <w:bottom w:val="single" w:sz="4" w:space="0" w:color="000000"/>
            </w:tcBorders>
          </w:tcPr>
          <w:p>
            <w:pPr>
              <w:pStyle w:val="Normal"/>
              <w:widowControl w:val="false"/>
              <w:ind w:right="0" w:hanging="0"/>
              <w:jc w:val="center"/>
              <w:rPr/>
            </w:pPr>
            <w:r>
              <w:rPr/>
              <w:t>4</w:t>
            </w:r>
          </w:p>
        </w:tc>
        <w:tc>
          <w:tcPr>
            <w:tcW w:w="4081" w:type="dxa"/>
            <w:tcBorders>
              <w:left w:val="single" w:sz="4" w:space="0" w:color="000000"/>
              <w:bottom w:val="single" w:sz="4" w:space="0" w:color="000000"/>
              <w:right w:val="single" w:sz="4" w:space="0" w:color="000000"/>
            </w:tcBorders>
          </w:tcPr>
          <w:p>
            <w:pPr>
              <w:pStyle w:val="Normal"/>
              <w:widowControl w:val="false"/>
              <w:ind w:right="0" w:hanging="0"/>
              <w:jc w:val="both"/>
              <w:rPr/>
            </w:pPr>
            <w:r>
              <w:rPr/>
              <w:t>Дмитриев Роман Олегович</w:t>
            </w:r>
          </w:p>
        </w:tc>
        <w:tc>
          <w:tcPr>
            <w:tcW w:w="1816" w:type="dxa"/>
            <w:tcBorders>
              <w:left w:val="single" w:sz="4" w:space="0" w:color="000000"/>
              <w:bottom w:val="single" w:sz="4" w:space="0" w:color="000000"/>
              <w:right w:val="single" w:sz="4" w:space="0" w:color="000000"/>
            </w:tcBorders>
          </w:tcPr>
          <w:p>
            <w:pPr>
              <w:pStyle w:val="Normal"/>
              <w:widowControl w:val="false"/>
              <w:tabs>
                <w:tab w:val="clear" w:pos="708"/>
                <w:tab w:val="left" w:pos="1332" w:leader="none"/>
              </w:tabs>
              <w:jc w:val="center"/>
              <w:rPr>
                <w:color w:val="000000"/>
              </w:rPr>
            </w:pPr>
            <w:r>
              <w:rPr>
                <w:color w:val="000000"/>
              </w:rPr>
              <w:t>26.10.1977</w:t>
            </w:r>
          </w:p>
        </w:tc>
        <w:tc>
          <w:tcPr>
            <w:tcW w:w="3974" w:type="dxa"/>
            <w:tcBorders>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5</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Иванов Александр Петрович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rPr>
              <w:t>11.06.1964</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6</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Лягутский Алексей Эдуардович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06.01.1986</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7</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color w:val="000000"/>
              </w:rPr>
              <w:t>Мисочкин Анатолий Александрович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rPr>
              <w:t>23.01.1981</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8</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Михайлов Сергей Николаевич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rPr>
              <w:t>10.04.1962</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jc w:val="center"/>
              <w:rPr/>
            </w:pPr>
            <w:r>
              <w:rPr>
                <w:color w:val="000000"/>
              </w:rPr>
              <w:t>Машинист экскаватора 5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9</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Новиков Алексей Викторович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26.01.1981</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10</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Овсиенко Лев Львович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rPr>
              <w:t>15.03.1967</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11</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Федоров Евгений Дмитриевич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15.09.1983</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12</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Хмелёк Алексей Васильевич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rPr>
              <w:t>28.06.1978</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13</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Шароварин Евгений Анатольевич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rPr>
              <w:t>11.09.1984</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bl>
    <w:p>
      <w:pPr>
        <w:pStyle w:val="Normal"/>
        <w:ind w:firstLine="680"/>
        <w:rPr>
          <w:szCs w:val="24"/>
        </w:rPr>
      </w:pPr>
      <w:r>
        <w:rPr>
          <w:szCs w:val="24"/>
        </w:rPr>
      </w:r>
    </w:p>
    <w:p>
      <w:pPr>
        <w:pStyle w:val="Normal"/>
        <w:spacing w:beforeAutospacing="0" w:before="0" w:after="0"/>
        <w:ind w:firstLine="680"/>
        <w:jc w:val="center"/>
        <w:rPr/>
      </w:pPr>
      <w:r>
        <w:rPr/>
        <w:t xml:space="preserve"> </w:t>
      </w:r>
      <w:r>
        <w:rPr/>
        <w:t>Послерейсовые медицинские осмотры</w:t>
      </w:r>
    </w:p>
    <w:tbl>
      <w:tblPr>
        <w:tblW w:w="10425" w:type="dxa"/>
        <w:jc w:val="left"/>
        <w:tblInd w:w="0" w:type="dxa"/>
        <w:tblLayout w:type="fixed"/>
        <w:tblCellMar>
          <w:top w:w="0" w:type="dxa"/>
          <w:left w:w="108" w:type="dxa"/>
          <w:bottom w:w="0" w:type="dxa"/>
          <w:right w:w="108" w:type="dxa"/>
        </w:tblCellMar>
      </w:tblPr>
      <w:tblGrid>
        <w:gridCol w:w="553"/>
        <w:gridCol w:w="4081"/>
        <w:gridCol w:w="1816"/>
        <w:gridCol w:w="3974"/>
      </w:tblGrid>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Сотрудник</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дата рождения</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Должность</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t xml:space="preserve">  </w:t>
            </w:r>
            <w:r>
              <w:rPr/>
              <w:t>1</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Ананьев Владимир Борисович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06.11.1974</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ind w:right="0" w:hanging="0"/>
              <w:jc w:val="center"/>
              <w:rPr/>
            </w:pPr>
            <w:r>
              <w:rPr/>
              <w:t>2</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ind w:right="0" w:hanging="0"/>
              <w:jc w:val="both"/>
              <w:rPr/>
            </w:pPr>
            <w:r>
              <w:rPr/>
              <w:t>Даниленко Антон Алексеевич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jc w:val="center"/>
              <w:rPr/>
            </w:pPr>
            <w:r>
              <w:rPr>
                <w:color w:val="000000"/>
              </w:rPr>
              <w:t>25.09.1992</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left w:val="single" w:sz="4" w:space="0" w:color="000000"/>
              <w:bottom w:val="single" w:sz="4" w:space="0" w:color="000000"/>
            </w:tcBorders>
          </w:tcPr>
          <w:p>
            <w:pPr>
              <w:pStyle w:val="Normal"/>
              <w:widowControl w:val="false"/>
              <w:ind w:right="0" w:hanging="0"/>
              <w:jc w:val="center"/>
              <w:rPr/>
            </w:pPr>
            <w:r>
              <w:rPr/>
              <w:t>3</w:t>
            </w:r>
          </w:p>
        </w:tc>
        <w:tc>
          <w:tcPr>
            <w:tcW w:w="4081" w:type="dxa"/>
            <w:tcBorders>
              <w:left w:val="single" w:sz="4" w:space="0" w:color="000000"/>
              <w:bottom w:val="single" w:sz="4" w:space="0" w:color="000000"/>
              <w:right w:val="single" w:sz="4" w:space="0" w:color="000000"/>
            </w:tcBorders>
          </w:tcPr>
          <w:p>
            <w:pPr>
              <w:pStyle w:val="Normal"/>
              <w:widowControl w:val="false"/>
              <w:ind w:right="0" w:hanging="0"/>
              <w:jc w:val="both"/>
              <w:rPr/>
            </w:pPr>
            <w:r>
              <w:rPr/>
              <w:t>Дмитриев Роман Олегович</w:t>
            </w:r>
          </w:p>
        </w:tc>
        <w:tc>
          <w:tcPr>
            <w:tcW w:w="1816" w:type="dxa"/>
            <w:tcBorders>
              <w:left w:val="single" w:sz="4" w:space="0" w:color="000000"/>
              <w:bottom w:val="single" w:sz="4" w:space="0" w:color="000000"/>
              <w:right w:val="single" w:sz="4" w:space="0" w:color="000000"/>
            </w:tcBorders>
          </w:tcPr>
          <w:p>
            <w:pPr>
              <w:pStyle w:val="Normal"/>
              <w:widowControl w:val="false"/>
              <w:tabs>
                <w:tab w:val="clear" w:pos="708"/>
                <w:tab w:val="left" w:pos="1332" w:leader="none"/>
              </w:tabs>
              <w:jc w:val="center"/>
              <w:rPr>
                <w:color w:val="000000"/>
              </w:rPr>
            </w:pPr>
            <w:r>
              <w:rPr>
                <w:color w:val="000000"/>
              </w:rPr>
              <w:t>26.10.1977</w:t>
            </w:r>
          </w:p>
        </w:tc>
        <w:tc>
          <w:tcPr>
            <w:tcW w:w="3974" w:type="dxa"/>
            <w:tcBorders>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4</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Иванов Александр Петрович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rPr>
              <w:t>11.06.1964</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5</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Лягутский Алексей Эдуардович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06.01.1986</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left w:val="single" w:sz="4" w:space="0" w:color="000000"/>
              <w:bottom w:val="single" w:sz="4" w:space="0" w:color="000000"/>
            </w:tcBorders>
          </w:tcPr>
          <w:p>
            <w:pPr>
              <w:pStyle w:val="Normal"/>
              <w:widowControl w:val="false"/>
              <w:jc w:val="center"/>
              <w:rPr/>
            </w:pPr>
            <w:r>
              <w:rPr>
                <w:color w:val="000000"/>
              </w:rPr>
              <w:t>6</w:t>
            </w:r>
          </w:p>
        </w:tc>
        <w:tc>
          <w:tcPr>
            <w:tcW w:w="4081" w:type="dxa"/>
            <w:tcBorders>
              <w:left w:val="single" w:sz="4" w:space="0" w:color="000000"/>
              <w:bottom w:val="single" w:sz="4" w:space="0" w:color="000000"/>
              <w:right w:val="single" w:sz="4" w:space="0" w:color="000000"/>
            </w:tcBorders>
          </w:tcPr>
          <w:p>
            <w:pPr>
              <w:pStyle w:val="Normal"/>
              <w:widowControl w:val="false"/>
              <w:jc w:val="left"/>
              <w:rPr/>
            </w:pPr>
            <w:r>
              <w:rPr>
                <w:color w:val="000000"/>
              </w:rPr>
              <w:t>Мисочкин Анатолий Александрович</w:t>
            </w:r>
          </w:p>
        </w:tc>
        <w:tc>
          <w:tcPr>
            <w:tcW w:w="1816" w:type="dxa"/>
            <w:tcBorders>
              <w:left w:val="single" w:sz="4" w:space="0" w:color="000000"/>
              <w:bottom w:val="single" w:sz="4" w:space="0" w:color="000000"/>
              <w:right w:val="single" w:sz="4" w:space="0" w:color="000000"/>
            </w:tcBorders>
          </w:tcPr>
          <w:p>
            <w:pPr>
              <w:pStyle w:val="Normal"/>
              <w:widowControl w:val="false"/>
              <w:jc w:val="center"/>
              <w:rPr/>
            </w:pPr>
            <w:r>
              <w:rPr>
                <w:color w:val="000000"/>
              </w:rPr>
              <w:t>23.01.1981</w:t>
            </w:r>
          </w:p>
        </w:tc>
        <w:tc>
          <w:tcPr>
            <w:tcW w:w="3974" w:type="dxa"/>
            <w:tcBorders>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7</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Новиков Алексей Викторович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26.01.1981</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8</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Овсиенко Лев Львович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rPr>
              <w:t>15.03.1967</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9</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Федоров Евгений Дмитриевич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15.09.1983</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left w:val="single" w:sz="4" w:space="0" w:color="000000"/>
              <w:bottom w:val="single" w:sz="4" w:space="0" w:color="000000"/>
            </w:tcBorders>
          </w:tcPr>
          <w:p>
            <w:pPr>
              <w:pStyle w:val="Normal"/>
              <w:widowControl w:val="false"/>
              <w:jc w:val="center"/>
              <w:rPr/>
            </w:pPr>
            <w:r>
              <w:rPr>
                <w:color w:val="000000"/>
              </w:rPr>
              <w:t>10</w:t>
            </w:r>
          </w:p>
        </w:tc>
        <w:tc>
          <w:tcPr>
            <w:tcW w:w="4081" w:type="dxa"/>
            <w:tcBorders>
              <w:left w:val="single" w:sz="4" w:space="0" w:color="000000"/>
              <w:bottom w:val="single" w:sz="4" w:space="0" w:color="000000"/>
              <w:right w:val="single" w:sz="4" w:space="0" w:color="000000"/>
            </w:tcBorders>
          </w:tcPr>
          <w:p>
            <w:pPr>
              <w:pStyle w:val="Normal"/>
              <w:widowControl w:val="false"/>
              <w:jc w:val="both"/>
              <w:rPr/>
            </w:pPr>
            <w:r>
              <w:rPr>
                <w:color w:val="000000"/>
              </w:rPr>
              <w:t>Хмелёк Алексей Васильевич</w:t>
            </w:r>
          </w:p>
        </w:tc>
        <w:tc>
          <w:tcPr>
            <w:tcW w:w="1816" w:type="dxa"/>
            <w:tcBorders>
              <w:left w:val="single" w:sz="4" w:space="0" w:color="000000"/>
              <w:bottom w:val="single" w:sz="4" w:space="0" w:color="000000"/>
              <w:right w:val="single" w:sz="4" w:space="0" w:color="000000"/>
            </w:tcBorders>
          </w:tcPr>
          <w:p>
            <w:pPr>
              <w:pStyle w:val="Normal"/>
              <w:widowControl w:val="false"/>
              <w:jc w:val="center"/>
              <w:rPr/>
            </w:pPr>
            <w:r>
              <w:rPr>
                <w:color w:val="000000"/>
              </w:rPr>
              <w:t>28.06.1978</w:t>
            </w:r>
          </w:p>
        </w:tc>
        <w:tc>
          <w:tcPr>
            <w:tcW w:w="3974" w:type="dxa"/>
            <w:tcBorders>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r>
        <w:trPr/>
        <w:tc>
          <w:tcPr>
            <w:tcW w:w="553" w:type="dxa"/>
            <w:tcBorders>
              <w:top w:val="single" w:sz="4" w:space="0" w:color="000000"/>
              <w:left w:val="single" w:sz="4" w:space="0" w:color="000000"/>
              <w:bottom w:val="single" w:sz="4" w:space="0" w:color="000000"/>
            </w:tcBorders>
          </w:tcPr>
          <w:p>
            <w:pPr>
              <w:pStyle w:val="Normal"/>
              <w:widowControl w:val="false"/>
              <w:jc w:val="center"/>
              <w:rPr/>
            </w:pPr>
            <w:r>
              <w:rPr>
                <w:color w:val="000000"/>
              </w:rPr>
              <w:t>11</w:t>
            </w:r>
          </w:p>
        </w:tc>
        <w:tc>
          <w:tcPr>
            <w:tcW w:w="40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Шароварин Евгений Анатольевич</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rPr>
              <w:t>11.09.1984</w:t>
            </w:r>
          </w:p>
        </w:tc>
        <w:tc>
          <w:tcPr>
            <w:tcW w:w="39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332" w:leader="none"/>
              </w:tabs>
              <w:ind w:left="360" w:right="0" w:hanging="362"/>
              <w:jc w:val="center"/>
              <w:rPr/>
            </w:pPr>
            <w:r>
              <w:rPr>
                <w:color w:val="000000"/>
              </w:rPr>
              <w:t>Водитель автомобиля 4 р.</w:t>
            </w:r>
          </w:p>
        </w:tc>
      </w:tr>
    </w:tbl>
    <w:p>
      <w:pPr>
        <w:pStyle w:val="Normal"/>
        <w:ind w:firstLine="680"/>
        <w:rPr>
          <w:szCs w:val="24"/>
        </w:rPr>
      </w:pPr>
      <w:r>
        <w:rPr>
          <w:szCs w:val="24"/>
        </w:rPr>
      </w:r>
    </w:p>
    <w:p>
      <w:pPr>
        <w:pStyle w:val="Normal"/>
        <w:ind w:firstLine="680"/>
        <w:rPr>
          <w:szCs w:val="24"/>
        </w:rPr>
      </w:pPr>
      <w:r>
        <w:rPr>
          <w:szCs w:val="24"/>
        </w:rPr>
      </w:r>
    </w:p>
    <w:p>
      <w:pPr>
        <w:pStyle w:val="Normal"/>
        <w:ind w:firstLine="680"/>
        <w:rPr>
          <w:szCs w:val="24"/>
        </w:rPr>
      </w:pPr>
      <w:r>
        <w:rPr>
          <w:szCs w:val="24"/>
        </w:rPr>
      </w:r>
    </w:p>
    <w:p>
      <w:pPr>
        <w:pStyle w:val="Normal"/>
        <w:ind w:firstLine="680"/>
        <w:rPr>
          <w:szCs w:val="24"/>
        </w:rPr>
      </w:pPr>
      <w:r>
        <w:rPr>
          <w:szCs w:val="24"/>
        </w:rPr>
      </w:r>
    </w:p>
    <w:p>
      <w:pPr>
        <w:pStyle w:val="Normal"/>
        <w:ind w:firstLine="680"/>
        <w:rPr>
          <w:szCs w:val="24"/>
        </w:rPr>
      </w:pPr>
      <w:r>
        <w:rPr>
          <w:szCs w:val="24"/>
        </w:rPr>
      </w:r>
    </w:p>
    <w:p>
      <w:pPr>
        <w:pStyle w:val="Normal"/>
        <w:ind w:firstLine="680"/>
        <w:rPr>
          <w:szCs w:val="24"/>
        </w:rPr>
      </w:pPr>
      <w:r>
        <w:rPr>
          <w:szCs w:val="24"/>
        </w:rPr>
      </w:r>
    </w:p>
    <w:p>
      <w:pPr>
        <w:pStyle w:val="Normal"/>
        <w:ind w:firstLine="680"/>
        <w:rPr>
          <w:szCs w:val="24"/>
        </w:rPr>
      </w:pPr>
      <w:r>
        <w:rPr>
          <w:szCs w:val="24"/>
        </w:rPr>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4038"/>
        <w:gridCol w:w="1892"/>
      </w:tblGrid>
      <w:tr>
        <w:trPr>
          <w:trHeight w:val="469" w:hRule="atLeast"/>
        </w:trPr>
        <w:tc>
          <w:tcPr>
            <w:tcW w:w="4347"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5930"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r>
        <w:trPr/>
        <w:tc>
          <w:tcPr>
            <w:tcW w:w="4347"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4038"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1892" w:type="dxa"/>
            <w:tcBorders/>
          </w:tcPr>
          <w:p>
            <w:pPr>
              <w:pStyle w:val="Normal"/>
              <w:widowControl w:val="false"/>
              <w:rPr/>
            </w:pPr>
            <w:r>
              <w:rPr/>
            </w:r>
          </w:p>
        </w:tc>
      </w:tr>
    </w:tbl>
    <w:p>
      <w:pPr>
        <w:pStyle w:val="Normal"/>
        <w:ind w:hanging="0"/>
        <w:jc w:val="both"/>
        <w:rPr>
          <w:szCs w:val="24"/>
        </w:rPr>
      </w:pPr>
      <w:r>
        <w:rPr>
          <w:szCs w:val="24"/>
        </w:rPr>
      </w:r>
    </w:p>
    <w:p>
      <w:pPr>
        <w:pStyle w:val="Normal"/>
        <w:ind w:firstLine="680"/>
        <w:rPr>
          <w:szCs w:val="24"/>
        </w:rPr>
      </w:pPr>
      <w:r>
        <w:rPr>
          <w:szCs w:val="24"/>
        </w:rPr>
        <w:t xml:space="preserve">                                                                                                                                </w:t>
      </w:r>
    </w:p>
    <w:p>
      <w:pPr>
        <w:pStyle w:val="Normal"/>
        <w:ind w:firstLine="680"/>
        <w:rPr>
          <w:szCs w:val="24"/>
        </w:rPr>
      </w:pPr>
      <w:r>
        <w:rPr>
          <w:szCs w:val="24"/>
        </w:rPr>
      </w:r>
    </w:p>
    <w:p>
      <w:pPr>
        <w:pStyle w:val="Normal"/>
        <w:ind w:firstLine="680"/>
        <w:rPr>
          <w:szCs w:val="24"/>
        </w:rPr>
      </w:pPr>
      <w:r>
        <w:rPr>
          <w:szCs w:val="24"/>
        </w:rPr>
        <w:t xml:space="preserve">                                                                                                                                 </w:t>
      </w:r>
      <w:r>
        <w:rPr>
          <w:b w:val="false"/>
          <w:bCs w:val="false"/>
          <w:szCs w:val="24"/>
        </w:rPr>
        <w:t xml:space="preserve">Приложение № 3 </w:t>
      </w:r>
    </w:p>
    <w:p>
      <w:pPr>
        <w:pStyle w:val="Normal"/>
        <w:ind w:firstLine="680"/>
        <w:jc w:val="right"/>
        <w:rPr>
          <w:b w:val="false"/>
          <w:bCs w:val="false"/>
        </w:rPr>
      </w:pPr>
      <w:r>
        <w:rPr>
          <w:b w:val="false"/>
          <w:bCs w:val="false"/>
          <w:szCs w:val="24"/>
        </w:rPr>
        <w:t>к договору № ___________</w:t>
      </w:r>
    </w:p>
    <w:p>
      <w:pPr>
        <w:pStyle w:val="Normal"/>
        <w:ind w:firstLine="680"/>
        <w:jc w:val="right"/>
        <w:rPr>
          <w:b w:val="false"/>
          <w:bCs w:val="false"/>
        </w:rPr>
      </w:pPr>
      <w:r>
        <w:rPr>
          <w:b w:val="false"/>
          <w:bCs w:val="false"/>
          <w:szCs w:val="24"/>
        </w:rPr>
        <w:t xml:space="preserve">от «  </w:t>
      </w:r>
      <w:r>
        <w:rPr>
          <w:b w:val="false"/>
          <w:bCs w:val="false"/>
          <w:color w:val="000000" w:themeColor="text1"/>
          <w:szCs w:val="24"/>
        </w:rPr>
        <w:t>»   __________  202</w:t>
      </w:r>
      <w:r>
        <w:rPr>
          <w:b w:val="false"/>
          <w:bCs w:val="false"/>
          <w:color w:val="000000" w:themeColor="text1"/>
          <w:szCs w:val="24"/>
        </w:rPr>
        <w:t>6</w:t>
      </w:r>
      <w:r>
        <w:rPr>
          <w:b w:val="false"/>
          <w:bCs w:val="false"/>
          <w:szCs w:val="24"/>
        </w:rPr>
        <w:t xml:space="preserve"> г</w:t>
      </w:r>
    </w:p>
    <w:p>
      <w:pPr>
        <w:pStyle w:val="Normal"/>
        <w:ind w:hanging="0"/>
        <w:jc w:val="center"/>
        <w:rPr/>
      </w:pPr>
      <w:r>
        <w:rPr/>
        <w:tab/>
      </w:r>
      <w:r>
        <w:rPr>
          <w:szCs w:val="24"/>
        </w:rPr>
        <w:t>Расчет стоимости проведения предрейсовых и послерейсовых медицинских осмотров</w:t>
      </w:r>
    </w:p>
    <w:tbl>
      <w:tblPr>
        <w:tblW w:w="5000" w:type="pct"/>
        <w:jc w:val="left"/>
        <w:tblInd w:w="55" w:type="dxa"/>
        <w:tblLayout w:type="fixed"/>
        <w:tblCellMar>
          <w:top w:w="55" w:type="dxa"/>
          <w:left w:w="55" w:type="dxa"/>
          <w:bottom w:w="55" w:type="dxa"/>
          <w:right w:w="55" w:type="dxa"/>
        </w:tblCellMar>
      </w:tblPr>
      <w:tblGrid>
        <w:gridCol w:w="1398"/>
        <w:gridCol w:w="1405"/>
        <w:gridCol w:w="1818"/>
        <w:gridCol w:w="1551"/>
        <w:gridCol w:w="1882"/>
        <w:gridCol w:w="2150"/>
      </w:tblGrid>
      <w:tr>
        <w:trPr/>
        <w:tc>
          <w:tcPr>
            <w:tcW w:w="10204" w:type="dxa"/>
            <w:gridSpan w:val="6"/>
            <w:tcBorders>
              <w:top w:val="single" w:sz="4" w:space="0" w:color="000000"/>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t>Предрейсовые медицинские осмотры</w:t>
            </w:r>
          </w:p>
        </w:tc>
      </w:tr>
      <w:tr>
        <w:trPr/>
        <w:tc>
          <w:tcPr>
            <w:tcW w:w="1398" w:type="dxa"/>
            <w:vMerge w:val="restart"/>
            <w:tcBorders>
              <w:left w:val="single" w:sz="4" w:space="0" w:color="000000"/>
              <w:bottom w:val="single" w:sz="4" w:space="0" w:color="000000"/>
            </w:tcBorders>
          </w:tcPr>
          <w:p>
            <w:pPr>
              <w:pStyle w:val="Style15"/>
              <w:widowControl w:val="false"/>
              <w:jc w:val="center"/>
              <w:rPr>
                <w:sz w:val="18"/>
                <w:szCs w:val="18"/>
              </w:rPr>
            </w:pPr>
            <w:r>
              <w:rPr>
                <w:sz w:val="18"/>
                <w:szCs w:val="18"/>
              </w:rPr>
            </w:r>
          </w:p>
          <w:p>
            <w:pPr>
              <w:pStyle w:val="Style15"/>
              <w:widowControl w:val="false"/>
              <w:jc w:val="center"/>
              <w:rPr>
                <w:sz w:val="18"/>
                <w:szCs w:val="18"/>
              </w:rPr>
            </w:pPr>
            <w:r>
              <w:rPr>
                <w:sz w:val="18"/>
                <w:szCs w:val="18"/>
              </w:rPr>
            </w:r>
          </w:p>
          <w:p>
            <w:pPr>
              <w:pStyle w:val="Style15"/>
              <w:widowControl w:val="false"/>
              <w:jc w:val="center"/>
              <w:rPr>
                <w:sz w:val="18"/>
                <w:szCs w:val="18"/>
              </w:rPr>
            </w:pPr>
            <w:r>
              <w:rPr>
                <w:sz w:val="18"/>
                <w:szCs w:val="18"/>
              </w:rPr>
              <w:t>Месяц</w:t>
            </w:r>
          </w:p>
        </w:tc>
        <w:tc>
          <w:tcPr>
            <w:tcW w:w="3223" w:type="dxa"/>
            <w:gridSpan w:val="2"/>
            <w:tcBorders>
              <w:left w:val="single" w:sz="4" w:space="0" w:color="000000"/>
              <w:bottom w:val="single" w:sz="4" w:space="0" w:color="000000"/>
            </w:tcBorders>
          </w:tcPr>
          <w:p>
            <w:pPr>
              <w:pStyle w:val="Style15"/>
              <w:widowControl w:val="false"/>
              <w:jc w:val="center"/>
              <w:rPr>
                <w:sz w:val="18"/>
                <w:szCs w:val="18"/>
              </w:rPr>
            </w:pPr>
            <w:r>
              <w:rPr>
                <w:sz w:val="18"/>
                <w:szCs w:val="18"/>
              </w:rPr>
              <w:t>Рабочие дни</w:t>
            </w:r>
          </w:p>
        </w:tc>
        <w:tc>
          <w:tcPr>
            <w:tcW w:w="3433" w:type="dxa"/>
            <w:gridSpan w:val="2"/>
            <w:tcBorders>
              <w:left w:val="single" w:sz="4" w:space="0" w:color="000000"/>
              <w:bottom w:val="single" w:sz="4" w:space="0" w:color="000000"/>
            </w:tcBorders>
          </w:tcPr>
          <w:p>
            <w:pPr>
              <w:pStyle w:val="Style15"/>
              <w:widowControl w:val="false"/>
              <w:jc w:val="center"/>
              <w:rPr>
                <w:sz w:val="18"/>
                <w:szCs w:val="18"/>
              </w:rPr>
            </w:pPr>
            <w:r>
              <w:rPr>
                <w:sz w:val="18"/>
                <w:szCs w:val="18"/>
              </w:rPr>
              <w:t>Выходные</w:t>
            </w:r>
          </w:p>
        </w:tc>
        <w:tc>
          <w:tcPr>
            <w:tcW w:w="2150" w:type="dxa"/>
            <w:vMerge w:val="restart"/>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t>Кол-во медосмотров в месяц</w:t>
            </w:r>
          </w:p>
        </w:tc>
      </w:tr>
      <w:tr>
        <w:trPr/>
        <w:tc>
          <w:tcPr>
            <w:tcW w:w="1398" w:type="dxa"/>
            <w:vMerge w:val="continue"/>
            <w:tcBorders>
              <w:left w:val="single" w:sz="4" w:space="0" w:color="000000"/>
              <w:bottom w:val="single" w:sz="4" w:space="0" w:color="000000"/>
            </w:tcBorders>
          </w:tcPr>
          <w:p>
            <w:pPr>
              <w:pStyle w:val="Style15"/>
              <w:widowControl w:val="false"/>
              <w:rPr>
                <w:sz w:val="18"/>
                <w:szCs w:val="18"/>
              </w:rPr>
            </w:pPr>
            <w:r>
              <w:rPr>
                <w:sz w:val="18"/>
                <w:szCs w:val="18"/>
              </w:rPr>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w:t>
            </w:r>
          </w:p>
          <w:p>
            <w:pPr>
              <w:pStyle w:val="Style15"/>
              <w:widowControl w:val="false"/>
              <w:jc w:val="center"/>
              <w:rPr>
                <w:sz w:val="18"/>
                <w:szCs w:val="18"/>
              </w:rPr>
            </w:pPr>
            <w:r>
              <w:rPr>
                <w:sz w:val="18"/>
                <w:szCs w:val="18"/>
              </w:rPr>
              <w:t>дней</w:t>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 медосмотров в день</w:t>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w:t>
            </w:r>
          </w:p>
          <w:p>
            <w:pPr>
              <w:pStyle w:val="Style15"/>
              <w:widowControl w:val="false"/>
              <w:jc w:val="center"/>
              <w:rPr>
                <w:sz w:val="18"/>
                <w:szCs w:val="18"/>
              </w:rPr>
            </w:pPr>
            <w:r>
              <w:rPr>
                <w:sz w:val="18"/>
                <w:szCs w:val="18"/>
              </w:rPr>
              <w:t>дней</w:t>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 медосмотров в день</w:t>
            </w:r>
          </w:p>
        </w:tc>
        <w:tc>
          <w:tcPr>
            <w:tcW w:w="2150" w:type="dxa"/>
            <w:vMerge w:val="continue"/>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Январь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Февраль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Март</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Апрель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Май</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Июнь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Июль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Август</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Сентябрь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Октябрь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Ноябрь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Декабрь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Итого:</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bl>
    <w:p>
      <w:pPr>
        <w:pStyle w:val="Normal"/>
        <w:ind w:hanging="0"/>
        <w:jc w:val="center"/>
        <w:rPr/>
      </w:pPr>
      <w:r>
        <w:rPr/>
      </w:r>
    </w:p>
    <w:tbl>
      <w:tblPr>
        <w:tblW w:w="5000" w:type="pct"/>
        <w:jc w:val="left"/>
        <w:tblInd w:w="55" w:type="dxa"/>
        <w:tblLayout w:type="fixed"/>
        <w:tblCellMar>
          <w:top w:w="55" w:type="dxa"/>
          <w:left w:w="55" w:type="dxa"/>
          <w:bottom w:w="55" w:type="dxa"/>
          <w:right w:w="55" w:type="dxa"/>
        </w:tblCellMar>
      </w:tblPr>
      <w:tblGrid>
        <w:gridCol w:w="1402"/>
        <w:gridCol w:w="1404"/>
        <w:gridCol w:w="1682"/>
        <w:gridCol w:w="1815"/>
        <w:gridCol w:w="1748"/>
        <w:gridCol w:w="2153"/>
      </w:tblGrid>
      <w:tr>
        <w:trPr/>
        <w:tc>
          <w:tcPr>
            <w:tcW w:w="10204" w:type="dxa"/>
            <w:gridSpan w:val="6"/>
            <w:tcBorders>
              <w:top w:val="single" w:sz="4" w:space="0" w:color="000000"/>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t xml:space="preserve"> </w:t>
            </w:r>
            <w:r>
              <w:rPr>
                <w:sz w:val="18"/>
                <w:szCs w:val="18"/>
              </w:rPr>
              <w:t>Послерейсовые медицинские осмотры</w:t>
            </w:r>
          </w:p>
        </w:tc>
      </w:tr>
      <w:tr>
        <w:trPr/>
        <w:tc>
          <w:tcPr>
            <w:tcW w:w="1402" w:type="dxa"/>
            <w:vMerge w:val="restart"/>
            <w:tcBorders>
              <w:left w:val="single" w:sz="4" w:space="0" w:color="000000"/>
              <w:bottom w:val="single" w:sz="4" w:space="0" w:color="000000"/>
            </w:tcBorders>
          </w:tcPr>
          <w:p>
            <w:pPr>
              <w:pStyle w:val="Style15"/>
              <w:widowControl w:val="false"/>
              <w:jc w:val="center"/>
              <w:rPr>
                <w:sz w:val="18"/>
                <w:szCs w:val="18"/>
              </w:rPr>
            </w:pPr>
            <w:r>
              <w:rPr>
                <w:sz w:val="18"/>
                <w:szCs w:val="18"/>
              </w:rPr>
            </w:r>
          </w:p>
          <w:p>
            <w:pPr>
              <w:pStyle w:val="Style15"/>
              <w:widowControl w:val="false"/>
              <w:jc w:val="center"/>
              <w:rPr>
                <w:sz w:val="18"/>
                <w:szCs w:val="18"/>
              </w:rPr>
            </w:pPr>
            <w:r>
              <w:rPr>
                <w:sz w:val="18"/>
                <w:szCs w:val="18"/>
              </w:rPr>
            </w:r>
          </w:p>
          <w:p>
            <w:pPr>
              <w:pStyle w:val="Style15"/>
              <w:widowControl w:val="false"/>
              <w:jc w:val="center"/>
              <w:rPr>
                <w:sz w:val="18"/>
                <w:szCs w:val="18"/>
              </w:rPr>
            </w:pPr>
            <w:r>
              <w:rPr>
                <w:sz w:val="18"/>
                <w:szCs w:val="18"/>
              </w:rPr>
              <w:t>Месяц</w:t>
            </w:r>
          </w:p>
        </w:tc>
        <w:tc>
          <w:tcPr>
            <w:tcW w:w="3086" w:type="dxa"/>
            <w:gridSpan w:val="2"/>
            <w:tcBorders>
              <w:left w:val="single" w:sz="4" w:space="0" w:color="000000"/>
              <w:bottom w:val="single" w:sz="4" w:space="0" w:color="000000"/>
            </w:tcBorders>
          </w:tcPr>
          <w:p>
            <w:pPr>
              <w:pStyle w:val="Style15"/>
              <w:widowControl w:val="false"/>
              <w:jc w:val="center"/>
              <w:rPr>
                <w:sz w:val="18"/>
                <w:szCs w:val="18"/>
              </w:rPr>
            </w:pPr>
            <w:r>
              <w:rPr>
                <w:sz w:val="18"/>
                <w:szCs w:val="18"/>
              </w:rPr>
              <w:t>Рабочие дни</w:t>
            </w:r>
          </w:p>
        </w:tc>
        <w:tc>
          <w:tcPr>
            <w:tcW w:w="3563" w:type="dxa"/>
            <w:gridSpan w:val="2"/>
            <w:tcBorders>
              <w:left w:val="single" w:sz="4" w:space="0" w:color="000000"/>
              <w:bottom w:val="single" w:sz="4" w:space="0" w:color="000000"/>
            </w:tcBorders>
          </w:tcPr>
          <w:p>
            <w:pPr>
              <w:pStyle w:val="Style15"/>
              <w:widowControl w:val="false"/>
              <w:jc w:val="center"/>
              <w:rPr>
                <w:sz w:val="18"/>
                <w:szCs w:val="18"/>
              </w:rPr>
            </w:pPr>
            <w:r>
              <w:rPr>
                <w:sz w:val="18"/>
                <w:szCs w:val="18"/>
              </w:rPr>
              <w:t>Выходные</w:t>
            </w:r>
          </w:p>
        </w:tc>
        <w:tc>
          <w:tcPr>
            <w:tcW w:w="2153" w:type="dxa"/>
            <w:vMerge w:val="restart"/>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t>Кол-во медосмотров в месяц</w:t>
            </w:r>
          </w:p>
        </w:tc>
      </w:tr>
      <w:tr>
        <w:trPr/>
        <w:tc>
          <w:tcPr>
            <w:tcW w:w="1402" w:type="dxa"/>
            <w:vMerge w:val="continue"/>
            <w:tcBorders>
              <w:left w:val="single" w:sz="4" w:space="0" w:color="000000"/>
              <w:bottom w:val="single" w:sz="4" w:space="0" w:color="000000"/>
            </w:tcBorders>
          </w:tcPr>
          <w:p>
            <w:pPr>
              <w:pStyle w:val="Style15"/>
              <w:widowControl w:val="false"/>
              <w:rPr>
                <w:sz w:val="18"/>
                <w:szCs w:val="18"/>
              </w:rPr>
            </w:pPr>
            <w:r>
              <w:rPr>
                <w:sz w:val="18"/>
                <w:szCs w:val="18"/>
              </w:rPr>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w:t>
            </w:r>
          </w:p>
          <w:p>
            <w:pPr>
              <w:pStyle w:val="Style15"/>
              <w:widowControl w:val="false"/>
              <w:jc w:val="center"/>
              <w:rPr>
                <w:sz w:val="18"/>
                <w:szCs w:val="18"/>
              </w:rPr>
            </w:pPr>
            <w:r>
              <w:rPr>
                <w:sz w:val="18"/>
                <w:szCs w:val="18"/>
              </w:rPr>
              <w:t>дней</w:t>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 медосмотров в день</w:t>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w:t>
            </w:r>
          </w:p>
          <w:p>
            <w:pPr>
              <w:pStyle w:val="Style15"/>
              <w:widowControl w:val="false"/>
              <w:jc w:val="center"/>
              <w:rPr>
                <w:sz w:val="18"/>
                <w:szCs w:val="18"/>
              </w:rPr>
            </w:pPr>
            <w:r>
              <w:rPr>
                <w:sz w:val="18"/>
                <w:szCs w:val="18"/>
              </w:rPr>
              <w:t>дней</w:t>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 медосмотров в день</w:t>
            </w:r>
          </w:p>
        </w:tc>
        <w:tc>
          <w:tcPr>
            <w:tcW w:w="2153" w:type="dxa"/>
            <w:vMerge w:val="continue"/>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Январь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Февраль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Март</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Апрель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Май</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Июнь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Июль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Август</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Сентябрь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Октябрь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Ноябрь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Декабрь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rHeight w:val="393" w:hRule="atLeast"/>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Итого:</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bl>
    <w:p>
      <w:pPr>
        <w:pStyle w:val="Normal"/>
        <w:ind w:firstLine="680"/>
        <w:rPr>
          <w:sz w:val="22"/>
          <w:szCs w:val="22"/>
        </w:rPr>
      </w:pPr>
      <w:r>
        <w:rPr>
          <w:sz w:val="22"/>
          <w:szCs w:val="22"/>
        </w:rPr>
        <w:t xml:space="preserve">Итого: </w:t>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5929"/>
      </w:tblGrid>
      <w:tr>
        <w:trPr>
          <w:trHeight w:val="469" w:hRule="atLeast"/>
        </w:trPr>
        <w:tc>
          <w:tcPr>
            <w:tcW w:w="4347"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rPr>
            </w:pPr>
            <w:r>
              <w:rPr/>
              <w:t xml:space="preserve">  </w:t>
            </w:r>
            <w:r>
              <w:rPr/>
              <w:t>_________________ М.А. Сугоровский</w:t>
            </w:r>
          </w:p>
          <w:p>
            <w:pPr>
              <w:pStyle w:val="Style14"/>
              <w:widowControl w:val="false"/>
              <w:jc w:val="both"/>
              <w:rPr>
                <w:rFonts w:ascii="Times New Roman" w:hAnsi="Times New Roman"/>
              </w:rPr>
            </w:pPr>
            <w:r>
              <w:rPr/>
              <w:t>м.п.</w:t>
            </w:r>
          </w:p>
        </w:tc>
        <w:tc>
          <w:tcPr>
            <w:tcW w:w="5929" w:type="dxa"/>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p>
            <w:pPr>
              <w:pStyle w:val="Style14"/>
              <w:widowControl w:val="false"/>
              <w:ind w:left="601" w:right="0" w:hanging="0"/>
              <w:jc w:val="both"/>
              <w:rPr>
                <w:rFonts w:ascii="Times New Roman" w:hAnsi="Times New Roman"/>
              </w:rPr>
            </w:pPr>
            <w:r>
              <w:rPr/>
              <w:t>м.п</w:t>
            </w:r>
          </w:p>
        </w:tc>
      </w:tr>
    </w:tbl>
    <w:p>
      <w:pPr>
        <w:pStyle w:val="Normal"/>
        <w:jc w:val="right"/>
        <w:rPr>
          <w:szCs w:val="24"/>
        </w:rPr>
      </w:pPr>
      <w:r>
        <w:br w:type="page"/>
      </w:r>
      <w:r>
        <w:rPr>
          <w:szCs w:val="24"/>
        </w:rPr>
        <w:t>Приложение № 4</w:t>
      </w:r>
    </w:p>
    <w:p>
      <w:pPr>
        <w:pStyle w:val="Normal"/>
        <w:jc w:val="right"/>
        <w:rPr>
          <w:szCs w:val="24"/>
        </w:rPr>
      </w:pPr>
      <w:r>
        <w:rPr>
          <w:szCs w:val="24"/>
        </w:rPr>
        <w:t>к договору № _________</w:t>
      </w:r>
    </w:p>
    <w:p>
      <w:pPr>
        <w:pStyle w:val="Normal"/>
        <w:jc w:val="right"/>
        <w:rPr>
          <w:szCs w:val="24"/>
        </w:rPr>
      </w:pPr>
      <w:r>
        <w:rPr>
          <w:szCs w:val="24"/>
        </w:rPr>
        <w:t>от «  »________202</w:t>
      </w:r>
      <w:r>
        <w:rPr>
          <w:szCs w:val="24"/>
        </w:rPr>
        <w:t>6</w:t>
      </w:r>
      <w:r>
        <w:rPr>
          <w:szCs w:val="24"/>
        </w:rPr>
        <w:t xml:space="preserve"> года</w:t>
      </w:r>
    </w:p>
    <w:p>
      <w:pPr>
        <w:pStyle w:val="Normal"/>
        <w:jc w:val="right"/>
        <w:rPr>
          <w:b/>
          <w:szCs w:val="24"/>
        </w:rPr>
      </w:pPr>
      <w:r>
        <w:rPr>
          <w:b/>
          <w:szCs w:val="24"/>
        </w:rPr>
      </w:r>
    </w:p>
    <w:p>
      <w:pPr>
        <w:pStyle w:val="Normal"/>
        <w:jc w:val="center"/>
        <w:rPr>
          <w:b/>
          <w:szCs w:val="24"/>
        </w:rPr>
      </w:pPr>
      <w:r>
        <w:rPr>
          <w:b/>
          <w:szCs w:val="24"/>
        </w:rPr>
        <w:t xml:space="preserve">Порядок </w:t>
      </w:r>
    </w:p>
    <w:p>
      <w:pPr>
        <w:pStyle w:val="Normal"/>
        <w:jc w:val="center"/>
        <w:rPr>
          <w:b/>
          <w:szCs w:val="24"/>
        </w:rPr>
      </w:pPr>
      <w:r>
        <w:rPr>
          <w:b/>
          <w:szCs w:val="24"/>
        </w:rPr>
        <w:t xml:space="preserve">проведения медицинских осмотров </w:t>
      </w:r>
    </w:p>
    <w:p>
      <w:pPr>
        <w:pStyle w:val="Normal"/>
        <w:jc w:val="center"/>
        <w:rPr>
          <w:b/>
          <w:szCs w:val="24"/>
        </w:rPr>
      </w:pPr>
      <w:r>
        <w:rPr>
          <w:b/>
          <w:szCs w:val="24"/>
        </w:rPr>
      </w:r>
    </w:p>
    <w:p>
      <w:pPr>
        <w:pStyle w:val="Normal"/>
        <w:ind w:right="-286" w:firstLine="709"/>
        <w:jc w:val="both"/>
        <w:rPr/>
      </w:pPr>
      <w:r>
        <w:rPr>
          <w:rFonts w:eastAsia="Calibri"/>
          <w:szCs w:val="24"/>
        </w:rPr>
        <w:t xml:space="preserve">При проведении медицинских осмотров в рамках настоящего Договора, в соответствии с положениями Приказа Минздрава России от 30.05.2023 N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выполняются следующие процедуры по подсказкам программы, выводимым на монитор </w:t>
      </w:r>
      <w:r>
        <w:rPr>
          <w:color w:val="000000"/>
          <w:szCs w:val="24"/>
        </w:rPr>
        <w:t>к</w:t>
      </w:r>
      <w:r>
        <w:rPr>
          <w:color w:val="00000A"/>
          <w:szCs w:val="24"/>
        </w:rPr>
        <w:t>омплекса программно-аппаратного дистанционного медицинского контроля, далее Комплекса</w:t>
      </w:r>
      <w:r>
        <w:rPr>
          <w:rFonts w:eastAsia="Calibri"/>
          <w:szCs w:val="24"/>
        </w:rPr>
        <w:t>:</w:t>
      </w:r>
    </w:p>
    <w:p>
      <w:pPr>
        <w:pStyle w:val="Normal"/>
        <w:ind w:right="-286" w:hanging="0"/>
        <w:jc w:val="both"/>
        <w:rPr/>
      </w:pPr>
      <w:r>
        <w:rPr>
          <w:rFonts w:eastAsia="Calibri"/>
          <w:b/>
          <w:szCs w:val="24"/>
        </w:rPr>
        <w:tab/>
        <w:t>1. Идентификация личности</w:t>
      </w:r>
    </w:p>
    <w:p>
      <w:pPr>
        <w:pStyle w:val="Normal"/>
        <w:ind w:right="-286" w:firstLine="709"/>
        <w:jc w:val="both"/>
        <w:rPr/>
      </w:pPr>
      <w:r>
        <w:rPr>
          <w:rFonts w:eastAsia="Calibri"/>
          <w:szCs w:val="24"/>
        </w:rPr>
        <w:t>1.1. Идентификация личности производится путем приложения магнитной карты к считывателю карт либо введения логина работника Заказчика, с фото и видео фиксацией всех действий.</w:t>
      </w:r>
    </w:p>
    <w:p>
      <w:pPr>
        <w:pStyle w:val="Normal"/>
        <w:ind w:right="-286" w:firstLine="709"/>
        <w:jc w:val="both"/>
        <w:rPr/>
      </w:pPr>
      <w:r>
        <w:rPr>
          <w:rFonts w:eastAsia="Calibri"/>
          <w:szCs w:val="24"/>
        </w:rPr>
        <w:t>1.2. На мониторе должны появиться данные работника, его фотография. Если данные не отображаются или отображаются неверные данные, то нужно провести идентификацию личности заново либо обратиться в кадровую службу Заказчика. Если данные появились, работник должен начать медосмотр посредством подтверждения своих данных.</w:t>
      </w:r>
    </w:p>
    <w:p>
      <w:pPr>
        <w:pStyle w:val="Normal"/>
        <w:ind w:right="-286" w:firstLine="709"/>
        <w:jc w:val="both"/>
        <w:rPr/>
      </w:pPr>
      <w:r>
        <w:rPr>
          <w:rFonts w:eastAsia="Calibri"/>
          <w:b/>
          <w:szCs w:val="24"/>
        </w:rPr>
        <w:t>2. Опрос</w:t>
      </w:r>
    </w:p>
    <w:p>
      <w:pPr>
        <w:pStyle w:val="Normal"/>
        <w:ind w:right="-286" w:firstLine="709"/>
        <w:jc w:val="both"/>
        <w:rPr/>
      </w:pPr>
      <w:r>
        <w:rPr>
          <w:rFonts w:eastAsia="Calibri"/>
          <w:szCs w:val="24"/>
        </w:rPr>
        <w:t>2.1. Работник отвечает на вопросы относительно своего самочувствия путем нажатия на соответствующую кнопку на экране К</w:t>
      </w:r>
      <w:r>
        <w:rPr>
          <w:color w:val="00000A"/>
          <w:szCs w:val="24"/>
        </w:rPr>
        <w:t xml:space="preserve">омплекса. </w:t>
      </w:r>
      <w:r>
        <w:rPr>
          <w:rFonts w:eastAsia="Calibri"/>
          <w:szCs w:val="24"/>
        </w:rPr>
        <w:t xml:space="preserve">При наличии жалоб на здоровье: выбирает соответствующие симптомы из списка. </w:t>
      </w:r>
    </w:p>
    <w:p>
      <w:pPr>
        <w:pStyle w:val="Normal"/>
        <w:ind w:right="-286" w:firstLine="709"/>
        <w:jc w:val="both"/>
        <w:rPr/>
      </w:pPr>
      <w:r>
        <w:rPr>
          <w:rFonts w:eastAsia="Calibri"/>
          <w:b/>
          <w:szCs w:val="24"/>
        </w:rPr>
        <w:t>3. Измерение давления и пульса</w:t>
      </w:r>
    </w:p>
    <w:p>
      <w:pPr>
        <w:pStyle w:val="Normal"/>
        <w:ind w:right="-286" w:firstLine="709"/>
        <w:jc w:val="both"/>
        <w:rPr/>
      </w:pPr>
      <w:r>
        <w:rPr>
          <w:rFonts w:eastAsia="Calibri"/>
          <w:szCs w:val="24"/>
        </w:rPr>
        <w:t xml:space="preserve">3.1 Работник надевает манжету тонометра на левую руку и нажимает кнопку «Старт» на тонометр, как показано на дисплее. </w:t>
      </w:r>
    </w:p>
    <w:p>
      <w:pPr>
        <w:pStyle w:val="Normal"/>
        <w:ind w:right="-286" w:firstLine="709"/>
        <w:jc w:val="both"/>
        <w:rPr/>
      </w:pPr>
      <w:r>
        <w:rPr>
          <w:rFonts w:eastAsia="Calibri"/>
          <w:szCs w:val="24"/>
        </w:rPr>
        <w:t>3.2. При успешном проведении измерения давления и пульса программа переходит на следующий этап.</w:t>
      </w:r>
    </w:p>
    <w:p>
      <w:pPr>
        <w:pStyle w:val="Normal"/>
        <w:ind w:right="-286" w:firstLine="709"/>
        <w:jc w:val="both"/>
        <w:rPr/>
      </w:pPr>
      <w:r>
        <w:rPr>
          <w:rFonts w:eastAsia="Calibri"/>
          <w:b/>
          <w:szCs w:val="24"/>
        </w:rPr>
        <w:t>4. Проверка на наличие паров алкоголя</w:t>
      </w:r>
    </w:p>
    <w:p>
      <w:pPr>
        <w:pStyle w:val="Normal"/>
        <w:ind w:right="-286" w:firstLine="709"/>
        <w:jc w:val="both"/>
        <w:rPr/>
      </w:pPr>
      <w:r>
        <w:rPr>
          <w:rFonts w:eastAsia="Calibri"/>
          <w:szCs w:val="24"/>
        </w:rPr>
        <w:t>4.1. Работник производит измерение на наличие паров алкоголя в выдыхаемом воздухе путем равномерного и непрерывного  выдувания воздуха в воронку алкотестера до щелчка пробоотборника.</w:t>
      </w:r>
    </w:p>
    <w:p>
      <w:pPr>
        <w:pStyle w:val="Normal"/>
        <w:ind w:right="-286" w:firstLine="709"/>
        <w:jc w:val="both"/>
        <w:rPr/>
      </w:pPr>
      <w:r>
        <w:rPr>
          <w:rFonts w:eastAsia="Calibri"/>
          <w:b/>
          <w:szCs w:val="24"/>
        </w:rPr>
        <w:t>5. Измерение температуры и контроль слизистых</w:t>
      </w:r>
    </w:p>
    <w:p>
      <w:pPr>
        <w:pStyle w:val="Normal"/>
        <w:widowControl w:val="false"/>
        <w:suppressAutoHyphens w:val="true"/>
        <w:ind w:right="-286" w:firstLine="709"/>
        <w:jc w:val="both"/>
        <w:rPr/>
      </w:pPr>
      <w:r>
        <w:rPr>
          <w:rFonts w:eastAsia="Andale Sans UI"/>
          <w:kern w:val="2"/>
          <w:szCs w:val="24"/>
          <w:lang w:eastAsia="zh-CN"/>
        </w:rPr>
        <w:t>5.1. Согласно указаниям на экране К</w:t>
      </w:r>
      <w:r>
        <w:rPr>
          <w:color w:val="00000A"/>
          <w:szCs w:val="24"/>
        </w:rPr>
        <w:t xml:space="preserve">омплекса </w:t>
      </w:r>
      <w:r>
        <w:rPr>
          <w:rFonts w:eastAsia="Andale Sans UI"/>
          <w:kern w:val="2"/>
          <w:szCs w:val="24"/>
          <w:lang w:eastAsia="zh-CN"/>
        </w:rPr>
        <w:t xml:space="preserve">работник держит инфракрасный измеритель на расстоянии 3-5 см от лба и нажимает кнопку «Старт». </w:t>
      </w:r>
    </w:p>
    <w:p>
      <w:pPr>
        <w:pStyle w:val="Normal"/>
        <w:widowControl w:val="false"/>
        <w:suppressAutoHyphens w:val="true"/>
        <w:ind w:right="-286" w:firstLine="709"/>
        <w:jc w:val="both"/>
        <w:rPr/>
      </w:pPr>
      <w:r>
        <w:rPr>
          <w:rFonts w:eastAsia="Andale Sans UI"/>
          <w:kern w:val="2"/>
          <w:szCs w:val="24"/>
          <w:lang w:eastAsia="zh-CN"/>
        </w:rPr>
        <w:t>5.2.  На экране будет отражен индикатор процесса измерения температуры.</w:t>
      </w:r>
    </w:p>
    <w:p>
      <w:pPr>
        <w:pStyle w:val="Normal"/>
        <w:ind w:right="-286" w:firstLine="709"/>
        <w:jc w:val="both"/>
        <w:rPr/>
      </w:pPr>
      <w:r>
        <w:rPr>
          <w:rFonts w:eastAsia="Calibri"/>
          <w:b/>
          <w:szCs w:val="24"/>
        </w:rPr>
        <w:t>7. Подтверждение данных пройденного медосмотра</w:t>
      </w:r>
    </w:p>
    <w:p>
      <w:pPr>
        <w:pStyle w:val="Normal"/>
        <w:widowControl w:val="false"/>
        <w:tabs>
          <w:tab w:val="clear" w:pos="708"/>
          <w:tab w:val="left" w:pos="1134" w:leader="none"/>
        </w:tabs>
        <w:suppressAutoHyphens w:val="true"/>
        <w:spacing w:before="0" w:after="120"/>
        <w:ind w:right="-286" w:firstLine="709"/>
        <w:jc w:val="both"/>
        <w:rPr/>
      </w:pPr>
      <w:r>
        <w:rPr>
          <w:rFonts w:eastAsia="Andale Sans UI"/>
          <w:kern w:val="2"/>
          <w:szCs w:val="24"/>
          <w:lang w:eastAsia="zh-CN"/>
        </w:rPr>
        <w:t>7.1. Работник проверяет показатели пройденного медосмотра, подтверждает что с осмотром ознакомлен, путем нажатия на комплексе кнопки «С результатом ознакомлен».</w:t>
      </w:r>
    </w:p>
    <w:p>
      <w:pPr>
        <w:pStyle w:val="Normal"/>
        <w:ind w:right="-286" w:firstLine="709"/>
        <w:jc w:val="both"/>
        <w:rPr/>
      </w:pPr>
      <w:r>
        <w:rPr>
          <w:rFonts w:eastAsia="Calibri"/>
          <w:b/>
          <w:szCs w:val="24"/>
        </w:rPr>
        <w:t>8. Сбор анамнеза</w:t>
      </w:r>
    </w:p>
    <w:p>
      <w:pPr>
        <w:pStyle w:val="Normal"/>
        <w:ind w:right="-286" w:firstLine="709"/>
        <w:jc w:val="both"/>
        <w:rPr/>
      </w:pPr>
      <w:r>
        <w:rPr>
          <w:rFonts w:eastAsia="Calibri"/>
          <w:szCs w:val="24"/>
        </w:rPr>
        <w:t>8.1. Полученную от работника информацию медицинский работник фиксирует в электронном журнале в соответствующей графе.</w:t>
      </w:r>
    </w:p>
    <w:p>
      <w:pPr>
        <w:pStyle w:val="Normal"/>
        <w:ind w:right="-286" w:firstLine="709"/>
        <w:jc w:val="both"/>
        <w:rPr/>
      </w:pPr>
      <w:r>
        <w:rPr>
          <w:rFonts w:eastAsia="Calibri"/>
          <w:b/>
          <w:szCs w:val="24"/>
        </w:rPr>
        <w:t>9.Обработка данных, принятие решения по итогам осмотра</w:t>
      </w:r>
    </w:p>
    <w:p>
      <w:pPr>
        <w:pStyle w:val="Normal"/>
        <w:ind w:right="-286" w:firstLine="709"/>
        <w:jc w:val="both"/>
        <w:rPr/>
      </w:pPr>
      <w:r>
        <w:rPr>
          <w:rFonts w:eastAsia="Calibri"/>
          <w:szCs w:val="24"/>
        </w:rPr>
        <w:t>9.1. Все данные измерений полученные при медосмотре посредством защищенного канала связи заносятся в электронный журнал.</w:t>
      </w:r>
    </w:p>
    <w:p>
      <w:pPr>
        <w:pStyle w:val="Normal"/>
        <w:ind w:right="-286" w:firstLine="709"/>
        <w:jc w:val="both"/>
        <w:rPr/>
      </w:pPr>
      <w:r>
        <w:rPr>
          <w:rFonts w:eastAsia="Calibri"/>
          <w:szCs w:val="24"/>
        </w:rPr>
        <w:t>9.2</w:t>
      </w:r>
      <w:bookmarkStart w:id="1" w:name="Par0"/>
      <w:bookmarkEnd w:id="1"/>
      <w:r>
        <w:rPr>
          <w:rFonts w:eastAsia="Calibri"/>
          <w:szCs w:val="24"/>
        </w:rPr>
        <w:t>. По результатам прохождения предсменного, предрейсового и послесменного, послерейсового медицинского осмотра медицинским работником выносится заключение о:</w:t>
      </w:r>
    </w:p>
    <w:p>
      <w:pPr>
        <w:pStyle w:val="Normal"/>
        <w:ind w:right="-286" w:firstLine="709"/>
        <w:jc w:val="both"/>
        <w:rPr/>
      </w:pPr>
      <w:bookmarkStart w:id="2" w:name="Par1"/>
      <w:bookmarkEnd w:id="2"/>
      <w:r>
        <w:rPr>
          <w:rFonts w:eastAsia="Calibri"/>
          <w:szCs w:val="24"/>
        </w:rPr>
        <w:t>1)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pPr>
        <w:pStyle w:val="Normal"/>
        <w:ind w:right="-286" w:firstLine="709"/>
        <w:jc w:val="both"/>
        <w:rPr/>
      </w:pPr>
      <w:bookmarkStart w:id="3" w:name="Par2"/>
      <w:bookmarkEnd w:id="3"/>
      <w:r>
        <w:rPr>
          <w:rFonts w:eastAsia="Calibri"/>
          <w:szCs w:val="24"/>
        </w:rPr>
        <w:t>2)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pStyle w:val="Normal"/>
        <w:ind w:right="-286" w:firstLine="709"/>
        <w:jc w:val="both"/>
        <w:rPr/>
      </w:pPr>
      <w:r>
        <w:rPr>
          <w:rFonts w:eastAsia="Calibri"/>
          <w:szCs w:val="24"/>
        </w:rPr>
        <w:t>В случае регистрации у работника отклонения величины артериального давления или частоты пульса, или наличия паров алкоголя в выдыхаемом воздухе (более 0,16 мг/л) проводится повторное исследование, но не ранее, чем через 20 минут и не более чем через 40 мин.</w:t>
      </w:r>
    </w:p>
    <w:p>
      <w:pPr>
        <w:pStyle w:val="Normal"/>
        <w:ind w:right="-286" w:firstLine="709"/>
        <w:jc w:val="both"/>
        <w:rPr/>
      </w:pPr>
      <w:r>
        <w:rPr>
          <w:rFonts w:eastAsia="Calibri"/>
          <w:szCs w:val="24"/>
        </w:rPr>
        <w:t>9.3. Результаты проведенных предсменных, предрейсовых и послесменных, послерейсовых медицинских осмотров вносятся в Журнал регистрации предрейсовых, предсменных медицинских осмотров и Журнал регистрации послерейсовых, послесменных медицинских осмотров соответственно (далее - Журналы), в которых указывается следующая информация о работнике:</w:t>
      </w:r>
    </w:p>
    <w:p>
      <w:pPr>
        <w:pStyle w:val="Normal"/>
        <w:ind w:right="-286" w:firstLine="709"/>
        <w:jc w:val="both"/>
        <w:rPr/>
      </w:pPr>
      <w:r>
        <w:rPr>
          <w:rFonts w:eastAsia="Calibri"/>
          <w:szCs w:val="24"/>
        </w:rPr>
        <w:t>1) дата и время проведения медицинского осмотра;</w:t>
      </w:r>
    </w:p>
    <w:p>
      <w:pPr>
        <w:pStyle w:val="Normal"/>
        <w:ind w:right="-286" w:firstLine="709"/>
        <w:jc w:val="both"/>
        <w:rPr/>
      </w:pPr>
      <w:r>
        <w:rPr>
          <w:rFonts w:eastAsia="Calibri"/>
          <w:szCs w:val="24"/>
        </w:rPr>
        <w:t>2) фамилия, имя, отчество работника;</w:t>
      </w:r>
    </w:p>
    <w:p>
      <w:pPr>
        <w:pStyle w:val="Normal"/>
        <w:ind w:right="-286" w:firstLine="709"/>
        <w:jc w:val="both"/>
        <w:rPr/>
      </w:pPr>
      <w:r>
        <w:rPr>
          <w:rFonts w:eastAsia="Calibri"/>
          <w:szCs w:val="24"/>
        </w:rPr>
        <w:t>3) пол работника;</w:t>
      </w:r>
    </w:p>
    <w:p>
      <w:pPr>
        <w:pStyle w:val="Normal"/>
        <w:ind w:right="-286" w:firstLine="709"/>
        <w:jc w:val="both"/>
        <w:rPr/>
      </w:pPr>
      <w:r>
        <w:rPr>
          <w:rFonts w:eastAsia="Calibri"/>
          <w:szCs w:val="24"/>
        </w:rPr>
        <w:t>4) дата рождения работника;</w:t>
      </w:r>
    </w:p>
    <w:p>
      <w:pPr>
        <w:pStyle w:val="Normal"/>
        <w:ind w:right="-286" w:firstLine="709"/>
        <w:jc w:val="both"/>
        <w:rPr/>
      </w:pPr>
      <w:r>
        <w:rPr>
          <w:rFonts w:eastAsia="Calibri"/>
          <w:szCs w:val="24"/>
        </w:rPr>
        <w:t>5) результаты исследований;</w:t>
      </w:r>
    </w:p>
    <w:p>
      <w:pPr>
        <w:pStyle w:val="Normal"/>
        <w:ind w:right="-286" w:firstLine="709"/>
        <w:jc w:val="both"/>
        <w:rPr/>
      </w:pPr>
      <w:r>
        <w:rPr>
          <w:rFonts w:eastAsia="Calibri"/>
          <w:szCs w:val="24"/>
        </w:rPr>
        <w:t>6) заключение о результатах медицинских осмотров;</w:t>
      </w:r>
    </w:p>
    <w:p>
      <w:pPr>
        <w:pStyle w:val="Normal"/>
        <w:ind w:right="-286" w:firstLine="709"/>
        <w:jc w:val="both"/>
        <w:rPr/>
      </w:pPr>
      <w:r>
        <w:rPr>
          <w:rFonts w:eastAsia="Calibri"/>
          <w:szCs w:val="24"/>
        </w:rPr>
        <w:t>7) электронная цифровая подпись медицинского работника.</w:t>
      </w:r>
    </w:p>
    <w:p>
      <w:pPr>
        <w:pStyle w:val="Normal"/>
        <w:ind w:right="-286" w:firstLine="709"/>
        <w:jc w:val="both"/>
        <w:rPr/>
      </w:pPr>
      <w:r>
        <w:rPr>
          <w:rFonts w:eastAsia="Calibri"/>
          <w:szCs w:val="24"/>
        </w:rPr>
        <w:t>Журналы ведутся в форме электронной таблицы в течение всего периода оказания услуг по настоящему Договору, с учетом требований законодательства о персональных данных и обязательной возможностью распечатки страницы.</w:t>
      </w:r>
    </w:p>
    <w:p>
      <w:pPr>
        <w:pStyle w:val="Normal"/>
        <w:ind w:right="-286" w:firstLine="709"/>
        <w:jc w:val="both"/>
        <w:rPr/>
      </w:pPr>
      <w:r>
        <w:rPr>
          <w:rFonts w:eastAsia="Calibri"/>
          <w:szCs w:val="24"/>
        </w:rPr>
        <w:t>Внесенные сведения заверяются усиленной квалифицированной электронной подписью медицинского работника Исполнителя.</w:t>
      </w:r>
    </w:p>
    <w:p>
      <w:pPr>
        <w:pStyle w:val="Normal"/>
        <w:ind w:right="-286" w:firstLine="709"/>
        <w:jc w:val="both"/>
        <w:rPr/>
      </w:pPr>
      <w:r>
        <w:rPr>
          <w:rFonts w:eastAsia="Calibri"/>
          <w:szCs w:val="24"/>
        </w:rPr>
        <w:t>9.4. С результатами, проведенных предсменных, предрейсовых и послесменных, послерейсовых медицинских осмотров Заказчик может ознакомиться через личный кабинет на сайте https://remedical.ru/</w:t>
      </w:r>
    </w:p>
    <w:p>
      <w:pPr>
        <w:pStyle w:val="Normal"/>
        <w:ind w:right="-286" w:firstLine="709"/>
        <w:jc w:val="both"/>
        <w:rPr/>
      </w:pPr>
      <w:r>
        <w:rPr>
          <w:rFonts w:eastAsia="Calibri"/>
          <w:szCs w:val="24"/>
        </w:rPr>
        <w:t>9.5. В случае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на мониторе работник получает уведомление о допуске и принтер распечатывает наклейку с электронно-цифровой подписью медицинского работника о прохождении медицинского осмотра. Наклейка приклеивается на лицевую сторону путевого листа в соответствующую графу.</w:t>
      </w:r>
    </w:p>
    <w:p>
      <w:pPr>
        <w:pStyle w:val="Normal"/>
        <w:ind w:right="-286" w:firstLine="709"/>
        <w:jc w:val="both"/>
        <w:rPr/>
      </w:pPr>
      <w:r>
        <w:rPr>
          <w:rFonts w:eastAsia="Calibri"/>
          <w:szCs w:val="24"/>
        </w:rPr>
        <w:t>9.6. В случае выявления медицинским работником по результатам прохождения предрейсового, предсменного и послерейсового, послесменного медицинского осмотра признаков воздействия вредных и (или) опасных производственных факторов, состояний и заболеваний, препятствующих выполнению трудовых обязанностей, на прикрепленные аккаунты Заказчика в программе «Телеграмм» направляется сообщение с текстом: «Работник ФИО не допущен». Более детальную информацию можно посмотреть в личном кабинете Заказчика.</w:t>
      </w:r>
    </w:p>
    <w:p>
      <w:pPr>
        <w:pStyle w:val="Normal"/>
        <w:ind w:firstLine="680"/>
        <w:jc w:val="both"/>
        <w:rPr>
          <w:rFonts w:eastAsia="Calibri"/>
          <w:b/>
          <w:szCs w:val="24"/>
          <w:lang w:eastAsia="en-US"/>
        </w:rPr>
      </w:pPr>
      <w:r>
        <w:rPr>
          <w:rFonts w:eastAsia="Calibri"/>
          <w:b/>
          <w:szCs w:val="24"/>
          <w:lang w:eastAsia="en-US"/>
        </w:rPr>
      </w:r>
    </w:p>
    <w:p>
      <w:pPr>
        <w:pStyle w:val="Normal"/>
        <w:ind w:firstLine="680"/>
        <w:jc w:val="both"/>
        <w:rPr>
          <w:rFonts w:eastAsia="Calibri"/>
          <w:b/>
          <w:szCs w:val="24"/>
          <w:lang w:eastAsia="en-US"/>
        </w:rPr>
      </w:pPr>
      <w:r>
        <w:rPr>
          <w:rFonts w:eastAsia="Calibri"/>
          <w:b/>
          <w:szCs w:val="24"/>
          <w:lang w:eastAsia="en-US"/>
        </w:rPr>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4038"/>
        <w:gridCol w:w="1892"/>
      </w:tblGrid>
      <w:tr>
        <w:trPr>
          <w:trHeight w:val="469" w:hRule="atLeast"/>
        </w:trPr>
        <w:tc>
          <w:tcPr>
            <w:tcW w:w="4347" w:type="dxa"/>
            <w:tcBorders/>
          </w:tcPr>
          <w:p>
            <w:pPr>
              <w:pStyle w:val="Style9"/>
              <w:widowControl w:val="false"/>
              <w:spacing w:before="240" w:after="120"/>
              <w:jc w:val="both"/>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rPr>
            </w:pPr>
            <w:r>
              <w:rPr/>
            </w:r>
          </w:p>
          <w:p>
            <w:pPr>
              <w:pStyle w:val="Style14"/>
              <w:widowControl w:val="false"/>
              <w:jc w:val="both"/>
              <w:rPr/>
            </w:pPr>
            <w:r>
              <w:rPr/>
              <w:t xml:space="preserve">  </w:t>
            </w:r>
            <w:r>
              <w:rPr/>
              <w:t>_________________ М.А. Сугоровский</w:t>
            </w:r>
          </w:p>
        </w:tc>
        <w:tc>
          <w:tcPr>
            <w:tcW w:w="5930"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pPr>
            <w:r>
              <w:rPr/>
              <w:t xml:space="preserve">   </w:t>
            </w:r>
            <w:r>
              <w:rPr/>
              <w:t>________________ Боченков В.М.</w:t>
            </w:r>
          </w:p>
        </w:tc>
      </w:tr>
      <w:tr>
        <w:trPr/>
        <w:tc>
          <w:tcPr>
            <w:tcW w:w="4347" w:type="dxa"/>
            <w:tcBorders/>
          </w:tcPr>
          <w:p>
            <w:pPr>
              <w:pStyle w:val="Style14"/>
              <w:widowControl w:val="false"/>
              <w:snapToGrid w:val="false"/>
              <w:jc w:val="both"/>
              <w:rPr>
                <w:rFonts w:ascii="Times New Roman" w:hAnsi="Times New Roman"/>
              </w:rPr>
            </w:pPr>
            <w:r>
              <w:rPr/>
            </w:r>
          </w:p>
          <w:p>
            <w:pPr>
              <w:pStyle w:val="Style14"/>
              <w:widowControl w:val="false"/>
              <w:jc w:val="both"/>
              <w:rPr/>
            </w:pPr>
            <w:r>
              <w:rPr>
                <w:szCs w:val="24"/>
              </w:rPr>
              <w:t xml:space="preserve">      </w:t>
            </w:r>
            <w:r>
              <w:rPr>
                <w:szCs w:val="24"/>
              </w:rPr>
              <w:t>мп</w:t>
            </w:r>
          </w:p>
        </w:tc>
        <w:tc>
          <w:tcPr>
            <w:tcW w:w="4038" w:type="dxa"/>
            <w:tcBorders/>
          </w:tcPr>
          <w:p>
            <w:pPr>
              <w:pStyle w:val="Style14"/>
              <w:widowControl w:val="false"/>
              <w:snapToGrid w:val="false"/>
              <w:jc w:val="both"/>
              <w:rPr>
                <w:rFonts w:ascii="Times New Roman" w:hAnsi="Times New Roman"/>
              </w:rPr>
            </w:pPr>
            <w:r>
              <w:rPr/>
            </w:r>
          </w:p>
          <w:p>
            <w:pPr>
              <w:pStyle w:val="Style14"/>
              <w:widowControl w:val="false"/>
              <w:jc w:val="both"/>
              <w:rPr/>
            </w:pPr>
            <w:r>
              <w:rPr>
                <w:szCs w:val="24"/>
              </w:rPr>
              <w:t xml:space="preserve">              </w:t>
            </w:r>
            <w:r>
              <w:rPr>
                <w:szCs w:val="24"/>
              </w:rPr>
              <w:t>мп</w:t>
            </w:r>
          </w:p>
        </w:tc>
        <w:tc>
          <w:tcPr>
            <w:tcW w:w="1892" w:type="dxa"/>
            <w:tcBorders/>
          </w:tcPr>
          <w:p>
            <w:pPr>
              <w:pStyle w:val="Normal"/>
              <w:widowControl w:val="false"/>
              <w:jc w:val="both"/>
              <w:rPr/>
            </w:pPr>
            <w:r>
              <w:rPr/>
            </w:r>
          </w:p>
        </w:tc>
      </w:tr>
    </w:tbl>
    <w:p>
      <w:pPr>
        <w:pStyle w:val="Normal"/>
        <w:ind w:firstLine="680"/>
        <w:jc w:val="both"/>
        <w:rPr>
          <w:rFonts w:eastAsia="Calibri"/>
          <w:b/>
          <w:szCs w:val="24"/>
          <w:lang w:eastAsia="en-US"/>
        </w:rPr>
      </w:pPr>
      <w:r>
        <w:rPr>
          <w:rFonts w:eastAsia="Calibri"/>
          <w:b/>
          <w:szCs w:val="24"/>
          <w:lang w:eastAsia="en-US"/>
        </w:rPr>
      </w:r>
    </w:p>
    <w:p>
      <w:pPr>
        <w:pStyle w:val="Normal"/>
        <w:ind w:firstLine="680"/>
        <w:jc w:val="both"/>
        <w:rPr>
          <w:rFonts w:eastAsia="Calibri"/>
          <w:b/>
          <w:szCs w:val="24"/>
          <w:lang w:eastAsia="en-US"/>
        </w:rPr>
      </w:pPr>
      <w:r>
        <w:rPr>
          <w:rFonts w:eastAsia="Calibri"/>
          <w:b/>
          <w:szCs w:val="24"/>
          <w:lang w:eastAsia="en-US"/>
        </w:rPr>
      </w:r>
    </w:p>
    <w:p>
      <w:pPr>
        <w:pStyle w:val="Normal"/>
        <w:ind w:firstLine="680"/>
        <w:jc w:val="center"/>
        <w:rPr>
          <w:rFonts w:eastAsia="Calibri"/>
          <w:b/>
          <w:szCs w:val="24"/>
          <w:lang w:eastAsia="en-US"/>
        </w:rPr>
      </w:pPr>
      <w:r>
        <w:rPr>
          <w:rFonts w:eastAsia="Calibri"/>
          <w:b/>
          <w:szCs w:val="24"/>
          <w:lang w:eastAsia="en-US"/>
        </w:rPr>
      </w:r>
    </w:p>
    <w:p>
      <w:pPr>
        <w:pStyle w:val="Normal"/>
        <w:ind w:firstLine="680"/>
        <w:jc w:val="center"/>
        <w:rPr>
          <w:rFonts w:eastAsia="Calibri"/>
          <w:b/>
          <w:szCs w:val="24"/>
          <w:lang w:eastAsia="en-US"/>
        </w:rPr>
      </w:pPr>
      <w:r>
        <w:rPr>
          <w:rFonts w:eastAsia="Calibri"/>
          <w:b/>
          <w:szCs w:val="24"/>
          <w:lang w:eastAsia="en-US"/>
        </w:rPr>
      </w:r>
    </w:p>
    <w:p>
      <w:pPr>
        <w:pStyle w:val="Style9"/>
        <w:jc w:val="right"/>
        <w:rPr/>
      </w:pPr>
      <w:r>
        <w:rPr>
          <w:b w:val="false"/>
          <w:bCs/>
          <w:i/>
          <w:color w:val="000000"/>
          <w:sz w:val="22"/>
          <w:szCs w:val="22"/>
        </w:rPr>
        <w:t xml:space="preserve">                                                                                                                              </w:t>
      </w:r>
      <w:r>
        <w:rPr>
          <w:rFonts w:ascii="Times New Roman" w:hAnsi="Times New Roman"/>
          <w:b w:val="false"/>
          <w:bCs/>
          <w:i w:val="false"/>
          <w:iCs w:val="false"/>
          <w:color w:val="000000"/>
          <w:sz w:val="22"/>
          <w:szCs w:val="22"/>
        </w:rPr>
        <w:t xml:space="preserve">  </w:t>
      </w:r>
      <w:r>
        <w:rPr>
          <w:rFonts w:ascii="Times New Roman" w:hAnsi="Times New Roman"/>
          <w:b w:val="false"/>
          <w:bCs/>
          <w:i w:val="false"/>
          <w:iCs w:val="false"/>
          <w:color w:val="000000"/>
          <w:sz w:val="22"/>
          <w:szCs w:val="24"/>
        </w:rPr>
        <w:t>Приложение № 5</w:t>
      </w:r>
    </w:p>
    <w:p>
      <w:pPr>
        <w:pStyle w:val="Normal"/>
        <w:jc w:val="right"/>
        <w:rPr>
          <w:rFonts w:ascii="Times New Roman" w:hAnsi="Times New Roman"/>
          <w:i w:val="false"/>
          <w:i w:val="false"/>
          <w:iCs w:val="false"/>
        </w:rPr>
      </w:pPr>
      <w:r>
        <w:rPr>
          <w:i w:val="false"/>
          <w:iCs w:val="false"/>
          <w:szCs w:val="24"/>
        </w:rPr>
        <w:t>к договору № _________</w:t>
      </w:r>
    </w:p>
    <w:p>
      <w:pPr>
        <w:pStyle w:val="BodyText"/>
        <w:jc w:val="right"/>
        <w:rPr>
          <w:rFonts w:ascii="Times New Roman" w:hAnsi="Times New Roman"/>
          <w:i w:val="false"/>
          <w:i w:val="false"/>
          <w:iCs w:val="false"/>
        </w:rPr>
      </w:pPr>
      <w:r>
        <w:rPr>
          <w:b w:val="false"/>
          <w:bCs/>
          <w:i w:val="false"/>
          <w:iCs w:val="false"/>
          <w:color w:val="000000"/>
          <w:sz w:val="22"/>
          <w:szCs w:val="24"/>
          <w:lang w:eastAsia="en-US"/>
        </w:rPr>
        <w:t>от «  »_________202</w:t>
      </w:r>
      <w:r>
        <w:rPr>
          <w:b w:val="false"/>
          <w:bCs/>
          <w:i w:val="false"/>
          <w:iCs w:val="false"/>
          <w:color w:val="000000"/>
          <w:sz w:val="22"/>
          <w:szCs w:val="24"/>
          <w:lang w:eastAsia="en-US"/>
        </w:rPr>
        <w:t>6</w:t>
      </w:r>
      <w:r>
        <w:rPr>
          <w:b w:val="false"/>
          <w:bCs/>
          <w:i w:val="false"/>
          <w:iCs w:val="false"/>
          <w:color w:val="000000"/>
          <w:sz w:val="22"/>
          <w:szCs w:val="24"/>
          <w:lang w:eastAsia="en-US"/>
        </w:rPr>
        <w:t xml:space="preserve"> года</w:t>
      </w:r>
    </w:p>
    <w:p>
      <w:pPr>
        <w:pStyle w:val="Style9"/>
        <w:spacing w:before="120" w:after="120"/>
        <w:jc w:val="center"/>
        <w:rPr>
          <w:rFonts w:ascii="Times New Roman" w:hAnsi="Times New Roman"/>
          <w:b/>
          <w:bCs/>
          <w:color w:val="000000"/>
          <w:sz w:val="23"/>
          <w:szCs w:val="23"/>
        </w:rPr>
      </w:pPr>
      <w:r>
        <w:rPr>
          <w:rFonts w:ascii="Times New Roman" w:hAnsi="Times New Roman"/>
          <w:b/>
          <w:bCs/>
          <w:color w:val="000000"/>
          <w:sz w:val="23"/>
          <w:szCs w:val="23"/>
        </w:rPr>
        <w:t>АНТИКОРРУПЦИОННАЯ ОГОВОРКА</w:t>
      </w:r>
    </w:p>
    <w:p>
      <w:pPr>
        <w:pStyle w:val="Style17"/>
        <w:shd w:val="clear" w:fill="FFFFFF"/>
        <w:tabs>
          <w:tab w:val="clear" w:pos="708"/>
          <w:tab w:val="left" w:pos="1134" w:leader="none"/>
        </w:tabs>
        <w:spacing w:before="0" w:after="0"/>
        <w:ind w:left="0" w:right="0" w:firstLine="709"/>
        <w:contextualSpacing/>
        <w:jc w:val="both"/>
        <w:rPr/>
      </w:pPr>
      <w:r>
        <w:rPr>
          <w:color w:val="000000"/>
          <w:sz w:val="22"/>
          <w:szCs w:val="22"/>
        </w:rPr>
        <w:t xml:space="preserve">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Style17"/>
        <w:widowControl w:val="false"/>
        <w:shd w:val="clear" w:fill="FFFFFF"/>
        <w:tabs>
          <w:tab w:val="clear" w:pos="708"/>
          <w:tab w:val="left" w:pos="567" w:leader="none"/>
          <w:tab w:val="left" w:pos="1134" w:leader="none"/>
        </w:tabs>
        <w:spacing w:before="0" w:after="0"/>
        <w:ind w:left="0" w:right="0" w:firstLine="709"/>
        <w:contextualSpacing/>
        <w:jc w:val="both"/>
        <w:rPr/>
      </w:pPr>
      <w:r>
        <w:rPr>
          <w:color w:val="000000"/>
          <w:sz w:val="22"/>
          <w:szCs w:val="22"/>
        </w:rPr>
        <w:t xml:space="preserve">7. Каналы связи Линия доверия Группы РусГидро: </w:t>
      </w:r>
    </w:p>
    <w:p>
      <w:pPr>
        <w:pStyle w:val="Style17"/>
        <w:widowControl w:val="false"/>
        <w:shd w:val="clear" w:fill="FFFFFF"/>
        <w:tabs>
          <w:tab w:val="clear" w:pos="708"/>
          <w:tab w:val="left" w:pos="567" w:leader="none"/>
          <w:tab w:val="left" w:pos="1134" w:leader="none"/>
        </w:tabs>
        <w:spacing w:before="0" w:after="0"/>
        <w:ind w:left="0" w:right="0" w:firstLine="709"/>
        <w:contextualSpacing/>
        <w:jc w:val="both"/>
        <w:rPr/>
      </w:pPr>
      <w:r>
        <w:rPr>
          <w:sz w:val="22"/>
          <w:szCs w:val="22"/>
        </w:rPr>
        <w:t>7.1.Электронная почта: ld@rushydro.ru.</w:t>
      </w:r>
    </w:p>
    <w:p>
      <w:pPr>
        <w:pStyle w:val="Style17"/>
        <w:widowControl w:val="false"/>
        <w:shd w:val="clear" w:fill="FFFFFF"/>
        <w:tabs>
          <w:tab w:val="clear" w:pos="708"/>
          <w:tab w:val="left" w:pos="567" w:leader="none"/>
          <w:tab w:val="left" w:pos="1134" w:leader="none"/>
        </w:tabs>
        <w:spacing w:before="0" w:after="0"/>
        <w:ind w:left="0" w:right="0" w:firstLine="709"/>
        <w:contextualSpacing/>
        <w:jc w:val="both"/>
        <w:rPr/>
      </w:pPr>
      <w:r>
        <w:rPr>
          <w:sz w:val="22"/>
          <w:szCs w:val="22"/>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Style17"/>
        <w:spacing w:before="0" w:after="0"/>
        <w:ind w:left="0" w:right="0" w:firstLine="709"/>
        <w:contextualSpacing/>
        <w:jc w:val="both"/>
        <w:rPr>
          <w:sz w:val="22"/>
          <w:szCs w:val="22"/>
        </w:rPr>
      </w:pPr>
      <w:r>
        <w:rPr>
          <w:sz w:val="22"/>
          <w:szCs w:val="22"/>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Style17"/>
        <w:spacing w:before="0" w:after="0"/>
        <w:ind w:left="0" w:right="0" w:firstLine="709"/>
        <w:contextualSpacing/>
        <w:jc w:val="both"/>
        <w:rPr/>
      </w:pPr>
      <w:r>
        <w:rPr/>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4038"/>
        <w:gridCol w:w="1892"/>
      </w:tblGrid>
      <w:tr>
        <w:trPr>
          <w:trHeight w:val="469" w:hRule="atLeast"/>
        </w:trPr>
        <w:tc>
          <w:tcPr>
            <w:tcW w:w="4347"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5930"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r>
        <w:trPr/>
        <w:tc>
          <w:tcPr>
            <w:tcW w:w="4347"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4038"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1892" w:type="dxa"/>
            <w:tcBorders/>
          </w:tcPr>
          <w:p>
            <w:pPr>
              <w:pStyle w:val="Normal"/>
              <w:widowControl w:val="false"/>
              <w:rPr/>
            </w:pPr>
            <w:r>
              <w:rPr/>
            </w:r>
          </w:p>
        </w:tc>
      </w:tr>
    </w:tbl>
    <w:p>
      <w:pPr>
        <w:sectPr>
          <w:footerReference w:type="default" r:id="rId4"/>
          <w:type w:val="nextPage"/>
          <w:pgSz w:w="11906" w:h="16838"/>
          <w:pgMar w:left="1134" w:right="567" w:gutter="0" w:header="0" w:top="780" w:footer="270" w:bottom="568"/>
          <w:pgNumType w:fmt="decimal"/>
          <w:formProt w:val="false"/>
          <w:textDirection w:val="lrTb"/>
          <w:docGrid w:type="default" w:linePitch="360" w:charSpace="0"/>
        </w:sectPr>
      </w:pPr>
      <w:r>
        <w:br w:type="page"/>
      </w:r>
    </w:p>
    <w:p>
      <w:pPr>
        <w:pStyle w:val="Normal"/>
        <w:jc w:val="right"/>
        <w:rPr/>
      </w:pPr>
      <w:r>
        <w:rPr>
          <w:b w:val="false"/>
          <w:bCs/>
          <w:i w:val="false"/>
          <w:iCs w:val="false"/>
          <w:color w:val="000000"/>
          <w:sz w:val="22"/>
          <w:szCs w:val="22"/>
        </w:rPr>
        <w:t xml:space="preserve"> </w:t>
      </w:r>
      <w:r>
        <w:rPr>
          <w:b w:val="false"/>
          <w:bCs/>
          <w:i w:val="false"/>
          <w:iCs w:val="false"/>
          <w:color w:val="000000"/>
          <w:sz w:val="22"/>
          <w:szCs w:val="24"/>
        </w:rPr>
        <w:t>Приложение № 6</w:t>
      </w:r>
    </w:p>
    <w:p>
      <w:pPr>
        <w:pStyle w:val="Normal"/>
        <w:jc w:val="right"/>
        <w:rPr>
          <w:rFonts w:ascii="Times New Roman" w:hAnsi="Times New Roman"/>
          <w:i w:val="false"/>
          <w:i w:val="false"/>
          <w:iCs w:val="false"/>
        </w:rPr>
      </w:pPr>
      <w:r>
        <w:rPr>
          <w:i w:val="false"/>
          <w:iCs w:val="false"/>
          <w:szCs w:val="24"/>
        </w:rPr>
        <w:t>к договору № _________</w:t>
      </w:r>
    </w:p>
    <w:p>
      <w:pPr>
        <w:pStyle w:val="BodyText"/>
        <w:jc w:val="right"/>
        <w:rPr>
          <w:rFonts w:ascii="Times New Roman" w:hAnsi="Times New Roman"/>
          <w:i w:val="false"/>
          <w:i w:val="false"/>
          <w:iCs w:val="false"/>
        </w:rPr>
      </w:pPr>
      <w:r>
        <w:rPr>
          <w:b w:val="false"/>
          <w:bCs/>
          <w:i w:val="false"/>
          <w:iCs w:val="false"/>
          <w:color w:val="000000"/>
          <w:sz w:val="22"/>
          <w:szCs w:val="24"/>
          <w:lang w:eastAsia="en-US"/>
        </w:rPr>
        <w:t>от «  »_________202</w:t>
      </w:r>
      <w:r>
        <w:rPr>
          <w:b w:val="false"/>
          <w:bCs/>
          <w:i w:val="false"/>
          <w:iCs w:val="false"/>
          <w:color w:val="000000"/>
          <w:sz w:val="22"/>
          <w:szCs w:val="24"/>
          <w:lang w:eastAsia="en-US"/>
        </w:rPr>
        <w:t>6</w:t>
      </w:r>
      <w:r>
        <w:rPr>
          <w:b w:val="false"/>
          <w:bCs/>
          <w:i w:val="false"/>
          <w:iCs w:val="false"/>
          <w:color w:val="000000"/>
          <w:sz w:val="22"/>
          <w:szCs w:val="24"/>
          <w:lang w:eastAsia="en-US"/>
        </w:rPr>
        <w:t xml:space="preserve"> года</w:t>
      </w:r>
    </w:p>
    <w:p>
      <w:pPr>
        <w:pStyle w:val="Normal"/>
        <w:widowControl/>
        <w:ind w:hanging="0"/>
        <w:jc w:val="center"/>
        <w:rPr>
          <w:b/>
          <w:sz w:val="24"/>
          <w:szCs w:val="24"/>
        </w:rPr>
      </w:pPr>
      <w:r>
        <w:rPr>
          <w:b/>
          <w:sz w:val="24"/>
          <w:szCs w:val="24"/>
        </w:rPr>
      </w:r>
    </w:p>
    <w:p>
      <w:pPr>
        <w:pStyle w:val="Normal"/>
        <w:widowControl/>
        <w:ind w:hanging="0"/>
        <w:jc w:val="center"/>
        <w:rPr>
          <w:b/>
          <w:sz w:val="24"/>
          <w:szCs w:val="24"/>
        </w:rPr>
      </w:pPr>
      <w:r>
        <w:rPr>
          <w:b/>
          <w:sz w:val="24"/>
          <w:szCs w:val="24"/>
        </w:rPr>
      </w:r>
    </w:p>
    <w:p>
      <w:pPr>
        <w:pStyle w:val="Normal"/>
        <w:widowControl/>
        <w:ind w:hanging="0"/>
        <w:jc w:val="center"/>
        <w:rPr>
          <w:b/>
          <w:sz w:val="24"/>
          <w:szCs w:val="24"/>
        </w:rPr>
      </w:pPr>
      <w:r>
        <w:rPr>
          <w:b/>
          <w:sz w:val="24"/>
          <w:szCs w:val="24"/>
        </w:rPr>
        <w:t>АКТ</w:t>
      </w:r>
    </w:p>
    <w:p>
      <w:pPr>
        <w:pStyle w:val="Normal"/>
        <w:widowControl/>
        <w:ind w:firstLine="284"/>
        <w:jc w:val="center"/>
        <w:rPr>
          <w:b/>
          <w:sz w:val="24"/>
          <w:szCs w:val="24"/>
        </w:rPr>
      </w:pPr>
      <w:r>
        <w:rPr>
          <w:b/>
          <w:sz w:val="24"/>
          <w:szCs w:val="24"/>
        </w:rPr>
        <w:t>приема – передачи</w:t>
      </w:r>
    </w:p>
    <w:p>
      <w:pPr>
        <w:pStyle w:val="Normal"/>
        <w:widowControl/>
        <w:ind w:firstLine="284"/>
        <w:jc w:val="center"/>
        <w:rPr>
          <w:b/>
          <w:sz w:val="24"/>
          <w:szCs w:val="24"/>
        </w:rPr>
      </w:pPr>
      <w:r>
        <w:rPr>
          <w:b/>
          <w:sz w:val="24"/>
          <w:szCs w:val="24"/>
        </w:rPr>
        <w:t>по договору №  от «   » ____________202</w:t>
      </w:r>
      <w:r>
        <w:rPr>
          <w:b/>
          <w:sz w:val="24"/>
          <w:szCs w:val="24"/>
        </w:rPr>
        <w:t>6</w:t>
      </w:r>
      <w:r>
        <w:rPr>
          <w:b/>
          <w:sz w:val="24"/>
          <w:szCs w:val="24"/>
        </w:rPr>
        <w:t>г.</w:t>
      </w:r>
    </w:p>
    <w:tbl>
      <w:tblPr>
        <w:tblStyle w:val="a8"/>
        <w:tblW w:w="946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209"/>
        <w:gridCol w:w="4254"/>
      </w:tblGrid>
      <w:tr>
        <w:trPr/>
        <w:tc>
          <w:tcPr>
            <w:tcW w:w="5209" w:type="dxa"/>
            <w:tcBorders/>
          </w:tcPr>
          <w:p>
            <w:pPr>
              <w:pStyle w:val="Normal"/>
              <w:widowControl w:val="false"/>
              <w:tabs>
                <w:tab w:val="clear" w:pos="708"/>
                <w:tab w:val="left" w:pos="1260" w:leader="none"/>
              </w:tabs>
              <w:spacing w:before="0" w:after="0"/>
              <w:jc w:val="left"/>
              <w:rPr>
                <w:b/>
                <w:bCs/>
                <w:color w:val="000000" w:themeColor="text1"/>
                <w:sz w:val="24"/>
                <w:szCs w:val="24"/>
              </w:rPr>
            </w:pPr>
            <w:r>
              <w:rPr>
                <w:rFonts w:eastAsia="Times New Roman" w:cs="Times New Roman"/>
                <w:color w:val="000000" w:themeColor="text1"/>
                <w:kern w:val="0"/>
                <w:sz w:val="24"/>
                <w:szCs w:val="24"/>
                <w:lang w:val="ru-RU" w:eastAsia="ru-RU" w:bidi="ar-SA"/>
              </w:rPr>
              <w:t>г. Хабаровск</w:t>
            </w:r>
          </w:p>
        </w:tc>
        <w:tc>
          <w:tcPr>
            <w:tcW w:w="4254" w:type="dxa"/>
            <w:tcBorders/>
          </w:tcPr>
          <w:p>
            <w:pPr>
              <w:pStyle w:val="Normal"/>
              <w:widowControl w:val="false"/>
              <w:tabs>
                <w:tab w:val="clear" w:pos="708"/>
                <w:tab w:val="left" w:pos="1260" w:leader="none"/>
              </w:tabs>
              <w:spacing w:before="0" w:after="0"/>
              <w:jc w:val="right"/>
              <w:rPr>
                <w:b/>
                <w:bCs/>
                <w:color w:val="000000" w:themeColor="text1"/>
                <w:sz w:val="24"/>
                <w:szCs w:val="24"/>
              </w:rPr>
            </w:pPr>
            <w:r>
              <w:rPr>
                <w:rFonts w:eastAsia="Times New Roman" w:cs="Times New Roman"/>
                <w:color w:val="000000" w:themeColor="text1"/>
                <w:kern w:val="0"/>
                <w:sz w:val="24"/>
                <w:szCs w:val="24"/>
                <w:lang w:val="ru-RU" w:eastAsia="ru-RU" w:bidi="ar-SA"/>
              </w:rPr>
              <w:t>«   »  202</w:t>
            </w:r>
            <w:r>
              <w:rPr>
                <w:rFonts w:eastAsia="Times New Roman" w:cs="Times New Roman"/>
                <w:color w:val="000000" w:themeColor="text1"/>
                <w:kern w:val="0"/>
                <w:sz w:val="24"/>
                <w:szCs w:val="24"/>
                <w:lang w:val="ru-RU" w:eastAsia="ru-RU" w:bidi="ar-SA"/>
              </w:rPr>
              <w:t>6</w:t>
            </w:r>
            <w:r>
              <w:rPr>
                <w:rFonts w:eastAsia="Times New Roman" w:cs="Times New Roman"/>
                <w:color w:val="000000" w:themeColor="text1"/>
                <w:kern w:val="0"/>
                <w:sz w:val="24"/>
                <w:szCs w:val="24"/>
                <w:lang w:val="ru-RU" w:eastAsia="ru-RU" w:bidi="ar-SA"/>
              </w:rPr>
              <w:t>год</w:t>
            </w:r>
          </w:p>
        </w:tc>
      </w:tr>
    </w:tbl>
    <w:p>
      <w:pPr>
        <w:pStyle w:val="Normal"/>
        <w:widowControl/>
        <w:ind w:firstLine="284"/>
        <w:jc w:val="both"/>
        <w:rPr>
          <w:sz w:val="24"/>
          <w:szCs w:val="24"/>
        </w:rPr>
      </w:pPr>
      <w:r>
        <w:rPr>
          <w:sz w:val="24"/>
          <w:szCs w:val="24"/>
        </w:rPr>
      </w:r>
    </w:p>
    <w:p>
      <w:pPr>
        <w:pStyle w:val="Normal"/>
        <w:widowControl/>
        <w:ind w:firstLine="284"/>
        <w:jc w:val="both"/>
        <w:rPr>
          <w:sz w:val="24"/>
          <w:szCs w:val="24"/>
        </w:rPr>
      </w:pPr>
      <w:r>
        <w:rPr>
          <w:sz w:val="24"/>
          <w:szCs w:val="24"/>
        </w:rPr>
      </w:r>
    </w:p>
    <w:p>
      <w:pPr>
        <w:pStyle w:val="Normal"/>
        <w:widowControl/>
        <w:ind w:firstLine="709"/>
        <w:jc w:val="both"/>
        <w:rPr>
          <w:sz w:val="24"/>
          <w:szCs w:val="24"/>
        </w:rPr>
      </w:pPr>
      <w:r>
        <w:rPr>
          <w:b/>
          <w:bCs/>
          <w:sz w:val="24"/>
          <w:szCs w:val="24"/>
        </w:rPr>
        <w:t>АО «Дальневосточная распределительная сетевая компания» (АО «ДРСК»)</w:t>
      </w:r>
      <w:r>
        <w:rPr>
          <w:b w:val="false"/>
          <w:bCs w:val="false"/>
          <w:sz w:val="24"/>
          <w:szCs w:val="24"/>
        </w:rPr>
        <w:t xml:space="preserve"> именуемая в дальнейшем «Заказчик», в лице директора филиала АО «ДРСК» «Хабаровские электрические сети» Сугоровского Максима Александровича, действующего на основании доверенности № 60 от 01.01.2024 года</w:t>
      </w:r>
      <w:r>
        <w:rPr>
          <w:b/>
          <w:bCs/>
          <w:sz w:val="24"/>
          <w:szCs w:val="24"/>
        </w:rPr>
        <w:t xml:space="preserve"> </w:t>
      </w:r>
      <w:r>
        <w:rPr>
          <w:sz w:val="24"/>
          <w:szCs w:val="24"/>
        </w:rPr>
        <w:t xml:space="preserve">и </w:t>
      </w:r>
      <w:r>
        <w:rPr>
          <w:b/>
          <w:sz w:val="24"/>
          <w:szCs w:val="24"/>
        </w:rPr>
        <w:t>ООО «ЭкоМед»</w:t>
      </w:r>
      <w:r>
        <w:rPr>
          <w:sz w:val="24"/>
          <w:szCs w:val="24"/>
        </w:rPr>
        <w:t>, имеющее право на осуществление медицинской деятельности (Лицензия № Л041-01189-27/00367544 от 18.11.2020 г.), именуемое в дальнейшем «Исполнитель»</w:t>
      </w:r>
      <w:r>
        <w:rPr>
          <w:b/>
          <w:sz w:val="24"/>
          <w:szCs w:val="24"/>
        </w:rPr>
        <w:t>,</w:t>
      </w:r>
      <w:r>
        <w:rPr>
          <w:sz w:val="24"/>
          <w:szCs w:val="24"/>
        </w:rPr>
        <w:t xml:space="preserve"> в лице директора Боченкова Владилена Михайловича, действующего на основании Устава, с другой стороны, а вместе именуемые в дальнейшем «Стороны», руководствуясь действующим законодательством РФ, составили настоящий акт (далее -  «Акт») о нижеследующем:</w:t>
      </w:r>
    </w:p>
    <w:p>
      <w:pPr>
        <w:pStyle w:val="NoSpacing"/>
        <w:ind w:hanging="0"/>
        <w:jc w:val="both"/>
        <w:rPr>
          <w:b/>
          <w:bCs/>
          <w:szCs w:val="24"/>
        </w:rPr>
      </w:pPr>
      <w:r>
        <w:rPr>
          <w:b/>
          <w:bCs/>
          <w:szCs w:val="24"/>
        </w:rPr>
      </w:r>
    </w:p>
    <w:p>
      <w:pPr>
        <w:pStyle w:val="ListParagraph"/>
        <w:widowControl/>
        <w:numPr>
          <w:ilvl w:val="0"/>
          <w:numId w:val="0"/>
        </w:numPr>
        <w:shd w:val="clear" w:color="auto" w:fill="FFFFFF"/>
        <w:overflowPunct w:val="false"/>
        <w:ind w:left="0" w:hanging="0"/>
        <w:jc w:val="both"/>
        <w:textAlignment w:val="auto"/>
        <w:rPr>
          <w:sz w:val="24"/>
          <w:szCs w:val="24"/>
        </w:rPr>
      </w:pPr>
      <w:r>
        <w:rPr>
          <w:sz w:val="24"/>
          <w:szCs w:val="24"/>
        </w:rPr>
        <w:t xml:space="preserve">       </w:t>
      </w:r>
      <w:r>
        <w:rPr>
          <w:sz w:val="24"/>
          <w:szCs w:val="24"/>
        </w:rPr>
        <w:t>1. Исполнитель передал, а Заказчик принял во временное возмездное пользование</w:t>
      </w:r>
    </w:p>
    <w:p>
      <w:pPr>
        <w:pStyle w:val="21"/>
        <w:numPr>
          <w:ilvl w:val="0"/>
          <w:numId w:val="0"/>
        </w:numPr>
        <w:ind w:left="0" w:firstLine="709"/>
        <w:rPr>
          <w:rFonts w:cs="Times New Roman"/>
          <w:szCs w:val="24"/>
        </w:rPr>
      </w:pPr>
      <w:r>
        <w:rPr>
          <w:rFonts w:cs="Times New Roman"/>
          <w:szCs w:val="24"/>
        </w:rPr>
        <w:t>- Комплекс медицинского осмотра «Кодос» по ТУ 26.60.12.120</w:t>
        <w:noBreakHyphen/>
        <w:t>000</w:t>
        <w:noBreakHyphen/>
        <w:t>75538036</w:t>
        <w:noBreakHyphen/>
        <w:t>2018, регистрационное удостоверение на медицинское изделие РЗН 2020/9834 от 09.04.2020 г, серийный номер - ______</w:t>
      </w:r>
    </w:p>
    <w:p>
      <w:pPr>
        <w:pStyle w:val="21"/>
        <w:numPr>
          <w:ilvl w:val="0"/>
          <w:numId w:val="0"/>
        </w:numPr>
        <w:ind w:left="0" w:firstLine="709"/>
        <w:rPr>
          <w:rFonts w:cs="Times New Roman"/>
          <w:szCs w:val="24"/>
        </w:rPr>
      </w:pPr>
      <w:r>
        <w:rPr>
          <w:rFonts w:cs="Times New Roman"/>
          <w:szCs w:val="24"/>
        </w:rPr>
        <w:t>в дальнейшем именуемое Комплекс.</w:t>
      </w:r>
    </w:p>
    <w:p>
      <w:pPr>
        <w:pStyle w:val="ListParagraph"/>
        <w:widowControl/>
        <w:numPr>
          <w:ilvl w:val="0"/>
          <w:numId w:val="0"/>
        </w:numPr>
        <w:ind w:left="0" w:hanging="0"/>
        <w:jc w:val="both"/>
        <w:rPr>
          <w:sz w:val="24"/>
          <w:szCs w:val="24"/>
        </w:rPr>
      </w:pPr>
      <w:r>
        <w:rPr>
          <w:sz w:val="24"/>
          <w:szCs w:val="24"/>
        </w:rPr>
        <w:t xml:space="preserve">      </w:t>
      </w:r>
      <w:r>
        <w:rPr>
          <w:sz w:val="24"/>
          <w:szCs w:val="24"/>
        </w:rPr>
        <w:t>2. Комплекс передан в нормальном техническом состоянии, без внешних повреждений и дефектов.</w:t>
      </w:r>
    </w:p>
    <w:p>
      <w:pPr>
        <w:pStyle w:val="ListParagraph"/>
        <w:widowControl/>
        <w:numPr>
          <w:ilvl w:val="0"/>
          <w:numId w:val="0"/>
        </w:numPr>
        <w:ind w:left="0" w:hanging="0"/>
        <w:jc w:val="both"/>
        <w:rPr>
          <w:sz w:val="24"/>
          <w:szCs w:val="24"/>
        </w:rPr>
      </w:pPr>
      <w:r>
        <w:rPr>
          <w:sz w:val="24"/>
          <w:szCs w:val="24"/>
        </w:rPr>
        <w:t xml:space="preserve">       </w:t>
      </w:r>
      <w:r>
        <w:rPr>
          <w:sz w:val="24"/>
          <w:szCs w:val="24"/>
        </w:rPr>
        <w:t>3. Комплектность комплекса проверенна согласно руководству по эксплуатации.</w:t>
      </w:r>
    </w:p>
    <w:p>
      <w:pPr>
        <w:pStyle w:val="ListParagraph"/>
        <w:widowControl/>
        <w:numPr>
          <w:ilvl w:val="0"/>
          <w:numId w:val="0"/>
        </w:numPr>
        <w:ind w:left="0" w:hanging="0"/>
        <w:jc w:val="both"/>
        <w:rPr>
          <w:sz w:val="24"/>
          <w:szCs w:val="24"/>
        </w:rPr>
      </w:pPr>
      <w:r>
        <w:rPr>
          <w:sz w:val="24"/>
          <w:szCs w:val="24"/>
        </w:rPr>
        <w:t xml:space="preserve">       </w:t>
      </w:r>
      <w:r>
        <w:rPr>
          <w:sz w:val="24"/>
          <w:szCs w:val="24"/>
        </w:rPr>
        <w:t>4. Работоспособность комплекса проверенна в присутствии Заказчика.</w:t>
      </w:r>
    </w:p>
    <w:p>
      <w:pPr>
        <w:pStyle w:val="ListParagraph"/>
        <w:widowControl/>
        <w:numPr>
          <w:ilvl w:val="0"/>
          <w:numId w:val="0"/>
        </w:numPr>
        <w:ind w:left="0" w:hanging="0"/>
        <w:jc w:val="both"/>
        <w:rPr>
          <w:sz w:val="24"/>
          <w:szCs w:val="24"/>
        </w:rPr>
      </w:pPr>
      <w:r>
        <w:rPr>
          <w:sz w:val="24"/>
          <w:szCs w:val="24"/>
        </w:rPr>
        <w:t xml:space="preserve">       </w:t>
      </w:r>
      <w:r>
        <w:rPr>
          <w:sz w:val="24"/>
          <w:szCs w:val="24"/>
        </w:rPr>
        <w:t>5.  Настоящий Акт составлен в двух экземплярах, по одному для каждой из сторон.</w:t>
      </w:r>
    </w:p>
    <w:p>
      <w:pPr>
        <w:pStyle w:val="Normal"/>
        <w:widowControl/>
        <w:jc w:val="both"/>
        <w:rPr>
          <w:sz w:val="24"/>
          <w:szCs w:val="24"/>
        </w:rPr>
      </w:pPr>
      <w:r>
        <w:rPr>
          <w:sz w:val="24"/>
          <w:szCs w:val="24"/>
        </w:rPr>
      </w:r>
    </w:p>
    <w:p>
      <w:pPr>
        <w:pStyle w:val="Normal"/>
        <w:widowControl/>
        <w:ind w:firstLine="284"/>
        <w:jc w:val="both"/>
        <w:rPr>
          <w:sz w:val="24"/>
          <w:szCs w:val="24"/>
        </w:rPr>
      </w:pPr>
      <w:r>
        <w:rPr>
          <w:sz w:val="24"/>
          <w:szCs w:val="24"/>
        </w:rPr>
      </w:r>
    </w:p>
    <w:tbl>
      <w:tblPr>
        <w:tblW w:w="10598" w:type="dxa"/>
        <w:jc w:val="left"/>
        <w:tblInd w:w="-72" w:type="dxa"/>
        <w:tblLayout w:type="fixed"/>
        <w:tblCellMar>
          <w:top w:w="0" w:type="dxa"/>
          <w:left w:w="108" w:type="dxa"/>
          <w:bottom w:w="0" w:type="dxa"/>
          <w:right w:w="108" w:type="dxa"/>
        </w:tblCellMar>
        <w:tblLook w:noVBand="0" w:val="0000" w:noHBand="0" w:lastColumn="0" w:firstColumn="0" w:lastRow="0" w:firstRow="0"/>
      </w:tblPr>
      <w:tblGrid>
        <w:gridCol w:w="4474"/>
        <w:gridCol w:w="4147"/>
        <w:gridCol w:w="1977"/>
      </w:tblGrid>
      <w:tr>
        <w:trPr>
          <w:trHeight w:val="403" w:hRule="atLeast"/>
        </w:trPr>
        <w:tc>
          <w:tcPr>
            <w:tcW w:w="4474"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6124"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r>
        <w:trPr>
          <w:trHeight w:val="348" w:hRule="atLeast"/>
        </w:trPr>
        <w:tc>
          <w:tcPr>
            <w:tcW w:w="4474"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4147"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1977" w:type="dxa"/>
            <w:tcBorders/>
          </w:tcPr>
          <w:p>
            <w:pPr>
              <w:pStyle w:val="Normal"/>
              <w:widowControl w:val="false"/>
              <w:jc w:val="both"/>
              <w:rPr>
                <w:sz w:val="24"/>
                <w:szCs w:val="24"/>
              </w:rPr>
            </w:pPr>
            <w:r>
              <w:rPr>
                <w:sz w:val="24"/>
                <w:szCs w:val="24"/>
              </w:rPr>
            </w:r>
          </w:p>
        </w:tc>
      </w:tr>
    </w:tbl>
    <w:p>
      <w:pPr>
        <w:pStyle w:val="Normal"/>
        <w:widowControl/>
        <w:ind w:firstLine="284"/>
        <w:jc w:val="both"/>
        <w:rPr>
          <w:sz w:val="24"/>
          <w:szCs w:val="24"/>
        </w:rPr>
      </w:pPr>
      <w:r>
        <w:rPr/>
      </w:r>
    </w:p>
    <w:sectPr>
      <w:footerReference w:type="even" r:id="rId5"/>
      <w:footerReference w:type="default" r:id="rId6"/>
      <w:footerReference w:type="first" r:id="rId7"/>
      <w:type w:val="nextPage"/>
      <w:pgSz w:w="11906" w:h="16838"/>
      <w:pgMar w:left="1701" w:right="851" w:gutter="0" w:header="0" w:top="1134" w:footer="72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Consolas">
    <w:charset w:val="01"/>
    <w:family w:val="roman"/>
    <w:pitch w:val="variable"/>
  </w:font>
  <w:font w:name="Liberation Sans">
    <w:altName w:val="Arial"/>
    <w:charset w:val="01"/>
    <w:family w:val="roman"/>
    <w:pitch w:val="variable"/>
  </w:font>
  <w:font w:name="Tahoma">
    <w:charset w:val="01"/>
    <w:family w:val="roman"/>
    <w:pitch w:val="variable"/>
  </w:font>
  <w:font w:name="MS Mincho">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66432626"/>
    </w:sdtPr>
    <w:sdtContent>
      <w:p>
        <w:pPr>
          <w:pStyle w:val="Footer"/>
          <w:jc w:val="right"/>
          <w:rPr/>
        </w:pPr>
        <w:r>
          <w:rPr/>
          <w:fldChar w:fldCharType="begin"/>
        </w:r>
        <w:r>
          <w:rPr/>
          <w:instrText xml:space="preserve"> PAGE </w:instrText>
        </w:r>
        <w:r>
          <w:rPr/>
          <w:fldChar w:fldCharType="separate"/>
        </w:r>
        <w:r>
          <w:rPr/>
          <w:t>13</w:t>
        </w:r>
        <w:r>
          <w:rPr/>
          <w:fldChar w:fldCharType="end"/>
        </w:r>
      </w:p>
      <w:p>
        <w:pPr>
          <w:pStyle w:val="Footer"/>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0"/>
        </w:tabs>
        <w:ind w:left="1200" w:hanging="360"/>
      </w:pPr>
      <w:rPr>
        <w:sz w:val="22"/>
        <w:b/>
        <w:szCs w:val="22"/>
        <w:bCs/>
      </w:rPr>
    </w:lvl>
    <w:lvl w:ilvl="1">
      <w:start w:val="1"/>
      <w:numFmt w:val="decimal"/>
      <w:lvlText w:val="%1.%2."/>
      <w:lvlJc w:val="left"/>
      <w:pPr>
        <w:tabs>
          <w:tab w:val="num" w:pos="0"/>
        </w:tabs>
        <w:ind w:left="480" w:hanging="480"/>
      </w:pPr>
      <w:rPr/>
    </w:lvl>
    <w:lvl w:ilvl="2">
      <w:start w:val="1"/>
      <w:numFmt w:val="decimal"/>
      <w:lvlText w:val="%1.%2.%3."/>
      <w:lvlJc w:val="left"/>
      <w:pPr>
        <w:tabs>
          <w:tab w:val="num" w:pos="0"/>
        </w:tabs>
        <w:ind w:left="1560" w:hanging="720"/>
      </w:pPr>
      <w:rPr/>
    </w:lvl>
    <w:lvl w:ilvl="3">
      <w:start w:val="1"/>
      <w:numFmt w:val="decimal"/>
      <w:lvlText w:val="%1.%2.%3.%4."/>
      <w:lvlJc w:val="left"/>
      <w:pPr>
        <w:tabs>
          <w:tab w:val="num" w:pos="0"/>
        </w:tabs>
        <w:ind w:left="1560" w:hanging="720"/>
      </w:pPr>
      <w:rPr/>
    </w:lvl>
    <w:lvl w:ilvl="4">
      <w:start w:val="1"/>
      <w:numFmt w:val="decimal"/>
      <w:lvlText w:val="%1.%2.%3.%4.%5."/>
      <w:lvlJc w:val="left"/>
      <w:pPr>
        <w:tabs>
          <w:tab w:val="num" w:pos="0"/>
        </w:tabs>
        <w:ind w:left="1920" w:hanging="1080"/>
      </w:pPr>
      <w:rPr/>
    </w:lvl>
    <w:lvl w:ilvl="5">
      <w:start w:val="1"/>
      <w:numFmt w:val="decimal"/>
      <w:lvlText w:val="%1.%2.%3.%4.%5.%6."/>
      <w:lvlJc w:val="left"/>
      <w:pPr>
        <w:tabs>
          <w:tab w:val="num" w:pos="0"/>
        </w:tabs>
        <w:ind w:left="1920" w:hanging="1080"/>
      </w:pPr>
      <w:rPr/>
    </w:lvl>
    <w:lvl w:ilvl="6">
      <w:start w:val="1"/>
      <w:numFmt w:val="decimal"/>
      <w:lvlText w:val="%1.%2.%3.%4.%5.%6.%7."/>
      <w:lvlJc w:val="left"/>
      <w:pPr>
        <w:tabs>
          <w:tab w:val="num" w:pos="0"/>
        </w:tabs>
        <w:ind w:left="2280" w:hanging="1440"/>
      </w:pPr>
      <w:rPr/>
    </w:lvl>
    <w:lvl w:ilvl="7">
      <w:start w:val="1"/>
      <w:numFmt w:val="decimal"/>
      <w:lvlText w:val="%1.%2.%3.%4.%5.%6.%7.%8."/>
      <w:lvlJc w:val="left"/>
      <w:pPr>
        <w:tabs>
          <w:tab w:val="num" w:pos="0"/>
        </w:tabs>
        <w:ind w:left="2280" w:hanging="1440"/>
      </w:pPr>
      <w:rPr/>
    </w:lvl>
    <w:lvl w:ilvl="8">
      <w:start w:val="1"/>
      <w:numFmt w:val="decimal"/>
      <w:lvlText w:val="%1.%2.%3.%4.%5.%6.%7.%8.%9."/>
      <w:lvlJc w:val="left"/>
      <w:pPr>
        <w:tabs>
          <w:tab w:val="num" w:pos="0"/>
        </w:tabs>
        <w:ind w:left="2640" w:hanging="1800"/>
      </w:pPr>
      <w:rPr/>
    </w:lvl>
  </w:abstractNum>
  <w:abstractNum w:abstractNumId="3">
    <w:lvl w:ilvl="0">
      <w:start w:val="1"/>
      <w:numFmt w:val="bullet"/>
      <w:lvlText w:val=""/>
      <w:lvlJc w:val="left"/>
      <w:pPr>
        <w:tabs>
          <w:tab w:val="num" w:pos="0"/>
        </w:tabs>
        <w:ind w:left="907" w:hanging="34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1."/>
      <w:lvlJc w:val="left"/>
      <w:pPr>
        <w:tabs>
          <w:tab w:val="num" w:pos="0"/>
        </w:tabs>
        <w:ind w:left="360" w:hanging="360"/>
      </w:pPr>
      <w:rPr/>
    </w:lvl>
    <w:lvl w:ilvl="1">
      <w:start w:val="1"/>
      <w:numFmt w:val="decimal"/>
      <w:lvlText w:val="%1.%2."/>
      <w:lvlJc w:val="left"/>
      <w:pPr>
        <w:tabs>
          <w:tab w:val="num" w:pos="1134"/>
        </w:tabs>
        <w:ind w:left="0" w:firstLine="567"/>
      </w:pPr>
      <w:rPr/>
    </w:lvl>
    <w:lvl w:ilvl="2">
      <w:start w:val="1"/>
      <w:numFmt w:val="decimal"/>
      <w:lvlText w:val="%1.%2.%3."/>
      <w:lvlJc w:val="left"/>
      <w:pPr>
        <w:tabs>
          <w:tab w:val="num" w:pos="1418"/>
        </w:tabs>
        <w:ind w:left="0" w:firstLine="567"/>
      </w:pPr>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5">
    <w:lvl w:ilvl="0">
      <w:start w:val="1"/>
      <w:numFmt w:val="russianLower"/>
      <w:lvlText w:val="%1)"/>
      <w:lvlJc w:val="left"/>
      <w:pPr>
        <w:tabs>
          <w:tab w:val="num" w:pos="0"/>
        </w:tabs>
        <w:ind w:left="1021" w:hanging="341"/>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4"/>
      <w:numFmt w:val="decimal"/>
      <w:lvlText w:val="%1."/>
      <w:lvlJc w:val="left"/>
      <w:pPr>
        <w:tabs>
          <w:tab w:val="num" w:pos="0"/>
        </w:tabs>
        <w:ind w:left="360" w:hanging="360"/>
      </w:pPr>
      <w:rPr/>
    </w:lvl>
    <w:lvl w:ilvl="1">
      <w:start w:val="6"/>
      <w:numFmt w:val="decimal"/>
      <w:lvlText w:val="%1.%2."/>
      <w:lvlJc w:val="left"/>
      <w:pPr>
        <w:tabs>
          <w:tab w:val="num" w:pos="0"/>
        </w:tabs>
        <w:ind w:left="1040" w:hanging="360"/>
      </w:pPr>
      <w:rPr/>
    </w:lvl>
    <w:lvl w:ilvl="2">
      <w:start w:val="1"/>
      <w:numFmt w:val="decimal"/>
      <w:lvlText w:val="%1.%2.%3."/>
      <w:lvlJc w:val="left"/>
      <w:pPr>
        <w:tabs>
          <w:tab w:val="num" w:pos="0"/>
        </w:tabs>
        <w:ind w:left="2080" w:hanging="720"/>
      </w:pPr>
      <w:rPr/>
    </w:lvl>
    <w:lvl w:ilvl="3">
      <w:start w:val="1"/>
      <w:numFmt w:val="decimal"/>
      <w:lvlText w:val="%1.%2.%3.%4."/>
      <w:lvlJc w:val="left"/>
      <w:pPr>
        <w:tabs>
          <w:tab w:val="num" w:pos="0"/>
        </w:tabs>
        <w:ind w:left="2760" w:hanging="720"/>
      </w:pPr>
      <w:rPr/>
    </w:lvl>
    <w:lvl w:ilvl="4">
      <w:start w:val="1"/>
      <w:numFmt w:val="decimal"/>
      <w:lvlText w:val="%1.%2.%3.%4.%5."/>
      <w:lvlJc w:val="left"/>
      <w:pPr>
        <w:tabs>
          <w:tab w:val="num" w:pos="0"/>
        </w:tabs>
        <w:ind w:left="3800" w:hanging="1080"/>
      </w:pPr>
      <w:rPr/>
    </w:lvl>
    <w:lvl w:ilvl="5">
      <w:start w:val="1"/>
      <w:numFmt w:val="decimal"/>
      <w:lvlText w:val="%1.%2.%3.%4.%5.%6."/>
      <w:lvlJc w:val="left"/>
      <w:pPr>
        <w:tabs>
          <w:tab w:val="num" w:pos="0"/>
        </w:tabs>
        <w:ind w:left="4480" w:hanging="1080"/>
      </w:pPr>
      <w:rPr/>
    </w:lvl>
    <w:lvl w:ilvl="6">
      <w:start w:val="1"/>
      <w:numFmt w:val="decimal"/>
      <w:lvlText w:val="%1.%2.%3.%4.%5.%6.%7."/>
      <w:lvlJc w:val="left"/>
      <w:pPr>
        <w:tabs>
          <w:tab w:val="num" w:pos="0"/>
        </w:tabs>
        <w:ind w:left="5520" w:hanging="1440"/>
      </w:pPr>
      <w:rPr/>
    </w:lvl>
    <w:lvl w:ilvl="7">
      <w:start w:val="1"/>
      <w:numFmt w:val="decimal"/>
      <w:lvlText w:val="%1.%2.%3.%4.%5.%6.%7.%8."/>
      <w:lvlJc w:val="left"/>
      <w:pPr>
        <w:tabs>
          <w:tab w:val="num" w:pos="0"/>
        </w:tabs>
        <w:ind w:left="6200" w:hanging="1440"/>
      </w:pPr>
      <w:rPr/>
    </w:lvl>
    <w:lvl w:ilvl="8">
      <w:start w:val="1"/>
      <w:numFmt w:val="decimal"/>
      <w:lvlText w:val="%1.%2.%3.%4.%5.%6.%7.%8.%9."/>
      <w:lvlJc w:val="left"/>
      <w:pPr>
        <w:tabs>
          <w:tab w:val="num" w:pos="0"/>
        </w:tabs>
        <w:ind w:left="7240" w:hanging="1800"/>
      </w:pPr>
      <w:rPr/>
    </w:lvl>
  </w:abstractNum>
  <w:abstractNum w:abstractNumId="7">
    <w:lvl w:ilvl="0">
      <w:start w:val="1"/>
      <w:numFmt w:val="russianLower"/>
      <w:lvlText w:val="%1)"/>
      <w:lvlJc w:val="left"/>
      <w:pPr>
        <w:tabs>
          <w:tab w:val="num" w:pos="0"/>
        </w:tabs>
        <w:ind w:left="1021" w:hanging="341"/>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8">
    <w:lvl w:ilvl="0">
      <w:start w:val="1"/>
      <w:numFmt w:val="russianLower"/>
      <w:lvlText w:val="%1)"/>
      <w:lvlJc w:val="left"/>
      <w:pPr>
        <w:tabs>
          <w:tab w:val="num" w:pos="0"/>
        </w:tabs>
        <w:ind w:left="1021" w:hanging="341"/>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9">
    <w:lvl w:ilvl="0">
      <w:start w:val="1"/>
      <w:numFmt w:val="russianLower"/>
      <w:lvlText w:val="%1)"/>
      <w:lvlJc w:val="left"/>
      <w:pPr>
        <w:tabs>
          <w:tab w:val="num" w:pos="0"/>
        </w:tabs>
        <w:ind w:left="1021" w:hanging="341"/>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7"/>
    <w:lvlOverride w:ilvl="0">
      <w:startOverride w:val="1"/>
    </w:lvlOverride>
  </w:num>
  <w:num w:numId="12">
    <w:abstractNumId w:val="7"/>
  </w:num>
  <w:num w:numId="13">
    <w:abstractNumId w:val="7"/>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e2cc0"/>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Heading1">
    <w:name w:val="Heading 1"/>
    <w:basedOn w:val="Normal"/>
    <w:next w:val="Normal"/>
    <w:qFormat/>
    <w:rsid w:val="00047315"/>
    <w:pPr>
      <w:keepNext w:val="true"/>
      <w:widowControl w:val="false"/>
      <w:spacing w:before="240" w:after="60"/>
      <w:outlineLvl w:val="0"/>
    </w:pPr>
    <w:rPr>
      <w:rFonts w:ascii="Arial" w:hAnsi="Arial" w:cs="Arial"/>
      <w:b/>
      <w:bCs/>
      <w:kern w:val="2"/>
      <w:sz w:val="32"/>
      <w:szCs w:val="32"/>
    </w:rPr>
  </w:style>
  <w:style w:type="paragraph" w:styleId="Heading2">
    <w:name w:val="Heading 2"/>
    <w:basedOn w:val="Normal"/>
    <w:next w:val="Normal"/>
    <w:qFormat/>
    <w:rsid w:val="00047315"/>
    <w:pPr>
      <w:keepNext w:val="true"/>
      <w:widowControl w:val="false"/>
      <w:spacing w:before="240" w:after="60"/>
      <w:outlineLvl w:val="1"/>
    </w:pPr>
    <w:rPr>
      <w:rFonts w:ascii="Arial" w:hAnsi="Arial" w:cs="Arial"/>
      <w:b/>
      <w:bCs/>
      <w:i/>
      <w:iCs/>
      <w:sz w:val="28"/>
      <w:szCs w:val="28"/>
    </w:rPr>
  </w:style>
  <w:style w:type="paragraph" w:styleId="Heading3">
    <w:name w:val="Heading 3"/>
    <w:basedOn w:val="Normal"/>
    <w:next w:val="Normal"/>
    <w:link w:val="3"/>
    <w:qFormat/>
    <w:rsid w:val="009b67fd"/>
    <w:pPr>
      <w:keepNext w:val="true"/>
      <w:spacing w:before="240" w:after="60"/>
      <w:outlineLvl w:val="2"/>
    </w:pPr>
    <w:rPr>
      <w:rFonts w:ascii="Arial" w:hAnsi="Arial" w:cs="Arial"/>
      <w:b/>
      <w:bCs/>
      <w:sz w:val="26"/>
      <w:szCs w:val="26"/>
    </w:rPr>
  </w:style>
  <w:style w:type="paragraph" w:styleId="Heading4">
    <w:name w:val="Heading 4"/>
    <w:basedOn w:val="Normal"/>
    <w:next w:val="Normal"/>
    <w:qFormat/>
    <w:rsid w:val="00485bbb"/>
    <w:pPr>
      <w:keepNext w:val="true"/>
      <w:jc w:val="center"/>
      <w:outlineLvl w:val="3"/>
    </w:pPr>
    <w:rPr>
      <w:sz w:val="28"/>
    </w:rPr>
  </w:style>
  <w:style w:type="character" w:styleId="DefaultParagraphFont" w:default="1">
    <w:name w:val="Default Paragraph Font"/>
    <w:uiPriority w:val="1"/>
    <w:semiHidden/>
    <w:unhideWhenUsed/>
    <w:qFormat/>
    <w:rPr/>
  </w:style>
  <w:style w:type="character" w:styleId="Hyperlink">
    <w:name w:val="Hyperlink"/>
    <w:rsid w:val="009c3546"/>
    <w:rPr>
      <w:color w:val="0000FF"/>
      <w:u w:val="single"/>
    </w:rPr>
  </w:style>
  <w:style w:type="character" w:styleId="Normal1" w:customStyle="1">
    <w:name w:val="Normal Знак"/>
    <w:link w:val="11"/>
    <w:qFormat/>
    <w:rsid w:val="00cc2a3a"/>
    <w:rPr>
      <w:lang w:val="ru-RU" w:eastAsia="ru-RU" w:bidi="ar-SA"/>
    </w:rPr>
  </w:style>
  <w:style w:type="character" w:styleId="Td" w:customStyle="1">
    <w:name w:val="td"/>
    <w:basedOn w:val="DefaultParagraphFont"/>
    <w:qFormat/>
    <w:rsid w:val="009b67fd"/>
    <w:rPr/>
  </w:style>
  <w:style w:type="character" w:styleId="3" w:customStyle="1">
    <w:name w:val="Заголовок 3 Знак"/>
    <w:qFormat/>
    <w:rsid w:val="009b67fd"/>
    <w:rPr>
      <w:rFonts w:ascii="Arial" w:hAnsi="Arial" w:cs="Arial"/>
      <w:b/>
      <w:bCs/>
      <w:sz w:val="26"/>
      <w:szCs w:val="26"/>
      <w:lang w:val="ru-RU" w:eastAsia="ru-RU" w:bidi="ar-SA"/>
    </w:rPr>
  </w:style>
  <w:style w:type="character" w:styleId="ConsNonformat" w:customStyle="1">
    <w:name w:val="ConsNonformat Знак"/>
    <w:link w:val="ConsNonformat1"/>
    <w:qFormat/>
    <w:locked/>
    <w:rsid w:val="009b67fd"/>
    <w:rPr>
      <w:rFonts w:ascii="Courier New" w:hAnsi="Courier New" w:cs="Courier New"/>
      <w:lang w:val="ru-RU" w:eastAsia="ru-RU" w:bidi="ar-SA"/>
    </w:rPr>
  </w:style>
  <w:style w:type="character" w:styleId="Postbody1" w:customStyle="1">
    <w:name w:val="postbody1"/>
    <w:qFormat/>
    <w:rsid w:val="0097601f"/>
    <w:rPr>
      <w:sz w:val="12"/>
      <w:szCs w:val="12"/>
    </w:rPr>
  </w:style>
  <w:style w:type="character" w:styleId="ConsNormal" w:customStyle="1">
    <w:name w:val="ConsNormal Знак"/>
    <w:link w:val="ConsNormal1"/>
    <w:qFormat/>
    <w:rsid w:val="00f62d2a"/>
    <w:rPr>
      <w:rFonts w:ascii="Arial" w:hAnsi="Arial"/>
      <w:lang w:val="ru-RU" w:eastAsia="ru-RU" w:bidi="ar-SA"/>
    </w:rPr>
  </w:style>
  <w:style w:type="character" w:styleId="Apple-converted-space" w:customStyle="1">
    <w:name w:val="apple-converted-space"/>
    <w:basedOn w:val="DefaultParagraphFont"/>
    <w:qFormat/>
    <w:rsid w:val="00481ca9"/>
    <w:rPr/>
  </w:style>
  <w:style w:type="character" w:styleId="Emphasis">
    <w:name w:val="Emphasis"/>
    <w:qFormat/>
    <w:rsid w:val="00332834"/>
    <w:rPr>
      <w:rFonts w:cs="Times New Roman"/>
      <w:i/>
      <w:iCs/>
    </w:rPr>
  </w:style>
  <w:style w:type="character" w:styleId="Emailstyle18" w:customStyle="1">
    <w:name w:val="emailstyle18"/>
    <w:semiHidden/>
    <w:qFormat/>
    <w:rsid w:val="00d51767"/>
    <w:rPr>
      <w:rFonts w:ascii="Arial" w:hAnsi="Arial" w:cs="Arial"/>
      <w:color w:val="000080"/>
      <w:sz w:val="20"/>
      <w:szCs w:val="20"/>
    </w:rPr>
  </w:style>
  <w:style w:type="character" w:styleId="Style5" w:customStyle="1">
    <w:name w:val="Текст Знак"/>
    <w:link w:val="PlainText"/>
    <w:uiPriority w:val="99"/>
    <w:qFormat/>
    <w:rsid w:val="005c6561"/>
    <w:rPr>
      <w:rFonts w:ascii="Consolas" w:hAnsi="Consolas" w:eastAsia="Calibri"/>
      <w:sz w:val="21"/>
      <w:szCs w:val="21"/>
      <w:lang w:eastAsia="en-US"/>
    </w:rPr>
  </w:style>
  <w:style w:type="character" w:styleId="Js-phone-number" w:customStyle="1">
    <w:name w:val="js-phone-number"/>
    <w:basedOn w:val="DefaultParagraphFont"/>
    <w:qFormat/>
    <w:rsid w:val="007d097e"/>
    <w:rPr/>
  </w:style>
  <w:style w:type="character" w:styleId="Style6" w:customStyle="1">
    <w:name w:val="Верхний колонтитул Знак"/>
    <w:basedOn w:val="DefaultParagraphFont"/>
    <w:qFormat/>
    <w:rsid w:val="00033988"/>
    <w:rPr>
      <w:sz w:val="24"/>
    </w:rPr>
  </w:style>
  <w:style w:type="character" w:styleId="Style7" w:customStyle="1">
    <w:name w:val="Нижний колонтитул Знак"/>
    <w:basedOn w:val="DefaultParagraphFont"/>
    <w:uiPriority w:val="99"/>
    <w:qFormat/>
    <w:rsid w:val="00033988"/>
    <w:rPr>
      <w:sz w:val="24"/>
    </w:rPr>
  </w:style>
  <w:style w:type="character" w:styleId="1" w:customStyle="1">
    <w:name w:val="Неразрешенное упоминание1"/>
    <w:basedOn w:val="DefaultParagraphFont"/>
    <w:uiPriority w:val="99"/>
    <w:semiHidden/>
    <w:unhideWhenUsed/>
    <w:qFormat/>
    <w:rsid w:val="00e7471a"/>
    <w:rPr>
      <w:color w:val="605E5C"/>
      <w:shd w:fill="E1DFDD" w:val="clear"/>
    </w:rPr>
  </w:style>
  <w:style w:type="character" w:styleId="2" w:customStyle="1">
    <w:name w:val="Неразрешенное упоминание2"/>
    <w:basedOn w:val="DefaultParagraphFont"/>
    <w:uiPriority w:val="99"/>
    <w:semiHidden/>
    <w:unhideWhenUsed/>
    <w:qFormat/>
    <w:rsid w:val="003a619b"/>
    <w:rPr>
      <w:color w:val="605E5C"/>
      <w:shd w:fill="E1DFDD" w:val="clear"/>
    </w:rPr>
  </w:style>
  <w:style w:type="character" w:styleId="WW8Num4z0">
    <w:name w:val="WW8Num4z0"/>
    <w:qFormat/>
    <w:rPr>
      <w:rFonts w:cs="Times New Roman"/>
    </w:rPr>
  </w:style>
  <w:style w:type="character" w:styleId="WW8Num5z0">
    <w:name w:val="WW8Num5z0"/>
    <w:qFormat/>
    <w:rPr>
      <w:rFonts w:cs="Times New Roman"/>
    </w:rPr>
  </w:style>
  <w:style w:type="character" w:styleId="WW8Num2z0">
    <w:name w:val="WW8Num2z0"/>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5"/>
      <w:sz w:val="25"/>
      <w:szCs w:val="25"/>
      <w:u w:val="none"/>
      <w:vertAlign w:val="baseline"/>
      <w:lang w:val="ru-RU"/>
    </w:rPr>
  </w:style>
  <w:style w:type="character" w:styleId="WW8Num2z1">
    <w:name w:val="WW8Num2z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vertAlign w:val="baseline"/>
      <w:lang w:val="ru-RU"/>
    </w:rPr>
  </w:style>
  <w:style w:type="character" w:styleId="FollowedHyperlink">
    <w:name w:val="FollowedHyperlink"/>
    <w:rPr>
      <w:color w:val="800000"/>
      <w:u w:val="single"/>
    </w:rPr>
  </w:style>
  <w:style w:type="character" w:styleId="LineNumber">
    <w:name w:val="Line Number"/>
    <w:rPr/>
  </w:style>
  <w:style w:type="character" w:styleId="Style8">
    <w:name w:val="Символ нумерации"/>
    <w:qFormat/>
    <w:rPr/>
  </w:style>
  <w:style w:type="paragraph" w:styleId="Style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rsid w:val="00485bbb"/>
    <w:pPr>
      <w:jc w:val="center"/>
    </w:pPr>
    <w:rPr>
      <w:sz w:val="28"/>
    </w:rPr>
  </w:style>
  <w:style w:type="paragraph" w:styleId="List">
    <w:name w:val="List"/>
    <w:basedOn w:val="Normal"/>
    <w:rsid w:val="00047315"/>
    <w:pPr>
      <w:ind w:left="283" w:hanging="283"/>
    </w:pPr>
    <w:rPr/>
  </w:style>
  <w:style w:type="paragraph" w:styleId="Caption">
    <w:name w:val="Caption"/>
    <w:basedOn w:val="Normal"/>
    <w:qFormat/>
    <w:pPr>
      <w:suppressLineNumbers/>
      <w:spacing w:before="120" w:after="120"/>
    </w:pPr>
    <w:rPr>
      <w:i/>
      <w:iCs/>
      <w:sz w:val="24"/>
      <w:szCs w:val="24"/>
    </w:rPr>
  </w:style>
  <w:style w:type="paragraph" w:styleId="Style10">
    <w:name w:val="Указатель"/>
    <w:basedOn w:val="Normal"/>
    <w:qFormat/>
    <w:pPr>
      <w:suppressLineNumbers/>
    </w:pPr>
    <w:rPr/>
  </w:style>
  <w:style w:type="paragraph" w:styleId="ConsNormal1" w:customStyle="1">
    <w:name w:val="ConsNormal"/>
    <w:link w:val="ConsNormal"/>
    <w:qFormat/>
    <w:rsid w:val="00aa6e84"/>
    <w:pPr>
      <w:widowControl w:val="false"/>
      <w:suppressAutoHyphens w:val="true"/>
      <w:bidi w:val="0"/>
      <w:spacing w:before="0" w:after="0"/>
      <w:ind w:right="19772" w:firstLine="720"/>
      <w:jc w:val="left"/>
    </w:pPr>
    <w:rPr>
      <w:rFonts w:ascii="Arial" w:hAnsi="Arial" w:eastAsia="Times New Roman" w:cs="Times New Roman"/>
      <w:color w:val="auto"/>
      <w:kern w:val="0"/>
      <w:sz w:val="20"/>
      <w:szCs w:val="20"/>
      <w:lang w:val="ru-RU" w:eastAsia="ru-RU" w:bidi="ar-SA"/>
    </w:rPr>
  </w:style>
  <w:style w:type="paragraph" w:styleId="11" w:customStyle="1">
    <w:name w:val="Обычный1"/>
    <w:link w:val="Normal1"/>
    <w:qFormat/>
    <w:rsid w:val="00485bb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Indent">
    <w:name w:val="Body Text Indent"/>
    <w:basedOn w:val="Normal"/>
    <w:rsid w:val="001447c6"/>
    <w:pPr>
      <w:tabs>
        <w:tab w:val="clear" w:pos="708"/>
        <w:tab w:val="left" w:pos="0" w:leader="none"/>
      </w:tabs>
      <w:jc w:val="both"/>
    </w:pPr>
    <w:rPr>
      <w:sz w:val="28"/>
    </w:rPr>
  </w:style>
  <w:style w:type="paragraph" w:styleId="BalloonText">
    <w:name w:val="Balloon Text"/>
    <w:basedOn w:val="Normal"/>
    <w:semiHidden/>
    <w:qFormat/>
    <w:rsid w:val="008c0f3a"/>
    <w:pPr/>
    <w:rPr>
      <w:rFonts w:ascii="Tahoma" w:hAnsi="Tahoma" w:cs="Tahoma"/>
      <w:sz w:val="16"/>
      <w:szCs w:val="16"/>
    </w:rPr>
  </w:style>
  <w:style w:type="paragraph" w:styleId="ListNumber">
    <w:name w:val="List Number"/>
    <w:basedOn w:val="Normal"/>
    <w:qFormat/>
    <w:rsid w:val="00261047"/>
    <w:pPr>
      <w:numPr>
        <w:ilvl w:val="0"/>
        <w:numId w:val="1"/>
      </w:numPr>
    </w:pPr>
    <w:rPr>
      <w:sz w:val="20"/>
    </w:rPr>
  </w:style>
  <w:style w:type="paragraph" w:styleId="ListParagraph">
    <w:name w:val="List Paragraph"/>
    <w:basedOn w:val="Normal"/>
    <w:uiPriority w:val="34"/>
    <w:qFormat/>
    <w:rsid w:val="00261047"/>
    <w:pPr>
      <w:ind w:left="708" w:hanging="0"/>
    </w:pPr>
    <w:rPr>
      <w:sz w:val="20"/>
    </w:rPr>
  </w:style>
  <w:style w:type="paragraph" w:styleId="BodyText2">
    <w:name w:val="Body Text 2"/>
    <w:basedOn w:val="Normal"/>
    <w:qFormat/>
    <w:rsid w:val="009b67fd"/>
    <w:pPr>
      <w:spacing w:lineRule="auto" w:line="480" w:before="0" w:after="120"/>
    </w:pPr>
    <w:rPr/>
  </w:style>
  <w:style w:type="paragraph" w:styleId="BodyTextIndent2">
    <w:name w:val="Body Text Indent 2"/>
    <w:basedOn w:val="Normal"/>
    <w:qFormat/>
    <w:rsid w:val="009b67fd"/>
    <w:pPr>
      <w:spacing w:lineRule="auto" w:line="480" w:before="0" w:after="120"/>
      <w:ind w:left="283" w:hanging="0"/>
    </w:pPr>
    <w:rPr/>
  </w:style>
  <w:style w:type="paragraph" w:styleId="ConsNonformat1" w:customStyle="1">
    <w:name w:val="ConsNonformat"/>
    <w:link w:val="ConsNonformat"/>
    <w:qFormat/>
    <w:rsid w:val="009b67fd"/>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normal11" w:customStyle="1">
    <w:name w:val="consnormal1"/>
    <w:basedOn w:val="Normal"/>
    <w:qFormat/>
    <w:rsid w:val="00046ce1"/>
    <w:pPr>
      <w:ind w:right="19772" w:firstLine="720"/>
    </w:pPr>
    <w:rPr>
      <w:rFonts w:ascii="Arial" w:hAnsi="Arial" w:cs="Arial"/>
      <w:sz w:val="20"/>
    </w:rPr>
  </w:style>
  <w:style w:type="paragraph" w:styleId="ListContinue">
    <w:name w:val="List Continue"/>
    <w:basedOn w:val="Normal"/>
    <w:qFormat/>
    <w:rsid w:val="00047315"/>
    <w:pPr>
      <w:spacing w:before="0" w:after="120"/>
      <w:ind w:left="283" w:hanging="0"/>
    </w:pPr>
    <w:rPr/>
  </w:style>
  <w:style w:type="paragraph" w:styleId="Title">
    <w:name w:val="Title"/>
    <w:basedOn w:val="Normal"/>
    <w:qFormat/>
    <w:rsid w:val="00047315"/>
    <w:pPr>
      <w:jc w:val="center"/>
    </w:pPr>
    <w:rPr>
      <w:b/>
      <w:color w:val="FF0000"/>
      <w:sz w:val="32"/>
      <w:szCs w:val="32"/>
    </w:rPr>
  </w:style>
  <w:style w:type="paragraph" w:styleId="BodyTextIndent3">
    <w:name w:val="Body Text Indent 3"/>
    <w:basedOn w:val="Normal"/>
    <w:qFormat/>
    <w:rsid w:val="00047315"/>
    <w:pPr>
      <w:widowControl w:val="false"/>
      <w:spacing w:before="0" w:after="120"/>
      <w:ind w:left="283" w:hanging="0"/>
    </w:pPr>
    <w:rPr>
      <w:sz w:val="16"/>
      <w:szCs w:val="16"/>
    </w:rPr>
  </w:style>
  <w:style w:type="paragraph" w:styleId="Consnonformat11" w:customStyle="1">
    <w:name w:val="consnonformat1"/>
    <w:basedOn w:val="Normal"/>
    <w:qFormat/>
    <w:rsid w:val="00047315"/>
    <w:pPr>
      <w:ind w:right="19772" w:hanging="0"/>
    </w:pPr>
    <w:rPr>
      <w:rFonts w:ascii="Courier New" w:hAnsi="Courier New" w:cs="Courier New"/>
      <w:sz w:val="20"/>
    </w:rPr>
  </w:style>
  <w:style w:type="paragraph" w:styleId="ConsPlusNonformat" w:customStyle="1">
    <w:name w:val="ConsPlusNonformat"/>
    <w:qFormat/>
    <w:rsid w:val="00d54e58"/>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qFormat/>
    <w:rsid w:val="006b783f"/>
    <w:pPr>
      <w:spacing w:beforeAutospacing="1" w:after="119"/>
    </w:pPr>
    <w:rPr>
      <w:szCs w:val="24"/>
    </w:rPr>
  </w:style>
  <w:style w:type="paragraph" w:styleId="NoSpacing">
    <w:name w:val="No Spacing"/>
    <w:uiPriority w:val="1"/>
    <w:qFormat/>
    <w:rsid w:val="006a03ac"/>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PlainText">
    <w:name w:val="Plain Text"/>
    <w:basedOn w:val="Normal"/>
    <w:link w:val="Style5"/>
    <w:uiPriority w:val="99"/>
    <w:unhideWhenUsed/>
    <w:qFormat/>
    <w:rsid w:val="005c6561"/>
    <w:pPr>
      <w:ind w:firstLine="425"/>
      <w:jc w:val="both"/>
    </w:pPr>
    <w:rPr>
      <w:rFonts w:ascii="Consolas" w:hAnsi="Consolas" w:eastAsia="Calibri"/>
      <w:sz w:val="21"/>
      <w:szCs w:val="21"/>
      <w:lang w:eastAsia="en-US"/>
    </w:rPr>
  </w:style>
  <w:style w:type="paragraph" w:styleId="ConsPlusNormal" w:customStyle="1">
    <w:name w:val="ConsPlusNormal"/>
    <w:qFormat/>
    <w:rsid w:val="00d04f8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ar-SA" w:bidi="ar-SA"/>
    </w:rPr>
  </w:style>
  <w:style w:type="paragraph" w:styleId="LO-normal" w:customStyle="1">
    <w:name w:val="LO-normal"/>
    <w:qFormat/>
    <w:rsid w:val="008022cc"/>
    <w:pPr>
      <w:widowControl/>
      <w:suppressAutoHyphens w:val="true"/>
      <w:bidi w:val="0"/>
      <w:spacing w:lineRule="auto" w:line="276" w:before="0" w:after="0"/>
      <w:jc w:val="left"/>
    </w:pPr>
    <w:rPr>
      <w:rFonts w:ascii="Arial" w:hAnsi="Arial" w:eastAsia="Arial" w:cs="Arial"/>
      <w:color w:val="auto"/>
      <w:kern w:val="0"/>
      <w:sz w:val="22"/>
      <w:szCs w:val="22"/>
      <w:lang w:val="ru-RU" w:eastAsia="zh-CN" w:bidi="hi-IN"/>
    </w:rPr>
  </w:style>
  <w:style w:type="paragraph" w:styleId="Style11">
    <w:name w:val="Колонтитул"/>
    <w:basedOn w:val="Normal"/>
    <w:qFormat/>
    <w:pPr/>
    <w:rPr/>
  </w:style>
  <w:style w:type="paragraph" w:styleId="Header">
    <w:name w:val="Header"/>
    <w:basedOn w:val="Normal"/>
    <w:link w:val="Style6"/>
    <w:unhideWhenUsed/>
    <w:rsid w:val="00033988"/>
    <w:pPr>
      <w:tabs>
        <w:tab w:val="clear" w:pos="708"/>
        <w:tab w:val="center" w:pos="4677" w:leader="none"/>
        <w:tab w:val="right" w:pos="9355" w:leader="none"/>
      </w:tabs>
    </w:pPr>
    <w:rPr/>
  </w:style>
  <w:style w:type="paragraph" w:styleId="Footer">
    <w:name w:val="Footer"/>
    <w:basedOn w:val="Normal"/>
    <w:link w:val="Style7"/>
    <w:uiPriority w:val="99"/>
    <w:unhideWhenUsed/>
    <w:rsid w:val="00033988"/>
    <w:pPr>
      <w:tabs>
        <w:tab w:val="clear" w:pos="708"/>
        <w:tab w:val="center" w:pos="4677" w:leader="none"/>
        <w:tab w:val="right" w:pos="9355" w:leader="none"/>
      </w:tabs>
    </w:pPr>
    <w:rPr/>
  </w:style>
  <w:style w:type="paragraph" w:styleId="Revision">
    <w:name w:val="Revision"/>
    <w:uiPriority w:val="99"/>
    <w:semiHidden/>
    <w:qFormat/>
    <w:rsid w:val="00c31b06"/>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12" w:customStyle="1">
    <w:name w:val="Список маркированный"/>
    <w:basedOn w:val="Normal"/>
    <w:qFormat/>
    <w:rsid w:val="00f91786"/>
    <w:pPr>
      <w:numPr>
        <w:ilvl w:val="0"/>
        <w:numId w:val="3"/>
      </w:numPr>
      <w:jc w:val="both"/>
    </w:pPr>
    <w:rPr>
      <w:rFonts w:eastAsia="Calibri" w:cs="" w:cstheme="minorBidi" w:eastAsiaTheme="minorHAnsi"/>
      <w:szCs w:val="22"/>
      <w:lang w:eastAsia="en-US"/>
    </w:rPr>
  </w:style>
  <w:style w:type="paragraph" w:styleId="12" w:customStyle="1">
    <w:name w:val="Договор 1 уровень"/>
    <w:basedOn w:val="Normal"/>
    <w:next w:val="Normal"/>
    <w:qFormat/>
    <w:rsid w:val="00e31b52"/>
    <w:pPr>
      <w:keepNext w:val="true"/>
      <w:keepLines/>
      <w:numPr>
        <w:ilvl w:val="0"/>
        <w:numId w:val="4"/>
      </w:numPr>
      <w:spacing w:before="240" w:after="120"/>
      <w:jc w:val="center"/>
    </w:pPr>
    <w:rPr>
      <w:rFonts w:eastAsia="Calibri" w:cs="" w:cstheme="minorBidi" w:eastAsiaTheme="minorHAnsi"/>
      <w:b/>
      <w:caps/>
      <w:szCs w:val="22"/>
      <w:lang w:eastAsia="en-US"/>
    </w:rPr>
  </w:style>
  <w:style w:type="paragraph" w:styleId="21" w:customStyle="1">
    <w:name w:val="Договор 2 уровень"/>
    <w:basedOn w:val="Normal"/>
    <w:qFormat/>
    <w:rsid w:val="00e31b52"/>
    <w:pPr>
      <w:numPr>
        <w:ilvl w:val="1"/>
        <w:numId w:val="4"/>
      </w:numPr>
      <w:jc w:val="both"/>
    </w:pPr>
    <w:rPr>
      <w:rFonts w:eastAsia="Calibri" w:cs="" w:cstheme="minorBidi" w:eastAsiaTheme="minorHAnsi"/>
      <w:szCs w:val="22"/>
      <w:lang w:eastAsia="en-US"/>
    </w:rPr>
  </w:style>
  <w:style w:type="paragraph" w:styleId="31" w:customStyle="1">
    <w:name w:val="Договор 3 уровень"/>
    <w:basedOn w:val="Normal"/>
    <w:qFormat/>
    <w:rsid w:val="00e31b52"/>
    <w:pPr>
      <w:numPr>
        <w:ilvl w:val="2"/>
        <w:numId w:val="4"/>
      </w:numPr>
      <w:jc w:val="both"/>
    </w:pPr>
    <w:rPr>
      <w:rFonts w:eastAsia="Calibri" w:cs="" w:cstheme="minorBidi" w:eastAsiaTheme="minorHAnsi"/>
      <w:szCs w:val="22"/>
      <w:lang w:eastAsia="en-US"/>
    </w:rPr>
  </w:style>
  <w:style w:type="paragraph" w:styleId="Style13" w:customStyle="1">
    <w:name w:val="Список абв"/>
    <w:basedOn w:val="ListParagraph"/>
    <w:qFormat/>
    <w:rsid w:val="00873d54"/>
    <w:pPr>
      <w:numPr>
        <w:ilvl w:val="0"/>
        <w:numId w:val="5"/>
      </w:numPr>
      <w:spacing w:before="0" w:after="0"/>
      <w:contextualSpacing/>
      <w:jc w:val="both"/>
    </w:pPr>
    <w:rPr>
      <w:sz w:val="24"/>
      <w:szCs w:val="24"/>
    </w:rPr>
  </w:style>
  <w:style w:type="paragraph" w:styleId="Style14">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zh-CN" w:bidi="ar-SA"/>
    </w:rPr>
  </w:style>
  <w:style w:type="paragraph" w:styleId="Style15">
    <w:name w:val="Содержимое таблицы"/>
    <w:basedOn w:val="Normal"/>
    <w:qFormat/>
    <w:pPr>
      <w:widowControl w:val="false"/>
      <w:suppressLineNumbers/>
    </w:pPr>
    <w:rPr/>
  </w:style>
  <w:style w:type="paragraph" w:styleId="Style16">
    <w:name w:val="Заголовок таблицы"/>
    <w:basedOn w:val="Style15"/>
    <w:qFormat/>
    <w:pPr>
      <w:suppressLineNumbers/>
      <w:jc w:val="center"/>
    </w:pPr>
    <w:rPr>
      <w:b/>
      <w:bCs/>
    </w:rPr>
  </w:style>
  <w:style w:type="paragraph" w:styleId="Style17">
    <w:name w:val="Абзац списка"/>
    <w:basedOn w:val="Normal"/>
    <w:qFormat/>
    <w:pPr>
      <w:ind w:left="708" w:right="0" w:hanging="0"/>
    </w:pPr>
    <w:rPr>
      <w:sz w:val="20"/>
    </w:rPr>
  </w:style>
  <w:style w:type="paragraph" w:styleId="4">
    <w:name w:val="Основной текст4"/>
    <w:basedOn w:val="Normal"/>
    <w:qFormat/>
    <w:pPr>
      <w:shd w:val="clear" w:fill="FFFFFF"/>
      <w:spacing w:lineRule="exact" w:line="360" w:before="0" w:after="300"/>
      <w:jc w:val="both"/>
    </w:pPr>
    <w:rPr>
      <w:sz w:val="25"/>
      <w:szCs w:val="25"/>
    </w:rPr>
  </w:style>
  <w:style w:type="numbering" w:styleId="NoList" w:default="1">
    <w:name w:val="No List"/>
    <w:uiPriority w:val="99"/>
    <w:semiHidden/>
    <w:unhideWhenUsed/>
    <w:qFormat/>
  </w:style>
  <w:style w:type="numbering" w:styleId="WW8Num4">
    <w:name w:val="WW8Num4"/>
    <w:qFormat/>
  </w:style>
  <w:style w:type="numbering" w:styleId="WW8Num5">
    <w:name w:val="WW8Num5"/>
    <w:qFormat/>
  </w:style>
  <w:style w:type="numbering" w:styleId="WW8Num2">
    <w:name w:val="WW8Num2"/>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a">
    <w:name w:val="Table Grid"/>
    <w:basedOn w:val="a4"/>
    <w:rsid w:val="00421e2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B8A73705DE1DFDD6A8E9D31D8B72272CF74DAE23D774C8E7F4706DBAC5FCx6U" TargetMode="External"/><Relationship Id="rId3" Type="http://schemas.openxmlformats.org/officeDocument/2006/relationships/hyperlink" Target="mailto:Gordeychuk_NP@khab.drsk.ru"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8D681-864F-4B0B-9A27-F27FB4E92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Application>AlterOffice/3.4.0.6$Linux_X86_64 LibreOffice_project/ad8c41dce69105450bf791d4900d64b1f82e10d0</Application>
  <AppVersion>15.0000</AppVersion>
  <Pages>14</Pages>
  <Words>4762</Words>
  <Characters>33285</Characters>
  <CharactersWithSpaces>38368</CharactersWithSpaces>
  <Paragraphs>464</Paragraphs>
  <Company>customs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2023-09-10T22:51:00Z</dcterms:created>
  <dc:creator>oto-kvo</dc:creator>
  <dc:description/>
  <dc:language>ru-RU</dc:language>
  <cp:lastModifiedBy>demchuk_ig</cp:lastModifiedBy>
  <dcterms:modified xsi:type="dcterms:W3CDTF">2026-04-21T16:58:10Z</dcterms:modified>
  <cp:revision>55</cp:revision>
  <dc:subject/>
  <dc:title/>
</cp:coreProperties>
</file>

<file path=docProps/custom.xml><?xml version="1.0" encoding="utf-8"?>
<Properties xmlns="http://schemas.openxmlformats.org/officeDocument/2006/custom-properties" xmlns:vt="http://schemas.openxmlformats.org/officeDocument/2006/docPropsVTypes"/>
</file>