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«ОКПД2 26.51.65.000 Поставка коммутаторов, панелей операторов и преобразователей для управления коммутационными аппаратами КРУЭ и САУ ГА Зеленчукской ГЭС-ГАЭС (аварийный запас)»</w:t>
      </w:r>
    </w:p>
    <w:p>
      <w:pPr>
        <w:pStyle w:val="Normal"/>
        <w:jc w:val="center"/>
        <w:rPr/>
      </w:pPr>
      <w:r>
        <w:rPr/>
      </w:r>
    </w:p>
    <w:p>
      <w:pPr>
        <w:pStyle w:val="Normal"/>
        <w:suppressAutoHyphens w:val="false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для нужд Филиала ПАО «РусГидро» – «Карачаево-Черкесский Филиал»</w:t>
      </w:r>
    </w:p>
    <w:p>
      <w:pPr>
        <w:pStyle w:val="Normal"/>
        <w:suppressAutoHyphens w:val="false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(аварийный запас)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Лот 2-АЗ-2026-КЧФ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9441038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_Toc194410386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87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88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Наименование закупаемого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_Toc194410388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89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использования закупаем</w:t>
            </w:r>
            <w:r>
              <w:rPr>
                <w:rStyle w:val="Style14"/>
                <w:lang w:val="en-US"/>
              </w:rPr>
              <w:t>о</w:t>
            </w:r>
            <w:r>
              <w:rPr>
                <w:rStyle w:val="Style14"/>
              </w:rPr>
              <w:t xml:space="preserve">го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90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91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41039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Требования к </w:t>
            </w:r>
            <w:r>
              <w:rPr>
                <w:rStyle w:val="Style14"/>
                <w:lang w:val="en-US"/>
              </w:rPr>
              <w:t>товару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9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9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Перечень и объем закупаемого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41039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1.1 Перечень и объем закупаемого товара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9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товара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41039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2.1 Требования по срокам поставки товара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39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 xml:space="preserve">Требования к качеству </w:t>
            </w:r>
            <w:r>
              <w:rPr>
                <w:rStyle w:val="Style14"/>
                <w:lang w:val="en-US"/>
              </w:rPr>
              <w:t>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410399">
            <w:r>
              <w:rPr>
                <w:webHidden/>
                <w:rStyle w:val="Style14"/>
                <w:vanish w:val="false"/>
              </w:rPr>
              <w:t xml:space="preserve">Таблица 3. Требования к </w:t>
            </w:r>
            <w:r>
              <w:rPr>
                <w:rStyle w:val="Style14"/>
                <w:lang w:val="en-US"/>
              </w:rPr>
              <w:t>товару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_Toc194410399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4410400">
            <w:r>
              <w:rPr>
                <w:webHidden/>
                <w:rStyle w:val="Style14"/>
                <w:i/>
                <w:iCs/>
                <w:vanish w:val="false"/>
                <w:lang w:val="en-US"/>
              </w:rPr>
              <w:t>-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_Toc194410400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410401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_Toc194410401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41040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_Toc194410402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4. Требования к документации по ценообразованию на этапе заключения (исполнения) договора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627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4410403">
            <w:r>
              <w:rPr>
                <w:webHidden/>
                <w:rStyle w:val="Style14"/>
                <w:iCs/>
                <w:vanish w:val="false"/>
              </w:rPr>
              <w:t>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_Toc194410403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627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20"/>
          <w:tab w:val="left" w:pos="560" w:leader="none"/>
          <w:tab w:val="right" w:pos="9627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tabs>
          <w:tab w:val="clear" w:pos="720"/>
          <w:tab w:val="right" w:pos="9921" w:leader="dot"/>
        </w:tabs>
        <w:spacing w:before="0" w:after="12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8"/>
        </w:numPr>
        <w:spacing w:before="0" w:after="0"/>
        <w:ind w:left="0" w:hanging="0"/>
        <w:jc w:val="center"/>
        <w:rPr>
          <w:caps/>
        </w:rPr>
      </w:pPr>
      <w:bookmarkStart w:id="0" w:name="_Toc51339692"/>
      <w:bookmarkStart w:id="1" w:name="_Toc194410386"/>
      <w:bookmarkStart w:id="2" w:name="_Toc75446566"/>
      <w:r>
        <w:rPr/>
        <w:t>Общие сведения</w:t>
      </w:r>
      <w:bookmarkEnd w:id="0"/>
      <w:bookmarkEnd w:id="1"/>
      <w:bookmarkEnd w:id="2"/>
    </w:p>
    <w:p>
      <w:pPr>
        <w:pStyle w:val="Normal"/>
        <w:jc w:val="center"/>
        <w:rPr>
          <w:caps/>
        </w:rPr>
      </w:pPr>
      <w:r>
        <w:rPr>
          <w:caps/>
        </w:rPr>
      </w:r>
    </w:p>
    <w:p>
      <w:pPr>
        <w:pStyle w:val="Heading4"/>
        <w:numPr>
          <w:ilvl w:val="1"/>
          <w:numId w:val="3"/>
        </w:numPr>
        <w:spacing w:before="0" w:after="0"/>
        <w:rPr>
          <w:vanish/>
        </w:rPr>
      </w:pPr>
      <w:bookmarkStart w:id="3" w:name="__RefHeading___Toc1439162_3604399662"/>
      <w:bookmarkStart w:id="4" w:name="_Toc194410387"/>
      <w:bookmarkEnd w:id="3"/>
      <w:r>
        <w:rPr/>
        <w:t>Обозначения и сокращения</w:t>
      </w:r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bCs/>
                <w:color w:val="1A1A1A"/>
                <w:sz w:val="22"/>
                <w:szCs w:val="22"/>
              </w:rPr>
              <w:t>САУ ГА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2"/>
                <w:szCs w:val="22"/>
              </w:rPr>
            </w:pPr>
            <w:hyperlink r:id="rId2" w:tgtFrame="_blank">
              <w:r>
                <w:rPr>
                  <w:bCs/>
                  <w:color w:val="1A1A1A"/>
                  <w:sz w:val="22"/>
                  <w:szCs w:val="22"/>
                </w:rPr>
                <w:t>Система автоматического управления гидроагрегатом</w:t>
              </w:r>
            </w:hyperlink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FFFFFF" w:val="clear"/>
              </w:rPr>
              <w:t>ЗИП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FFFFFF" w:val="clear"/>
              </w:rPr>
              <w:t>Комплект запасных частей, инструментов и принадлежностей</w:t>
            </w:r>
          </w:p>
        </w:tc>
      </w:tr>
    </w:tbl>
    <w:p>
      <w:pPr>
        <w:pStyle w:val="Heading4"/>
        <w:spacing w:before="0" w:after="0"/>
        <w:ind w:left="432" w:hanging="0"/>
        <w:rPr/>
      </w:pPr>
      <w:r>
        <w:rPr/>
      </w:r>
    </w:p>
    <w:p>
      <w:pPr>
        <w:pStyle w:val="Heading4"/>
        <w:numPr>
          <w:ilvl w:val="1"/>
          <w:numId w:val="3"/>
        </w:numPr>
        <w:rPr/>
      </w:pPr>
      <w:bookmarkStart w:id="5" w:name="_Toc194410388"/>
      <w:bookmarkStart w:id="6" w:name="_Toc46743506"/>
      <w:bookmarkStart w:id="7" w:name="_Toc75446568"/>
      <w:r>
        <w:rPr/>
        <w:t xml:space="preserve">Наименование закупаемого </w:t>
      </w:r>
      <w:bookmarkEnd w:id="6"/>
      <w:bookmarkEnd w:id="7"/>
      <w:r>
        <w:rPr>
          <w:lang w:val="en-US"/>
        </w:rPr>
        <w:t>товара</w:t>
      </w:r>
      <w:bookmarkEnd w:id="5"/>
    </w:p>
    <w:p>
      <w:pPr>
        <w:pStyle w:val="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ОКПД2 26.51.65.000 Поставка коммутаторов, панелей операторов и преобразователей для управления коммутационными аппаратами КРУЭ и САУ ГА Зеленчукской ГЭС-ГАЭС (аварийный запас).</w:t>
      </w:r>
    </w:p>
    <w:p>
      <w:pPr>
        <w:pStyle w:val="Normal"/>
        <w:suppressAutoHyphens w:val="false"/>
        <w:jc w:val="both"/>
        <w:rPr>
          <w:bCs/>
          <w:sz w:val="24"/>
          <w:szCs w:val="24"/>
          <w:shd w:fill="00FFF5" w:val="clear"/>
        </w:rPr>
      </w:pPr>
      <w:r>
        <w:rPr>
          <w:bCs/>
          <w:sz w:val="24"/>
          <w:szCs w:val="24"/>
          <w:shd w:fill="00FFF5" w:val="clear"/>
        </w:rPr>
      </w:r>
    </w:p>
    <w:p>
      <w:pPr>
        <w:pStyle w:val="Heading4"/>
        <w:numPr>
          <w:ilvl w:val="1"/>
          <w:numId w:val="3"/>
        </w:numPr>
        <w:spacing w:before="0" w:after="0"/>
        <w:ind w:left="0" w:hanging="0"/>
        <w:jc w:val="both"/>
        <w:rPr/>
      </w:pPr>
      <w:bookmarkStart w:id="8" w:name="__RefHeading___Toc1955_902007666"/>
      <w:bookmarkStart w:id="9" w:name="_Toc75446569"/>
      <w:bookmarkStart w:id="10" w:name="_Toc194410389"/>
      <w:bookmarkStart w:id="11" w:name="_Toc46743507"/>
      <w:bookmarkEnd w:id="8"/>
      <w:r>
        <w:rPr/>
        <w:t xml:space="preserve">Цель </w:t>
      </w:r>
      <w:bookmarkEnd w:id="11"/>
      <w:r>
        <w:rPr>
          <w:lang w:val="ru-RU"/>
        </w:rPr>
        <w:t>использования закупаем</w:t>
      </w:r>
      <w:r>
        <w:rPr>
          <w:lang w:val="en-US"/>
        </w:rPr>
        <w:t>о</w:t>
      </w:r>
      <w:r>
        <w:rPr>
          <w:lang w:val="ru-RU"/>
        </w:rPr>
        <w:t xml:space="preserve">го </w:t>
      </w:r>
      <w:r>
        <w:rPr>
          <w:lang w:val="en-US"/>
        </w:rPr>
        <w:t>товара</w:t>
      </w:r>
      <w:bookmarkEnd w:id="10"/>
      <w:r>
        <w:rPr>
          <w:lang w:val="ru-RU"/>
        </w:rPr>
        <w:t xml:space="preserve"> </w:t>
      </w:r>
      <w:bookmarkEnd w:id="9"/>
      <w:r>
        <w:rPr>
          <w:lang w:val="ru-RU"/>
        </w:rPr>
        <w:t xml:space="preserve"> </w:t>
      </w:r>
    </w:p>
    <w:p>
      <w:pPr>
        <w:pStyle w:val="Normal"/>
        <w:ind w:firstLine="680"/>
        <w:jc w:val="both"/>
        <w:rPr/>
      </w:pPr>
      <w:r>
        <w:rPr>
          <w:sz w:val="24"/>
          <w:szCs w:val="24"/>
        </w:rPr>
        <w:t>Поставка устройств САУ ГА в аварийный запас необходима в качестве ЗИП для обеспечения системы запасными частями и приспособлениями, необходимыми при аварийных ситуациях и внепланового технического обслуживания систем автоматизированного управления гидроагрегатами Г1, Г2, Г3, Г4 Зеленчукской ГЭС-ГАЭС. Согласно документа «Типовые технические требования ПАО «РусГидро» для систем автоматического управления гидроагрегатами» (Разработан в соответствии с Межгосударственным стандартом ГОСТ 34.602-2020) время восстановления работоспособности контроллера и модулей САУ ГА – не более 4 часов с учетом времени выявления неисправности (при наличии ЗИП).</w:t>
      </w:r>
    </w:p>
    <w:p>
      <w:pPr>
        <w:pStyle w:val="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jc w:val="both"/>
        <w:rPr/>
      </w:pPr>
      <w:bookmarkStart w:id="12" w:name="__RefHeading___Toc1439172_3604399662"/>
      <w:bookmarkStart w:id="13" w:name="_Toc46743508"/>
      <w:bookmarkStart w:id="14" w:name="_Toc75446570"/>
      <w:bookmarkStart w:id="15" w:name="_Toc194410390"/>
      <w:bookmarkEnd w:id="12"/>
      <w:r>
        <w:rPr/>
        <w:t>Существующее положение</w:t>
      </w:r>
      <w:bookmarkEnd w:id="13"/>
      <w:bookmarkEnd w:id="14"/>
      <w:bookmarkEnd w:id="15"/>
      <w:r>
        <w:rPr>
          <w:lang w:val="ru-RU"/>
        </w:rPr>
        <w:t xml:space="preserve"> </w:t>
      </w:r>
    </w:p>
    <w:p>
      <w:pPr>
        <w:pStyle w:val="Normal"/>
        <w:jc w:val="both"/>
        <w:rPr/>
      </w:pPr>
      <w:r>
        <w:rPr>
          <w:sz w:val="24"/>
          <w:szCs w:val="24"/>
        </w:rPr>
        <w:tab/>
        <w:t>Зеленчукская ГЭС-ГАЭС. Необходимость укомплектования в качестве аварийного запаса устройств САУ ГА.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  <w:bookmarkStart w:id="16" w:name="__RefHeading___Toc1439176_3604399662"/>
      <w:bookmarkStart w:id="17" w:name="__RefHeading___Toc1439176_3604399662"/>
      <w:bookmarkEnd w:id="17"/>
    </w:p>
    <w:p>
      <w:pPr>
        <w:pStyle w:val="Heading1"/>
        <w:numPr>
          <w:ilvl w:val="0"/>
          <w:numId w:val="3"/>
        </w:numPr>
        <w:tabs>
          <w:tab w:val="clear" w:pos="0"/>
        </w:tabs>
        <w:spacing w:before="0" w:after="0"/>
        <w:ind w:left="0" w:firstLine="426"/>
        <w:rPr/>
      </w:pPr>
      <w:bookmarkStart w:id="18" w:name="__RefHeading___Toc1439182_3604399662"/>
      <w:bookmarkEnd w:id="18"/>
      <w:r>
        <w:rPr/>
        <w:t xml:space="preserve"> </w:t>
      </w:r>
      <w:bookmarkStart w:id="19" w:name="_Toc194410392"/>
      <w:bookmarkStart w:id="20" w:name="_Toc51339693"/>
      <w:bookmarkStart w:id="21" w:name="_Toc75446573"/>
      <w:r>
        <w:rPr>
          <w:sz w:val="24"/>
        </w:rPr>
        <w:t xml:space="preserve">Требования к </w:t>
      </w:r>
      <w:bookmarkEnd w:id="20"/>
      <w:bookmarkEnd w:id="21"/>
      <w:r>
        <w:rPr>
          <w:sz w:val="24"/>
          <w:lang w:val="en-US"/>
        </w:rPr>
        <w:t>товару</w:t>
      </w:r>
      <w:bookmarkEnd w:id="19"/>
    </w:p>
    <w:p>
      <w:pPr>
        <w:pStyle w:val="Heading4"/>
        <w:numPr>
          <w:ilvl w:val="1"/>
          <w:numId w:val="3"/>
        </w:numPr>
        <w:spacing w:before="0" w:after="0"/>
        <w:rPr/>
      </w:pPr>
      <w:bookmarkStart w:id="22" w:name="__RefHeading___Toc1439184_3604399662"/>
      <w:bookmarkStart w:id="23" w:name="_Toc75446574"/>
      <w:bookmarkStart w:id="24" w:name="_Toc194410393"/>
      <w:bookmarkEnd w:id="22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3"/>
      <w:bookmarkEnd w:id="24"/>
    </w:p>
    <w:p>
      <w:pPr>
        <w:pStyle w:val="Normal"/>
        <w:jc w:val="both"/>
        <w:rPr>
          <w:sz w:val="24"/>
          <w:szCs w:val="24"/>
        </w:rPr>
      </w:pPr>
      <w:r>
        <w:rPr/>
        <w:t xml:space="preserve"> </w:t>
      </w:r>
      <w:r>
        <w:rPr/>
        <w:tab/>
      </w:r>
      <w:r>
        <w:rPr>
          <w:sz w:val="24"/>
          <w:szCs w:val="24"/>
        </w:rPr>
        <w:t>Поставка эквивалента недопустима в связи с тем, что закупаемый товар будет использоваться во взаимодействии с товарами, уже использующимися заказчиком (в соответствии с конструкторской документацией, технической эксплуатационной документацией данные товары несовместимы с товарами, на которых используются иные товарные знаки, или с товарами, произведенными иными производителями</w:t>
      </w:r>
    </w:p>
    <w:p>
      <w:pPr>
        <w:pStyle w:val="Normal"/>
        <w:rPr/>
      </w:pPr>
      <w:r>
        <w:rPr/>
      </w:r>
    </w:p>
    <w:p>
      <w:pPr>
        <w:pStyle w:val="Heading3"/>
        <w:numPr>
          <w:ilvl w:val="2"/>
          <w:numId w:val="3"/>
        </w:numPr>
        <w:spacing w:before="0" w:after="0"/>
        <w:rPr/>
      </w:pPr>
      <w:bookmarkStart w:id="25" w:name="__RefHeading___Toc1439186_3604399662"/>
      <w:bookmarkStart w:id="26" w:name="_Toc194410394"/>
      <w:bookmarkStart w:id="27" w:name="_Toc75446575"/>
      <w:bookmarkEnd w:id="25"/>
      <w:r>
        <w:rPr>
          <w:lang w:val="ru-RU"/>
        </w:rPr>
        <w:t xml:space="preserve">Перечень и объем закупаемого </w:t>
      </w:r>
      <w:bookmarkEnd w:id="27"/>
      <w:r>
        <w:rPr>
          <w:lang w:val="ru-RU"/>
        </w:rPr>
        <w:t>товара</w:t>
      </w:r>
      <w:bookmarkEnd w:id="26"/>
      <w:r>
        <w:rPr>
          <w:lang w:val="ru-RU"/>
        </w:rPr>
        <w:t>.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28" w:name="__RefHeading___Toc1439188_3604399662"/>
      <w:bookmarkStart w:id="29" w:name="_Toc194410395"/>
      <w:bookmarkStart w:id="30" w:name="_Toc75446576"/>
      <w:bookmarkStart w:id="31" w:name="_Toc51339695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1"/>
      <w:r>
        <w:rPr>
          <w:sz w:val="24"/>
          <w:szCs w:val="24"/>
          <w:lang w:val="ru-RU"/>
        </w:rPr>
        <w:t xml:space="preserve">и объем закупаемого </w:t>
      </w:r>
      <w:bookmarkEnd w:id="30"/>
      <w:r>
        <w:rPr>
          <w:sz w:val="24"/>
          <w:szCs w:val="24"/>
          <w:lang w:val="ru-RU"/>
        </w:rPr>
        <w:t>товара</w:t>
      </w:r>
      <w:bookmarkEnd w:id="29"/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396"/>
        <w:gridCol w:w="2461"/>
        <w:gridCol w:w="2033"/>
        <w:gridCol w:w="1470"/>
        <w:gridCol w:w="1227"/>
        <w:gridCol w:w="1223"/>
        <w:gridCol w:w="826"/>
      </w:tblGrid>
      <w:tr>
        <w:trPr/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марка, артикул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Законодательство о национальном режиме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Коммутатор управляемый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Scalance X212-2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text"/>
              <w:widowControl w:val="false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 режим преимущества российской продукции (или ее части).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ввода/вывода АВВ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PC D230 3BHE022291R0101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Панель оператора сенсорная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TPC1570H-C1A-0001E-T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Панель оператора сенсорная (800х480) 64 Mb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Weintek MT8070iH 7</w:t>
            </w:r>
            <w:r>
              <w:rPr>
                <w:rFonts w:eastAsia="Calibri"/>
                <w:sz w:val="24"/>
                <w:szCs w:val="24"/>
              </w:rPr>
              <w:t>ʺ</w:t>
            </w:r>
            <w:r>
              <w:rPr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ʺ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Устройства плавного пуска АВВ 90 кВт 170 А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PSE170-600-70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аналогового вывода Regul R200 AO 02 011 0/4...20 мА 2 канала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Regul R200 AO 02 011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Преобразователь частоты тока Schneider Elektric Altivar Process 50 380 B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ATV900 ATV930D7 5N4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39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Преобразователь частоты тока Schneider Elektric Altivar Process 50 380 B</w:t>
            </w:r>
          </w:p>
        </w:tc>
        <w:tc>
          <w:tcPr>
            <w:tcW w:w="20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ATV900 ATV930D1 1N4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26.51.65.000</w:t>
            </w:r>
          </w:p>
        </w:tc>
        <w:tc>
          <w:tcPr>
            <w:tcW w:w="122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2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rPr/>
      </w:pPr>
      <w:bookmarkStart w:id="32" w:name="__RefHeading___Toc1439190_3604399662"/>
      <w:bookmarkStart w:id="33" w:name="_Toc75446578"/>
      <w:bookmarkStart w:id="34" w:name="_Toc194410396"/>
      <w:bookmarkStart w:id="35" w:name="_Toc51339696"/>
      <w:bookmarkEnd w:id="32"/>
      <w:r>
        <w:rPr>
          <w:lang w:val="ru-RU"/>
        </w:rPr>
        <w:t xml:space="preserve">Требования </w:t>
      </w:r>
      <w:bookmarkEnd w:id="35"/>
      <w:r>
        <w:rPr>
          <w:lang w:val="ru-RU"/>
        </w:rPr>
        <w:t>к срокам поставки товара</w:t>
      </w:r>
      <w:bookmarkEnd w:id="34"/>
      <w:r>
        <w:rPr>
          <w:lang w:val="ru-RU"/>
        </w:rPr>
        <w:t xml:space="preserve"> </w:t>
      </w:r>
      <w:bookmarkEnd w:id="3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lang w:val="ru-RU"/>
        </w:rPr>
      </w:pPr>
      <w:bookmarkStart w:id="36" w:name="__RefHeading___Toc1439192_3604399662"/>
      <w:bookmarkStart w:id="37" w:name="_Toc194410397"/>
      <w:bookmarkStart w:id="38" w:name="_Toc75446579"/>
      <w:bookmarkStart w:id="39" w:name="_Toc50125127"/>
      <w:bookmarkStart w:id="40" w:name="_Toc51339697"/>
      <w:bookmarkStart w:id="41" w:name="_Toc501251261"/>
      <w:bookmarkEnd w:id="36"/>
      <w:bookmarkEnd w:id="4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42" w:name="_Hlk50465284"/>
      <w:r>
        <w:rPr>
          <w:sz w:val="24"/>
          <w:szCs w:val="24"/>
        </w:rPr>
        <w:t xml:space="preserve">Требования по срокам </w:t>
      </w:r>
      <w:bookmarkEnd w:id="39"/>
      <w:bookmarkEnd w:id="40"/>
      <w:bookmarkEnd w:id="42"/>
      <w:r>
        <w:rPr>
          <w:sz w:val="24"/>
          <w:szCs w:val="24"/>
          <w:lang w:val="ru-RU"/>
        </w:rPr>
        <w:t xml:space="preserve">поставки </w:t>
      </w:r>
      <w:bookmarkEnd w:id="38"/>
      <w:r>
        <w:rPr>
          <w:sz w:val="24"/>
          <w:szCs w:val="24"/>
          <w:lang w:val="ru-RU"/>
        </w:rPr>
        <w:t>товара</w:t>
      </w:r>
      <w:bookmarkEnd w:id="37"/>
    </w:p>
    <w:tbl>
      <w:tblPr>
        <w:tblW w:w="10059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14"/>
        <w:gridCol w:w="3969"/>
        <w:gridCol w:w="2695"/>
        <w:gridCol w:w="2680"/>
      </w:tblGrid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4"/>
              </w:rPr>
              <w:t xml:space="preserve">№ </w:t>
            </w:r>
            <w:r>
              <w:rPr>
                <w:b/>
                <w:sz w:val="22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b/>
                <w:sz w:val="22"/>
                <w:szCs w:val="24"/>
              </w:rPr>
              <w:t xml:space="preserve">Наименование </w:t>
            </w:r>
            <w:r>
              <w:rPr>
                <w:b/>
                <w:sz w:val="22"/>
                <w:szCs w:val="24"/>
                <w:lang w:val="en-US"/>
              </w:rPr>
              <w:t>товара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4"/>
              </w:rPr>
              <w:t>Требования к началу срока поставки товара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4"/>
              </w:rPr>
              <w:t>Требования к окончанию срока поставки товара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2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6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eastAsia="Times New Roman"/>
                <w:sz w:val="22"/>
                <w:szCs w:val="28"/>
              </w:rPr>
            </w:pPr>
            <w:r>
              <w:rPr>
                <w:rFonts w:eastAsia="Times New Roman"/>
                <w:sz w:val="22"/>
                <w:szCs w:val="28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Поставка коммутаторов, панелей операторов и преобразователей для управления коммутационными аппаратами КРУЭ и САУ ГА Зеленчукской ГЭС-ГАЭС (аварийный запас).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20"/>
                <w:tab w:val="left" w:pos="851" w:leader="none"/>
              </w:tabs>
              <w:spacing w:lineRule="atLeast" w:line="311" w:before="0" w:after="12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С даты заключения договора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20"/>
                <w:tab w:val="left" w:pos="851" w:leader="none"/>
              </w:tabs>
              <w:spacing w:lineRule="atLeast" w:line="311" w:before="0" w:after="120"/>
              <w:jc w:val="center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21.12.2026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footerReference w:type="default" r:id="rId6"/>
          <w:type w:val="nextPage"/>
          <w:pgSz w:w="11906" w:h="16838"/>
          <w:pgMar w:left="1418" w:right="851" w:gutter="0" w:header="680" w:top="861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43" w:name="__RefHeading___Toc1439196_3604399662"/>
      <w:bookmarkStart w:id="44" w:name="_Toc51339698"/>
      <w:bookmarkStart w:id="45" w:name="_Toc194410398"/>
      <w:bookmarkStart w:id="46" w:name="_Toc75446581"/>
      <w:bookmarkStart w:id="47" w:name="_Toc46743511"/>
      <w:bookmarkStart w:id="48" w:name="_Toc754465801"/>
      <w:bookmarkEnd w:id="43"/>
      <w:bookmarkEnd w:id="48"/>
      <w:r>
        <w:rPr/>
        <w:t xml:space="preserve">Требования к </w:t>
      </w:r>
      <w:bookmarkEnd w:id="47"/>
      <w:r>
        <w:rPr>
          <w:lang w:val="ru-RU"/>
        </w:rPr>
        <w:t xml:space="preserve">качеству </w:t>
      </w:r>
      <w:bookmarkEnd w:id="45"/>
      <w:bookmarkEnd w:id="46"/>
      <w:r>
        <w:rPr>
          <w:lang w:val="en-US"/>
        </w:rPr>
        <w:t>товара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49" w:name="__RefHeading___Toc1439198_3604399662"/>
      <w:bookmarkEnd w:id="49"/>
      <w:r>
        <w:rPr>
          <w:sz w:val="24"/>
          <w:szCs w:val="24"/>
        </w:rPr>
        <w:t xml:space="preserve"> </w:t>
      </w:r>
      <w:bookmarkStart w:id="50" w:name="_Toc194410399"/>
      <w:bookmarkStart w:id="51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51"/>
      <w:r>
        <w:rPr>
          <w:sz w:val="24"/>
          <w:szCs w:val="24"/>
          <w:lang w:val="en-US"/>
        </w:rPr>
        <w:t>товару</w:t>
      </w:r>
      <w:bookmarkEnd w:id="50"/>
      <w:r>
        <w:rPr>
          <w:sz w:val="24"/>
          <w:szCs w:val="24"/>
        </w:rPr>
        <w:t xml:space="preserve"> </w:t>
      </w:r>
      <w:bookmarkEnd w:id="44"/>
      <w:r>
        <w:rPr>
          <w:rStyle w:val="Style8"/>
          <w:b/>
          <w:shd w:fill="auto" w:val="clear"/>
        </w:rPr>
        <w:t xml:space="preserve"> </w:t>
      </w:r>
    </w:p>
    <w:p>
      <w:pPr>
        <w:pStyle w:val="BodyText"/>
        <w:rPr/>
      </w:pPr>
      <w:r>
        <w:rPr>
          <w:b/>
          <w:bCs/>
          <w:i/>
          <w:iCs/>
          <w:sz w:val="24"/>
          <w:szCs w:val="24"/>
        </w:rPr>
        <w:t>Наименование продукции (1Таблица 1.1.)</w:t>
      </w:r>
    </w:p>
    <w:tbl>
      <w:tblPr>
        <w:tblStyle w:val="afffff5"/>
        <w:tblW w:w="1531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51"/>
        <w:gridCol w:w="2012"/>
        <w:gridCol w:w="3402"/>
        <w:gridCol w:w="3403"/>
        <w:gridCol w:w="2124"/>
        <w:gridCol w:w="3522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0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552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52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0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52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35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54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541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25" w:before="0" w:after="0"/>
              <w:jc w:val="lef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Товар должен быть новым, не бывшим в эксплуатации.</w:t>
            </w:r>
          </w:p>
          <w:p>
            <w:pPr>
              <w:pStyle w:val="Normal"/>
              <w:widowControl w:val="false"/>
              <w:suppressAutoHyphens w:val="true"/>
              <w:spacing w:lineRule="atLeast" w:line="225" w:before="0" w:after="0"/>
              <w:jc w:val="left"/>
              <w:rPr>
                <w:i/>
                <w:i/>
                <w:iCs/>
                <w:color w:val="000000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Качество поставляемого товара должно соответствовать качеству товара производителей.</w:t>
            </w:r>
          </w:p>
        </w:tc>
        <w:tc>
          <w:tcPr>
            <w:tcW w:w="340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Паспорт . Предоставляется на этапе исполнения договора</w:t>
            </w:r>
          </w:p>
        </w:tc>
        <w:tc>
          <w:tcPr>
            <w:tcW w:w="352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54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Вид исполнения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333333"/>
                <w:kern w:val="0"/>
                <w:sz w:val="22"/>
                <w:szCs w:val="22"/>
                <w:lang w:val="ru-RU" w:eastAsia="ru-RU" w:bidi="ar-SA"/>
              </w:rPr>
              <w:t>Исполнение товара в корпусе, предназначенном для защиты от внешних воздействий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54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Товар должен быть доставлен </w:t>
            </w: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силами и средствами Поставщика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по адресу: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>369244, Карачаево-Черкесская Республика, Карачаевский р-н, пос. Правокубанский, Зеленчукская ГЭС-ГАЭС.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/>
          </w:tcPr>
          <w:p>
            <w:pPr>
              <w:pStyle w:val="Style35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kern w:val="0"/>
                <w:lang w:bidi="ar-SA"/>
              </w:rPr>
            </w:pPr>
            <w:bookmarkStart w:id="52" w:name="_Toc194410400"/>
            <w:r>
              <w:rPr>
                <w:rFonts w:eastAsia="Times New Roman" w:cs="Times New Roman"/>
                <w:b w:val="false"/>
                <w:i/>
                <w:iCs/>
                <w:kern w:val="0"/>
                <w:sz w:val="22"/>
                <w:szCs w:val="22"/>
                <w:lang w:val="en-US" w:eastAsia="ru-RU" w:bidi="ar-SA"/>
              </w:rPr>
              <w:t>-</w:t>
            </w:r>
            <w:bookmarkEnd w:id="52"/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Упаковка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Упаковка должна быть целостной, обеспечивающей сохранность товара при перевозке с учетом возможных перегрузок, складирования и  способов транспортировки, а также предохраняющей товар от атмосферных воздействий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en-US" w:eastAsia="ru-RU" w:bidi="ar-SA"/>
              </w:rPr>
              <w:t>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Транспортировка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Способ транспортировки и упаковка товара должны исключать риски случайного повреждения или гибели товара во время ее транспортировки и разгрузки.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3.4.1. Приёмка товара по качеству и количеству осуществляется на складе Покупателя.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3.4.2. В стоимость поставляемого товара должны быть включены транспортные расходы, сертификация, налоги, сборы, таможенные пошлины, упаковка, погрузка/выгрузка и прочие затраты и расходы поставщика, связанные с поставкой товара, предусмотренные Проектом договора.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54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Срок эксплуатации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На момент поставки товара срок его  годности должен составлять не менее 3 лет, от срока установленного заводом изготовителем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Паспорт Предоставляется на этапе исполнения договора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54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Срок гарантии поставщика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Гарантийный срок на товар должен составлять не менее 12 месяцев с даты подписания Сторонами накладной ТОРГ-12 / УПД.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Паспорт Предоставляется на этапе исполнения договора</w:t>
            </w:r>
          </w:p>
        </w:tc>
        <w:tc>
          <w:tcPr>
            <w:tcW w:w="3522" w:type="dxa"/>
            <w:tcBorders/>
          </w:tcPr>
          <w:p>
            <w:pPr>
              <w:pStyle w:val="Style35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541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668" w:hRule="atLeast"/>
        </w:trPr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 товаром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6.1.1. Поставщик обязан одновременно с передачей товара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товарную накладную унифицированной формы ТОРГ-12 / УПД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i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протоколы заводских испытаний.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6.1.2. На все поставляемые средства измерений, кроме заводской документации, должны быть предоставлены: методика поверки, действующее свидетельство об утверждении типа с описанием типа средства измерений либо регистрационный номер по Федеральному информационному фонду по обеспечению единства измерений, действующее свидетельство о первичной поверке, при этом давность проведения поверки не должна превышать 6 месяцев (либо сведения о проведении поверки средства измерений в Федеральном информационном фонде по обеспечению единства измерений).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-27" w:hanging="0"/>
              <w:contextualSpacing/>
              <w:jc w:val="left"/>
              <w:rPr>
                <w:rFonts w:eastAsia="Times New Roman"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Вся передаваемая метрологическая документация должна быть на русском языке и соответствовать последней редакции закона РФ от 26.06.2008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-27" w:hanging="0"/>
              <w:contextualSpacing/>
              <w:jc w:val="left"/>
              <w:rPr>
                <w:rFonts w:eastAsia="Times New Roman"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 xml:space="preserve"> №</w:t>
            </w: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102-ФЗ «Об обеспечении единства измерений».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kern w:val="0"/>
                <w:lang w:val="ru-RU" w:bidi="ar-SA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kern w:val="0"/>
                <w:sz w:val="22"/>
                <w:szCs w:val="22"/>
                <w:lang w:val="ru-RU" w:eastAsia="ru-RU" w:bidi="ar-SA"/>
              </w:rPr>
              <w:t>-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sz w:val="22"/>
                <w:szCs w:val="22"/>
                <w:lang w:val="en-US" w:eastAsia="x-none"/>
              </w:rPr>
            </w:pPr>
            <w:r>
              <w:rPr>
                <w:rFonts w:cs="Times New Roman"/>
                <w:kern w:val="0"/>
                <w:sz w:val="22"/>
                <w:szCs w:val="22"/>
                <w:lang w:val="en-US" w:eastAsia="x-none" w:bidi="ar-SA"/>
              </w:rPr>
              <w:t>7.</w:t>
            </w:r>
          </w:p>
        </w:tc>
        <w:tc>
          <w:tcPr>
            <w:tcW w:w="14463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Calibri" w:cs="Times New Roman"/>
                <w:b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нормами Постановления Правительства РФ от 23.12.2024 №1875 при проведении настоящей закупки устанавливается преимущество в отношении товаров российского происхождения.</w:t>
            </w:r>
          </w:p>
        </w:tc>
        <w:tc>
          <w:tcPr>
            <w:tcW w:w="34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Symbol" w:cs="Symbol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1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0"/>
                <w:szCs w:val="20"/>
                <w:lang w:val="ru-RU" w:eastAsia="ru-RU" w:bidi="ar-SA"/>
              </w:rPr>
              <w:t>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(далее - Постановление № 1875) или гарантийное письмо (в соответствие с разъяснением Министерства Финансов РФ от)</w:t>
            </w:r>
          </w:p>
        </w:tc>
        <w:tc>
          <w:tcPr>
            <w:tcW w:w="35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</w:tr>
    </w:tbl>
    <w:p>
      <w:pPr>
        <w:pStyle w:val="Normal"/>
        <w:spacing w:before="0" w:after="120"/>
        <w:rPr/>
      </w:pPr>
      <w:r>
        <w:rPr/>
      </w:r>
      <w:bookmarkStart w:id="53" w:name="__RefHeading___Toc1439200_3604399662"/>
      <w:bookmarkStart w:id="54" w:name="__RefHeading___Toc1439200_3604399662"/>
      <w:bookmarkEnd w:id="54"/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spacing w:before="0" w:after="120"/>
        <w:rPr/>
      </w:pPr>
      <w:r>
        <w:rPr/>
      </w:r>
    </w:p>
    <w:p>
      <w:pPr>
        <w:pStyle w:val="Heading1"/>
        <w:keepLines/>
        <w:ind w:left="357" w:hanging="357"/>
        <w:jc w:val="center"/>
        <w:rPr>
          <w:lang w:val="ru-RU"/>
        </w:rPr>
      </w:pPr>
      <w:bookmarkStart w:id="55" w:name="_Toc46743519"/>
      <w:bookmarkStart w:id="56" w:name="_Toc51339699"/>
      <w:bookmarkStart w:id="57" w:name="_Toc194410401"/>
      <w:bookmarkStart w:id="58" w:name="_Toc75446583"/>
      <w:bookmarkStart w:id="59" w:name="_Toc53393312"/>
      <w:bookmarkEnd w:id="55"/>
      <w:bookmarkEnd w:id="56"/>
      <w:r>
        <w:rPr>
          <w:lang w:val="ru-RU"/>
        </w:rPr>
        <w:t>3.</w:t>
        <w:tab/>
        <w:t>Требования к документации по ценообразованию</w:t>
      </w:r>
      <w:bookmarkEnd w:id="59"/>
      <w:r>
        <w:rPr>
          <w:lang w:val="ru-RU"/>
        </w:rPr>
        <w:t xml:space="preserve"> на этапе закупки</w:t>
      </w:r>
      <w:bookmarkEnd w:id="57"/>
      <w:bookmarkEnd w:id="58"/>
    </w:p>
    <w:p>
      <w:pPr>
        <w:pStyle w:val="Normal"/>
        <w:ind w:firstLine="851"/>
        <w:jc w:val="both"/>
        <w:rPr>
          <w:sz w:val="24"/>
          <w:szCs w:val="24"/>
          <w:lang w:eastAsia="x-none"/>
        </w:rPr>
      </w:pPr>
      <w:r>
        <w:rPr>
          <w:lang w:eastAsia="x-none"/>
        </w:rPr>
        <w:t>3.</w:t>
      </w:r>
      <w:r>
        <w:rPr>
          <w:sz w:val="24"/>
          <w:szCs w:val="24"/>
          <w:lang w:eastAsia="x-none"/>
        </w:rPr>
        <w:t>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firstLine="851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3.2.</w:t>
        <w:tab/>
        <w:t>Стоимость за единицу товара должна включать в себя транспортировку товара до места поставки, погрузку, разгрузку,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№2 к Документации о закупке)».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tabs>
          <w:tab w:val="clear" w:pos="0"/>
        </w:tabs>
        <w:ind w:left="0" w:hanging="0"/>
        <w:jc w:val="center"/>
        <w:rPr/>
      </w:pPr>
      <w:bookmarkStart w:id="60" w:name="_Toc75446584"/>
      <w:bookmarkStart w:id="61" w:name="_Toc194410402"/>
      <w:r>
        <w:rPr>
          <w:lang w:val="ru-RU"/>
        </w:rPr>
        <w:t xml:space="preserve">4. </w:t>
      </w:r>
      <w:r>
        <w:rPr/>
        <w:t>Требования к документации по ценообразованию на этапе заключения (исполнения) договора</w:t>
      </w:r>
      <w:bookmarkEnd w:id="60"/>
      <w:bookmarkEnd w:id="61"/>
    </w:p>
    <w:p>
      <w:pPr>
        <w:pStyle w:val="Normal"/>
        <w:suppressAutoHyphens w:val="false"/>
        <w:spacing w:before="60" w:after="60"/>
        <w:jc w:val="both"/>
        <w:rPr>
          <w:bCs/>
          <w:i/>
          <w:i/>
          <w:iCs/>
          <w:sz w:val="24"/>
          <w:szCs w:val="24"/>
          <w:lang w:val="x-none" w:eastAsia="x-none"/>
        </w:rPr>
      </w:pPr>
      <w:r>
        <w:rPr>
          <w:bCs/>
          <w:i/>
          <w:iCs/>
          <w:sz w:val="24"/>
          <w:szCs w:val="24"/>
          <w:lang w:eastAsia="x-none"/>
        </w:rPr>
        <w:t>4.1.  Дополнительные документы по ценообразованию не включаются.</w:t>
      </w:r>
    </w:p>
    <w:p>
      <w:pPr>
        <w:pStyle w:val="Normal"/>
        <w:ind w:firstLine="709"/>
        <w:rPr>
          <w:rFonts w:eastAsia="Calibri"/>
          <w:iCs/>
          <w:sz w:val="24"/>
          <w:lang w:val="x-none" w:eastAsia="x-none"/>
        </w:rPr>
      </w:pPr>
      <w:r>
        <w:rPr>
          <w:rFonts w:eastAsia="Calibri"/>
          <w:iCs/>
          <w:sz w:val="24"/>
          <w:lang w:val="x-none"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ind w:left="357" w:hanging="357"/>
        <w:jc w:val="center"/>
        <w:rPr>
          <w:iCs/>
          <w:caps/>
        </w:rPr>
      </w:pPr>
      <w:r>
        <w:rPr>
          <w:color w:val="000000"/>
          <w:sz w:val="24"/>
          <w:szCs w:val="24"/>
        </w:rPr>
      </w:r>
      <w:bookmarkStart w:id="62" w:name="_Toc46743519"/>
      <w:bookmarkStart w:id="63" w:name="_Toc51339699"/>
      <w:bookmarkStart w:id="64" w:name="_Toc46743519"/>
      <w:bookmarkStart w:id="65" w:name="_Toc51339699"/>
      <w:bookmarkEnd w:id="64"/>
      <w:bookmarkEnd w:id="65"/>
    </w:p>
    <w:p>
      <w:pPr>
        <w:pStyle w:val="Normal"/>
        <w:widowControl w:val="false"/>
        <w:ind w:firstLine="851"/>
        <w:rPr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</w:r>
    </w:p>
    <w:p>
      <w:pPr>
        <w:pStyle w:val="Normal"/>
        <w:keepNext w:val="true"/>
        <w:keepLines/>
        <w:tabs>
          <w:tab w:val="clear" w:pos="720"/>
          <w:tab w:val="left" w:pos="5526" w:leader="none"/>
        </w:tabs>
        <w:ind w:left="426" w:hanging="0"/>
        <w:jc w:val="both"/>
        <w:rPr/>
      </w:pPr>
      <w:r>
        <w:rPr/>
      </w:r>
    </w:p>
    <w:p>
      <w:pPr>
        <w:pStyle w:val="Normal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before="0" w:after="120"/>
        <w:rPr/>
      </w:pPr>
      <w:r>
        <w:rPr/>
      </w:r>
    </w:p>
    <w:sectPr>
      <w:headerReference w:type="default" r:id="rId7"/>
      <w:headerReference w:type="first" r:id="rId8"/>
      <w:footerReference w:type="default" r:id="rId9"/>
      <w:footerReference w:type="first" r:id="rId10"/>
      <w:type w:val="nextPage"/>
      <w:pgSz w:orient="landscape" w:w="16838" w:h="11906"/>
      <w:pgMar w:left="992" w:right="1134" w:gutter="0" w:header="0" w:top="1134" w:footer="454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8194820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6380980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09A9DB3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9A9DB3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20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1c4bde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 w:customStyle="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9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7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character" w:styleId="14" w:customStyle="1">
    <w:name w:val="Номер строки1"/>
    <w:qFormat/>
    <w:rPr/>
  </w:style>
  <w:style w:type="character" w:styleId="Style16" w:customStyle="1">
    <w:name w:val="Схема документа Знак"/>
    <w:basedOn w:val="DefaultParagraphFont"/>
    <w:qFormat/>
    <w:rPr>
      <w:rFonts w:ascii="Tahoma" w:hAnsi="Tahoma" w:eastAsia="Times New Roman" w:cs="Tahoma"/>
      <w:sz w:val="20"/>
      <w:szCs w:val="20"/>
      <w:shd w:fill="000080" w:val="clear"/>
      <w:lang w:eastAsia="ru-RU"/>
    </w:rPr>
  </w:style>
  <w:style w:type="character" w:styleId="Style17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Style11"/>
    <w:qFormat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33" w:customStyle="1">
    <w:name w:val="Основной текст 3 Знак"/>
    <w:basedOn w:val="DefaultParagraphFont"/>
    <w:qFormat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9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3" w:customStyle="1">
    <w:name w:val="Основной текст 2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24" w:customStyle="1">
    <w:name w:val="Основной текст с отступом 2 Знак"/>
    <w:basedOn w:val="DefaultParagraphFont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21" w:customStyle="1">
    <w:name w:val="Заголовок Знак"/>
    <w:basedOn w:val="DefaultParagraphFont"/>
    <w:qFormat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Linenumber">
    <w:name w:val="line number"/>
    <w:qFormat/>
    <w:rPr/>
  </w:style>
  <w:style w:type="character" w:styleId="Strong2" w:customStyle="1">
    <w:name w:val="Strong2"/>
    <w:qFormat/>
    <w:rPr>
      <w:b/>
      <w:bCs/>
    </w:rPr>
  </w:style>
  <w:style w:type="character" w:styleId="Style22" w:customStyle="1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26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Style25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6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7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8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uiPriority w:val="99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9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30" w:customStyle="1">
    <w:name w:val="Раздел регламента"/>
    <w:basedOn w:val="Normal"/>
    <w:qFormat/>
    <w:rsid w:val="00e228fa"/>
    <w:pPr/>
    <w:rPr/>
  </w:style>
  <w:style w:type="paragraph" w:styleId="Style31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2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3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4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7" w:customStyle="1">
    <w:name w:val="Подподпункт"/>
    <w:basedOn w:val="Style29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8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9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0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41" w:customStyle="1">
    <w:name w:val="Содержимое врезки"/>
    <w:basedOn w:val="Normal"/>
    <w:qFormat/>
    <w:pPr/>
    <w:rPr/>
  </w:style>
  <w:style w:type="paragraph" w:styleId="Style4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3" w:customStyle="1">
    <w:name w:val="Заголовок таблицы"/>
    <w:basedOn w:val="Style42"/>
    <w:qFormat/>
    <w:pPr>
      <w:jc w:val="center"/>
    </w:pPr>
    <w:rPr>
      <w:b/>
      <w:bCs/>
    </w:rPr>
  </w:style>
  <w:style w:type="paragraph" w:styleId="Style4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111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2" w:customStyle="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lang w:val="en-US" w:eastAsia="en-US"/>
    </w:rPr>
  </w:style>
  <w:style w:type="paragraph" w:styleId="Style45" w:customStyle="1">
    <w:name w:val="Пункт договора"/>
    <w:basedOn w:val="Normal"/>
    <w:qFormat/>
    <w:pPr>
      <w:jc w:val="both"/>
    </w:pPr>
    <w:rPr>
      <w:rFonts w:ascii="Arial" w:hAnsi="Arial"/>
    </w:rPr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-1" w:customStyle="1">
    <w:name w:val="Контракт-пункт"/>
    <w:basedOn w:val="Normal"/>
    <w:qFormat/>
    <w:pPr>
      <w:tabs>
        <w:tab w:val="clear" w:pos="720"/>
        <w:tab w:val="left" w:pos="851" w:leader="none"/>
      </w:tabs>
      <w:spacing w:lineRule="auto" w:line="360"/>
      <w:ind w:left="851" w:hanging="851"/>
      <w:jc w:val="both"/>
    </w:pPr>
    <w:rPr>
      <w:rFonts w:eastAsia="Calibri"/>
    </w:rPr>
  </w:style>
  <w:style w:type="paragraph" w:styleId="ListBullet3">
    <w:name w:val="List Bullet 3"/>
    <w:basedOn w:val="Normal"/>
    <w:qFormat/>
    <w:pPr>
      <w:tabs>
        <w:tab w:val="clear" w:pos="720"/>
        <w:tab w:val="left" w:pos="1418" w:leader="none"/>
      </w:tabs>
      <w:spacing w:lineRule="auto" w:line="360" w:before="120" w:after="0"/>
      <w:ind w:firstLine="720"/>
      <w:jc w:val="both"/>
    </w:pPr>
    <w:rPr>
      <w:rFonts w:eastAsia="Calibri"/>
      <w:i/>
      <w:iCs/>
      <w:sz w:val="24"/>
      <w:szCs w:val="24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ru-RU" w:bidi="ar-SA"/>
    </w:rPr>
  </w:style>
  <w:style w:type="paragraph" w:styleId="Style46" w:customStyle="1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/>
    </w:rPr>
  </w:style>
  <w:style w:type="paragraph" w:styleId="Style47" w:customStyle="1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</w:rPr>
  </w:style>
  <w:style w:type="paragraph" w:styleId="Tabletext">
    <w:name w:val="Table_text"/>
    <w:basedOn w:val="Normal"/>
    <w:qFormat/>
    <w:pPr>
      <w:spacing w:lineRule="auto" w:line="240"/>
      <w:ind w:hanging="0"/>
    </w:pPr>
    <w:rPr>
      <w:sz w:val="20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35730067531" w:customStyle="1">
    <w:name w:val="35730067531"/>
    <w:qFormat/>
  </w:style>
  <w:style w:type="numbering" w:styleId="34833527931" w:customStyle="1">
    <w:name w:val="34833527931"/>
    <w:qFormat/>
  </w:style>
  <w:style w:type="numbering" w:styleId="4842226951" w:customStyle="1">
    <w:name w:val="4842226951"/>
    <w:qFormat/>
  </w:style>
  <w:style w:type="numbering" w:styleId="37526241881" w:customStyle="1">
    <w:name w:val="37526241881"/>
    <w:qFormat/>
  </w:style>
  <w:style w:type="numbering" w:styleId="5530910401" w:customStyle="1">
    <w:name w:val="553091040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torage.yandexcloud.net/storage.rushydro.ru/iblock/f94/f943d9a737d8222b4758a2547185b558/1.0.9_TT_Tekhnicheskie_trebovaniya.pdf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EFEB0-56D0-4394-873F-D29013A4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AlterOffice/3.4.0.9$Linux_X86_64 LibreOffice_project/b8daf9e823b1a5463a2f48435ddc2e8696e7d4fc</Application>
  <AppVersion>15.0000</AppVersion>
  <Pages>10</Pages>
  <Words>1260</Words>
  <Characters>8575</Characters>
  <CharactersWithSpaces>9621</CharactersWithSpaces>
  <Paragraphs>226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2026-07-02T08:12:00Z</dcterms:created>
  <dc:creator>Быстров Олег Геннадьевич</dc:creator>
  <dc:description/>
  <dc:language>ru-RU</dc:language>
  <cp:lastModifiedBy>zabelkinans@corp.gidroogk.com</cp:lastModifiedBy>
  <cp:lastPrinted>2023-02-14T08:23:00Z</cp:lastPrinted>
  <dcterms:modified xsi:type="dcterms:W3CDTF">2026-08-25T14:07:14Z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