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header7.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header5.xml" ContentType="application/vnd.openxmlformats-officedocument.wordprocessingml.header+xml"/>
  <Override PartName="/word/_rels/document.xml.rels" ContentType="application/vnd.openxmlformats-package.relationships+xml"/>
  <Override PartName="/word/footer6.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pPr>
      <w:r>
        <w:rPr>
          <w:sz w:val="24"/>
        </w:rPr>
        <w:t>Договор поставки № _______</w:t>
      </w:r>
    </w:p>
    <w:p>
      <w:pPr>
        <w:pStyle w:val="Normal"/>
        <w:shd w:val="clear" w:color="auto" w:fill="FFFFFF"/>
        <w:tabs>
          <w:tab w:val="clear" w:pos="720"/>
          <w:tab w:val="left" w:pos="3060" w:leader="none"/>
          <w:tab w:val="left" w:pos="6519" w:leader="none"/>
        </w:tabs>
        <w:spacing w:before="0" w:after="120"/>
        <w:ind w:firstLine="567"/>
        <w:rPr/>
      </w:pPr>
      <w:r>
        <w:rPr>
          <w:sz w:val="24"/>
          <w:szCs w:val="24"/>
        </w:rPr>
        <w:t>г. Балаково</w:t>
        <w:tab/>
        <w:tab/>
        <w:t>«___</w:t>
      </w:r>
      <w:r>
        <w:rPr>
          <w:rStyle w:val="FootnoteReference"/>
          <w:b/>
          <w:sz w:val="24"/>
          <w:szCs w:val="24"/>
        </w:rPr>
        <w:footnoteReference w:id="2"/>
      </w:r>
      <w:r>
        <w:rPr>
          <w:sz w:val="24"/>
          <w:szCs w:val="24"/>
        </w:rPr>
        <w:t>» __________ 20__ года</w:t>
      </w:r>
    </w:p>
    <w:p>
      <w:pPr>
        <w:pStyle w:val="Normal"/>
        <w:spacing w:before="0" w:after="120"/>
        <w:ind w:firstLine="567"/>
        <w:jc w:val="both"/>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___________________________________________________</w:t>
      </w:r>
      <w:r>
        <w:rPr>
          <w:color w:val="000000"/>
          <w:sz w:val="24"/>
          <w:szCs w:val="24"/>
        </w:rPr>
        <w:t>, действующего на основании доверенности № __ от __.__.20__ г.</w:t>
      </w:r>
      <w:r>
        <w:rPr>
          <w:sz w:val="24"/>
          <w:szCs w:val="24"/>
        </w:rPr>
        <w:t>, с одной стороны, и</w:t>
      </w:r>
    </w:p>
    <w:p>
      <w:pPr>
        <w:pStyle w:val="Normal"/>
        <w:spacing w:before="0" w:after="120"/>
        <w:ind w:firstLine="567"/>
        <w:jc w:val="both"/>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в лице ________________, действующего на основании ______________, с другой стороны,</w:t>
      </w:r>
    </w:p>
    <w:p>
      <w:pPr>
        <w:pStyle w:val="Normal"/>
        <w:spacing w:before="0" w:after="120"/>
        <w:ind w:firstLine="567"/>
        <w:jc w:val="both"/>
        <w:rPr/>
      </w:pPr>
      <w:r>
        <w:rPr>
          <w:bCs/>
          <w:sz w:val="24"/>
          <w:szCs w:val="24"/>
        </w:rPr>
        <w:t xml:space="preserve">совместно в дальнейшем именуемые «Стороны», а по отдельности – «Сторона», </w:t>
      </w:r>
      <w:r>
        <w:rPr>
          <w:bCs/>
          <w:color w:val="000000"/>
          <w:sz w:val="24"/>
          <w:szCs w:val="24"/>
        </w:rPr>
        <w:t xml:space="preserve">по результатам проведенной Покупателем нерегламентированной закупочной процедуры по лоту № </w:t>
      </w:r>
      <w:r>
        <w:rPr>
          <w:b w:val="false"/>
          <w:bCs w:val="false"/>
          <w:color w:val="000000"/>
          <w:sz w:val="24"/>
          <w:szCs w:val="24"/>
        </w:rPr>
        <w:t>008</w:t>
      </w:r>
      <w:r>
        <w:rPr>
          <w:b w:val="false"/>
          <w:bCs w:val="false"/>
          <w:color w:val="000000"/>
          <w:sz w:val="24"/>
          <w:szCs w:val="24"/>
        </w:rPr>
        <w:t>4</w:t>
      </w:r>
      <w:r>
        <w:rPr>
          <w:b w:val="false"/>
          <w:bCs w:val="false"/>
          <w:color w:val="000000"/>
          <w:sz w:val="24"/>
          <w:szCs w:val="24"/>
        </w:rPr>
        <w:t>-РЕМ ДОХ-2025-ГРВКК-СарФ</w:t>
      </w:r>
      <w:r>
        <w:rPr>
          <w:bCs/>
          <w:color w:val="000000"/>
          <w:sz w:val="24"/>
          <w:szCs w:val="24"/>
        </w:rPr>
        <w:t>, что подтверждается аналитической запиской от __.__.2025 г., 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rFonts w:cs="Times New Roman"/>
          <w:b/>
          <w:sz w:val="24"/>
          <w:szCs w:val="24"/>
        </w:rPr>
        <w:t>сухой лёд</w:t>
      </w:r>
      <w:r>
        <w:rPr>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3</w:t>
      </w:r>
      <w:r>
        <w:rPr>
          <w:b w:val="false"/>
          <w:sz w:val="24"/>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rPr>
        <w:t>Приложения № 2</w:t>
      </w:r>
      <w:r>
        <w:rPr>
          <w:sz w:val="24"/>
          <w:szCs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rPr>
        <w:t>Приложение № 1</w:t>
      </w:r>
      <w:r>
        <w:rPr>
          <w:sz w:val="24"/>
          <w:szCs w:val="24"/>
        </w:rPr>
        <w:t>).</w:t>
      </w:r>
    </w:p>
    <w:p>
      <w:pPr>
        <w:pStyle w:val="Normal"/>
        <w:shd w:val="clear" w:color="auto" w:fill="FFFFFF"/>
        <w:tabs>
          <w:tab w:val="clear" w:pos="720"/>
          <w:tab w:val="left" w:pos="540" w:leader="none"/>
        </w:tabs>
        <w:spacing w:before="0" w:after="120"/>
        <w:jc w:val="both"/>
        <w:rPr>
          <w:sz w:val="24"/>
          <w:szCs w:val="24"/>
        </w:rPr>
      </w:pPr>
      <w:r>
        <w:rPr>
          <w:sz w:val="24"/>
          <w:szCs w:val="24"/>
        </w:rPr>
        <w:tab/>
        <w:t xml:space="preserve">Заявка на соответствующую партию Продукции направляется по факсу/электронной почте/нарочно Поставщику в срок не менее </w:t>
      </w:r>
      <w:r>
        <w:rPr>
          <w:sz w:val="24"/>
          <w:szCs w:val="24"/>
        </w:rPr>
        <w:t>3</w:t>
      </w:r>
      <w:r>
        <w:rPr>
          <w:sz w:val="24"/>
          <w:szCs w:val="24"/>
        </w:rPr>
        <w:t xml:space="preserve"> (</w:t>
      </w:r>
      <w:r>
        <w:rPr>
          <w:sz w:val="24"/>
          <w:szCs w:val="24"/>
        </w:rPr>
        <w:t>трех</w:t>
      </w:r>
      <w:r>
        <w:rPr>
          <w:sz w:val="24"/>
          <w:szCs w:val="24"/>
        </w:rPr>
        <w:t xml:space="preserve">)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w:t>
      </w:r>
      <w:r>
        <w:rPr>
          <w:sz w:val="24"/>
          <w:szCs w:val="24"/>
        </w:rPr>
        <w:t>2</w:t>
      </w:r>
      <w:r>
        <w:rPr>
          <w:sz w:val="24"/>
          <w:szCs w:val="24"/>
        </w:rPr>
        <w:t xml:space="preserve">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19" w:after="113"/>
        <w:jc w:val="both"/>
        <w:rPr/>
      </w:pPr>
      <w:r>
        <w:rPr>
          <w:b w:val="false"/>
          <w:sz w:val="24"/>
          <w:szCs w:val="24"/>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Саратовского филиала АО «Гидроремонт-ВКК» в г. Балаково.</w:t>
      </w:r>
    </w:p>
    <w:p>
      <w:pPr>
        <w:pStyle w:val="ListParagraph"/>
        <w:widowControl w:val="false"/>
        <w:numPr>
          <w:ilvl w:val="1"/>
          <w:numId w:val="6"/>
        </w:numPr>
        <w:shd w:val="clear" w:color="auto" w:fill="FFFFFF"/>
        <w:tabs>
          <w:tab w:val="clear" w:pos="720"/>
          <w:tab w:val="left" w:pos="142" w:leader="none"/>
          <w:tab w:val="left" w:pos="540" w:leader="none"/>
        </w:tabs>
        <w:suppressAutoHyphens w:val="true"/>
        <w:bidi w:val="0"/>
        <w:spacing w:before="0" w:after="120"/>
        <w:ind w:left="0" w:right="0" w:firstLine="567"/>
        <w:contextualSpacing w:val="false"/>
        <w:jc w:val="both"/>
        <w:rPr>
          <w:sz w:val="24"/>
          <w:szCs w:val="24"/>
        </w:rPr>
      </w:pPr>
      <w:r>
        <w:rPr>
          <w:sz w:val="24"/>
          <w:szCs w:val="24"/>
        </w:rPr>
        <w:t>Место поставки: 413840, Саратовская обл., город Балаково, Саратовская ГЭС, территория Филиала ПАО «РусГидро» - «Саратовская ГЭС»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Конечный срок поставки Продукции: 3</w:t>
      </w:r>
      <w:r>
        <w:rPr>
          <w:sz w:val="24"/>
          <w:szCs w:val="24"/>
        </w:rPr>
        <w:t>0.03</w:t>
      </w:r>
      <w:r>
        <w:rPr>
          <w:sz w:val="24"/>
          <w:szCs w:val="24"/>
          <w:lang w:val="en-US"/>
        </w:rPr>
        <w:t>.2026</w:t>
      </w:r>
      <w:r>
        <w:rPr>
          <w:sz w:val="24"/>
          <w:szCs w:val="24"/>
        </w:rPr>
        <w:t xml:space="preserve"> г.</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bCs/>
          <w:sz w:val="24"/>
          <w:szCs w:val="24"/>
          <w:u w:val="none"/>
        </w:rPr>
        <w:t xml:space="preserve">Предельная стоимость Продукции (далее – «Цена Договора») по Договору составляет __________(__________________) рублей _____ копеек </w:t>
      </w:r>
      <w:r>
        <w:rPr>
          <w:bCs/>
          <w:sz w:val="24"/>
          <w:szCs w:val="24"/>
          <w:u w:val="single"/>
        </w:rPr>
        <w:t>без учёта НДС, при этом НДС исчисляется дополнительно по ставке, установленной ст.164 Налогового кодекса РФ</w:t>
      </w:r>
      <w:r>
        <w:rPr>
          <w:rStyle w:val="FootnoteReference"/>
          <w:bCs/>
          <w:sz w:val="24"/>
          <w:szCs w:val="28"/>
          <w:u w:val="single"/>
        </w:rPr>
        <w:footnoteReference w:id="3"/>
      </w:r>
    </w:p>
    <w:p>
      <w:pPr>
        <w:pStyle w:val="Normal"/>
        <w:numPr>
          <w:ilvl w:val="1"/>
          <w:numId w:val="6"/>
        </w:numPr>
        <w:tabs>
          <w:tab w:val="clear" w:pos="720"/>
          <w:tab w:val="left" w:pos="0" w:leader="none"/>
          <w:tab w:val="left" w:pos="426" w:leader="none"/>
          <w:tab w:val="left" w:pos="851" w:leader="none"/>
        </w:tabs>
        <w:spacing w:before="0" w:after="120"/>
        <w:ind w:left="0" w:firstLine="567"/>
        <w:jc w:val="both"/>
        <w:rPr/>
      </w:pPr>
      <w:r>
        <w:rPr>
          <w:bCs/>
          <w:sz w:val="24"/>
          <w:szCs w:val="24"/>
        </w:rPr>
        <w:t xml:space="preserve">Цена Договора включает в себя </w:t>
      </w:r>
      <w:r>
        <w:rPr>
          <w:sz w:val="24"/>
          <w:szCs w:val="24"/>
        </w:rPr>
        <w:t xml:space="preserve">стоимость Продукции,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партии Продукции определяется Заявкой (по форме </w:t>
      </w:r>
      <w:r>
        <w:rPr>
          <w:b/>
          <w:sz w:val="24"/>
          <w:szCs w:val="24"/>
        </w:rPr>
        <w:t>Приложения № 2</w:t>
      </w:r>
      <w:r>
        <w:rPr>
          <w:sz w:val="24"/>
          <w:szCs w:val="24"/>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Платеж в размере 100% (сто процентов) от стоимости поставленной партии Продукции, </w:t>
      </w:r>
      <w:r>
        <w:rPr>
          <w:bCs/>
          <w:sz w:val="24"/>
          <w:szCs w:val="24"/>
          <w:u w:val="single"/>
        </w:rPr>
        <w:t xml:space="preserve">без учёта НДС, </w:t>
      </w:r>
      <w:r>
        <w:rPr>
          <w:sz w:val="24"/>
          <w:szCs w:val="24"/>
        </w:rPr>
        <w:t xml:space="preserve"> </w:t>
      </w:r>
      <w:r>
        <w:rPr>
          <w:sz w:val="24"/>
          <w:szCs w:val="24"/>
          <w:u w:val="single"/>
        </w:rPr>
        <w:t>кроме того НДС по ставке, установленной статьей 164 НК РФ на дату подписания Товарной накладной по форме ТОРГ-12 или Универсального передаточного документа (УПД)</w:t>
      </w:r>
      <w:r>
        <w:rPr>
          <w:sz w:val="24"/>
          <w:szCs w:val="24"/>
          <w:u w:val="single"/>
          <w:vertAlign w:val="superscript"/>
        </w:rPr>
        <w:t>2</w:t>
      </w:r>
      <w:r>
        <w:rPr>
          <w:sz w:val="24"/>
          <w:szCs w:val="24"/>
        </w:rPr>
        <w:t>, согласно Заявке, производится Покупателем в срок не более 7 (семи)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с учетом п. 2.6.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w:t>
      </w:r>
      <w:r>
        <w:rPr>
          <w:bCs/>
          <w:color w:val="000000"/>
          <w:sz w:val="24"/>
          <w:szCs w:val="24"/>
          <w:shd w:fill="auto" w:val="clear"/>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7 (семи) рабочих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spacing w:before="0" w:after="113"/>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spacing w:before="0" w:after="113"/>
        <w:ind w:left="0" w:firstLine="567"/>
        <w:jc w:val="both"/>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w:t>
      </w:r>
      <w:r>
        <w:rPr>
          <w:rStyle w:val="FootnoteReference"/>
          <w:bCs/>
          <w:szCs w:val="28"/>
        </w:rPr>
        <w:footnoteReference w:id="4"/>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u w:val="none"/>
        </w:rPr>
      </w:pPr>
      <w:r>
        <w:rPr>
          <w:sz w:val="24"/>
          <w:szCs w:val="24"/>
          <w:u w:val="none"/>
        </w:rPr>
        <w:t>Сертификат соответствия</w:t>
      </w:r>
      <w:r>
        <w:rPr>
          <w:kern w:val="0"/>
          <w:sz w:val="24"/>
          <w:szCs w:val="24"/>
          <w:u w:val="none"/>
          <w:lang w:val="ru-RU" w:bidi="ar-SA"/>
        </w:rPr>
        <w:t xml:space="preserve">, заверенный синей печатью производителя и </w:t>
      </w:r>
      <w:r>
        <w:rPr>
          <w:kern w:val="0"/>
          <w:sz w:val="24"/>
          <w:szCs w:val="24"/>
          <w:u w:val="none"/>
          <w:lang w:val="ru-RU" w:bidi="ar-SA"/>
        </w:rPr>
        <w:t>П</w:t>
      </w:r>
      <w:r>
        <w:rPr>
          <w:kern w:val="0"/>
          <w:sz w:val="24"/>
          <w:szCs w:val="24"/>
          <w:u w:val="none"/>
          <w:lang w:val="ru-RU" w:bidi="ar-SA"/>
        </w:rPr>
        <w:t>оставщика</w:t>
      </w:r>
      <w:r>
        <w:rPr>
          <w:sz w:val="24"/>
          <w:szCs w:val="24"/>
          <w:u w:val="none"/>
        </w:rPr>
        <w:t xml:space="preserve">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u w:val="none"/>
        </w:rPr>
      </w:pPr>
      <w:r>
        <w:rPr>
          <w:kern w:val="0"/>
          <w:sz w:val="24"/>
          <w:szCs w:val="24"/>
          <w:u w:val="none"/>
          <w:lang w:val="ru-RU" w:bidi="ar-SA"/>
        </w:rPr>
        <w:t xml:space="preserve">Паспорт качества на русском языке </w:t>
      </w:r>
      <w:r>
        <w:rPr>
          <w:kern w:val="0"/>
          <w:sz w:val="24"/>
          <w:szCs w:val="24"/>
          <w:u w:val="none"/>
          <w:lang w:val="ru-RU" w:bidi="ar-SA"/>
        </w:rPr>
        <w:t xml:space="preserve">с отметкой о проверке ОТК </w:t>
      </w:r>
      <w:r>
        <w:rPr>
          <w:sz w:val="24"/>
          <w:szCs w:val="24"/>
          <w:u w:val="none"/>
        </w:rPr>
        <w:t>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Pr>
          <w:i/>
          <w:sz w:val="24"/>
          <w:szCs w:val="24"/>
        </w:rPr>
        <w:t xml:space="preserve">, </w:t>
      </w:r>
      <w:r>
        <w:rPr>
          <w:sz w:val="24"/>
          <w:szCs w:val="24"/>
        </w:rPr>
        <w:t>сертификат о происхождении товара и т.п., копия таможенной декларации и/или иные документы, подтверждающие законность ввоза продукции иностранного производства)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2">
        <w:r>
          <w:rPr>
            <w:rStyle w:val="11"/>
            <w:rFonts w:cs="Times New"/>
            <w:color w:val="000000"/>
            <w:sz w:val="24"/>
            <w:szCs w:val="24"/>
            <w:u w:val="none"/>
          </w:rPr>
          <w:t>Постановлением</w:t>
        </w:r>
        <w:r>
          <w:rPr>
            <w:rStyle w:val="11"/>
            <w:color w:val="000000"/>
            <w:sz w:val="24"/>
            <w:szCs w:val="24"/>
            <w:u w:val="none"/>
          </w:rPr>
          <w:t xml:space="preserve"> </w:t>
        </w:r>
        <w:r>
          <w:rPr>
            <w:rStyle w:val="11"/>
            <w:rFonts w:cs="Times New"/>
            <w:color w:val="000000"/>
            <w:sz w:val="24"/>
            <w:szCs w:val="24"/>
            <w:u w:val="none"/>
          </w:rPr>
          <w:t>Правительства РФ от 21.12.2020 № 2200</w:t>
        </w:r>
      </w:hyperlink>
      <w:r>
        <w:rPr>
          <w:sz w:val="24"/>
          <w:szCs w:val="24"/>
        </w:rPr>
        <w:t xml:space="preserve">) в 1 экз.; </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pPr>
      <w:r>
        <w:rPr>
          <w:sz w:val="24"/>
          <w:szCs w:val="24"/>
        </w:rPr>
        <w:t>Товарную накладную по форме ТОРГ-12 или Универсальный передаточный документ (УПД) с обязательным указанием номера и даты Заявки-Спецификации 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w:t>
      </w:r>
      <w:r>
        <w:rPr>
          <w:sz w:val="24"/>
          <w:szCs w:val="24"/>
          <w:u w:val="none"/>
        </w:rPr>
        <w:t>3 (трех) календарных дней</w:t>
      </w:r>
      <w:r>
        <w:rPr>
          <w:sz w:val="24"/>
          <w:szCs w:val="24"/>
        </w:rPr>
        <w:t xml:space="preserve">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3">
        <w:r>
          <w:rPr>
            <w:rStyle w:val="11"/>
            <w:rFonts w:cs="Times New"/>
            <w:color w:val="000000"/>
            <w:sz w:val="24"/>
            <w:szCs w:val="24"/>
            <w:u w:val="none"/>
          </w:rPr>
          <w:t>Постановлением</w:t>
        </w:r>
        <w:r>
          <w:rPr>
            <w:rStyle w:val="11"/>
            <w:color w:val="000000"/>
            <w:sz w:val="24"/>
            <w:szCs w:val="24"/>
            <w:u w:val="none"/>
          </w:rPr>
          <w:t xml:space="preserve"> </w:t>
        </w:r>
        <w:r>
          <w:rPr>
            <w:rStyle w:val="11"/>
            <w:rFonts w:cs="Times New"/>
            <w:color w:val="000000"/>
            <w:sz w:val="24"/>
            <w:szCs w:val="24"/>
            <w:u w:val="none"/>
          </w:rPr>
          <w:t>Правительства РФ от 21.12.2020 № 2200</w:t>
        </w:r>
      </w:hyperlink>
      <w:r>
        <w:rPr>
          <w:rFonts w:cs="Times New"/>
          <w:color w:val="000000"/>
          <w:sz w:val="24"/>
          <w:szCs w:val="24"/>
        </w:rPr>
        <w:t>)</w:t>
      </w:r>
      <w:r>
        <w:rPr>
          <w:color w:val="000000"/>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w:t>
      </w:r>
      <w:r>
        <w:rPr>
          <w:sz w:val="24"/>
          <w:szCs w:val="24"/>
          <w:u w:val="single"/>
        </w:rPr>
        <w:t>3 (трех) календарных дней</w:t>
      </w:r>
      <w:r>
        <w:rPr>
          <w:sz w:val="24"/>
          <w:szCs w:val="24"/>
        </w:rPr>
        <w:t xml:space="preserve">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rPr>
        <w:t xml:space="preserve">Приемка Продукции со вскрытием упаковки производится Покупателем в течение </w:t>
      </w:r>
      <w:r>
        <w:rPr>
          <w:sz w:val="24"/>
          <w:szCs w:val="24"/>
          <w:u w:val="single"/>
        </w:rPr>
        <w:t>10 (десяти) рабочих дней</w:t>
      </w:r>
      <w:r>
        <w:rPr>
          <w:sz w:val="24"/>
          <w:szCs w:val="24"/>
        </w:rPr>
        <w:t xml:space="preserve"> с даты подписания </w:t>
      </w:r>
      <w:r>
        <w:rPr>
          <w:color w:val="000000"/>
          <w:sz w:val="24"/>
          <w:szCs w:val="24"/>
        </w:rPr>
        <w:t>товарно-транспортной накладной по форме №1-Т, или Железнодорожной накладной (форма № ГУ-27),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4">
        <w:r>
          <w:rPr>
            <w:rStyle w:val="11"/>
            <w:rFonts w:cs="Times New"/>
            <w:color w:val="000000"/>
            <w:sz w:val="24"/>
            <w:szCs w:val="24"/>
            <w:u w:val="none"/>
          </w:rPr>
          <w:t>Постановлением</w:t>
        </w:r>
        <w:r>
          <w:rPr>
            <w:rStyle w:val="11"/>
            <w:color w:val="000000"/>
            <w:sz w:val="24"/>
            <w:szCs w:val="24"/>
            <w:u w:val="none"/>
          </w:rPr>
          <w:t xml:space="preserve"> </w:t>
        </w:r>
        <w:r>
          <w:rPr>
            <w:rStyle w:val="11"/>
            <w:rFonts w:cs="Times New"/>
            <w:color w:val="000000"/>
            <w:sz w:val="24"/>
            <w:szCs w:val="24"/>
            <w:u w:val="none"/>
          </w:rPr>
          <w:t>Правительства РФ от 21.12.2020 № 2200</w:t>
        </w:r>
      </w:hyperlink>
      <w:r>
        <w:rPr>
          <w:color w:val="000000"/>
          <w:sz w:val="24"/>
          <w:szCs w:val="24"/>
        </w:rPr>
        <w:t>).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п. 3.6 Договора, Покупатель вправе отказаться от Продукции, а Поставщик обязан не позднее </w:t>
      </w:r>
      <w:r>
        <w:rPr>
          <w:sz w:val="24"/>
          <w:szCs w:val="24"/>
          <w:u w:val="single"/>
        </w:rPr>
        <w:t>15 (пятнадцати) календарных дней</w:t>
      </w:r>
      <w:r>
        <w:rPr>
          <w:sz w:val="24"/>
          <w:szCs w:val="24"/>
        </w:rPr>
        <w:t xml:space="preserve"> с даты уведомления его Покупателем об отказе от Продукции возместить понесенные убытки, в том числе расходы, связанные с хранением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обязан уведомить Покупателя о дате поставки Продукции не позднее, чем за </w:t>
      </w:r>
      <w:r>
        <w:rPr>
          <w:sz w:val="24"/>
          <w:szCs w:val="24"/>
          <w:u w:val="single"/>
        </w:rPr>
        <w:t>2 (два) рабочих дня</w:t>
      </w:r>
      <w:r>
        <w:rPr>
          <w:sz w:val="24"/>
          <w:szCs w:val="24"/>
        </w:rPr>
        <w:t xml:space="preserve">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 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r>
        <w:rPr>
          <w:bCs/>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6"/>
        </w:numPr>
        <w:shd w:val="clear" w:color="auto" w:fill="FFFFFF"/>
        <w:tabs>
          <w:tab w:val="clear" w:pos="720"/>
          <w:tab w:val="left" w:pos="1276" w:leader="none"/>
        </w:tabs>
        <w:ind w:left="0" w:firstLine="567"/>
        <w:jc w:val="both"/>
        <w:rPr>
          <w:sz w:val="24"/>
          <w:szCs w:val="24"/>
        </w:rPr>
      </w:pPr>
      <w:r>
        <w:rPr>
          <w:sz w:val="24"/>
          <w:szCs w:val="24"/>
        </w:rPr>
        <w:t>В случае нарушения Поставщиком обязательств по поставке партии Продукции, согласно Заявке (нарушение срока поставки, недопоставка), а также несвоевременного устранения выявленных недостатков Продукции, Покупатель вправе потребовать уплаты Поставщиком:</w:t>
      </w:r>
    </w:p>
    <w:p>
      <w:pPr>
        <w:pStyle w:val="Normal"/>
        <w:widowControl/>
        <w:numPr>
          <w:ilvl w:val="0"/>
          <w:numId w:val="14"/>
        </w:numPr>
        <w:suppressAutoHyphens w:val="true"/>
        <w:bidi w:val="0"/>
        <w:ind w:left="0" w:right="0" w:firstLine="567"/>
        <w:jc w:val="both"/>
        <w:rPr/>
      </w:pPr>
      <w:r>
        <w:rPr>
          <w:rFonts w:eastAsia="Calibri"/>
          <w:bCs/>
          <w:sz w:val="24"/>
          <w:szCs w:val="24"/>
        </w:rPr>
        <w:t>неустойки в размере 0,1 (ноль целых и одна десятая) процента от цены партии Продукции</w:t>
      </w:r>
      <w:r>
        <w:rPr>
          <w:sz w:val="24"/>
          <w:szCs w:val="24"/>
        </w:rPr>
        <w:t xml:space="preserve">, согласно Заявке, </w:t>
      </w:r>
      <w:r>
        <w:rPr>
          <w:rFonts w:eastAsia="Calibri"/>
          <w:bCs/>
          <w:sz w:val="24"/>
          <w:szCs w:val="24"/>
        </w:rPr>
        <w:t>за каждый день просрочки поставки Продукции;</w:t>
      </w:r>
    </w:p>
    <w:p>
      <w:pPr>
        <w:pStyle w:val="Normal"/>
        <w:widowControl/>
        <w:numPr>
          <w:ilvl w:val="0"/>
          <w:numId w:val="14"/>
        </w:numPr>
        <w:suppressAutoHyphens w:val="true"/>
        <w:bidi w:val="0"/>
        <w:ind w:left="0" w:right="0" w:firstLine="567"/>
        <w:jc w:val="both"/>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 </w:t>
      </w:r>
    </w:p>
    <w:p>
      <w:pPr>
        <w:pStyle w:val="Normal"/>
        <w:widowControl/>
        <w:numPr>
          <w:ilvl w:val="0"/>
          <w:numId w:val="14"/>
        </w:numPr>
        <w:suppressAutoHyphens w:val="true"/>
        <w:bidi w:val="0"/>
        <w:spacing w:before="0" w:after="120"/>
        <w:ind w:left="0" w:right="0" w:firstLine="567"/>
        <w:jc w:val="both"/>
        <w:rPr>
          <w:rFonts w:eastAsia="Calibri"/>
          <w:bCs/>
          <w:sz w:val="24"/>
          <w:szCs w:val="24"/>
        </w:rPr>
      </w:pPr>
      <w:r>
        <w:rPr>
          <w:rFonts w:eastAsia="Calibri"/>
          <w:bCs/>
          <w:sz w:val="24"/>
          <w:szCs w:val="24"/>
        </w:rPr>
        <w:t>неустойки в размере 0,1 (ноль целых и одна десятая) процента от стоимости партии Продукции</w:t>
      </w:r>
      <w:r>
        <w:rPr>
          <w:sz w:val="24"/>
          <w:szCs w:val="24"/>
        </w:rPr>
        <w:t xml:space="preserve">, согласно Заявке, </w:t>
      </w:r>
      <w:r>
        <w:rPr>
          <w:rFonts w:eastAsia="Calibri"/>
          <w:bCs/>
          <w:sz w:val="24"/>
          <w:szCs w:val="24"/>
        </w:rPr>
        <w:t>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(партии Продукции согласно Заявке)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rStyle w:val="Style9"/>
          <w:bCs/>
          <w:szCs w:val="28"/>
        </w:rPr>
        <w:t xml:space="preserve"> </w:t>
      </w:r>
      <w:r>
        <w:rPr>
          <w:rStyle w:val="FootnoteReference"/>
          <w:bCs/>
          <w:szCs w:val="28"/>
        </w:rPr>
        <w:footnoteReference w:id="5"/>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 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юридических лиц, созданных и действующих в соответствии с законодательством Российской Федерации:</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договор/договор об учреждении (создании)/решение единственного учредителя о создании;</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общественных или религиозных организаций (объединений):</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фонда:</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документ о выборе (назначении) попечительского совета фонда;</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решение и договор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jc w:val="both"/>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установленных в п. 7.1., п.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п.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Независимо от других положений Договора, обязательства Поставщика по п. 7.4.-7.5. Договора продолжают действовать в течение 4 (четырех) лет после окончания срока действия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использовать Информацию исключительно для целей, для которых она была предоставлена;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осуществлять действий (бездействия), результатом которых может быть несанкционированное раскрытие Информации третьим лицам;</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обязуется в договорах с третьими лицами обеспечить повторение условий Договора в части соблюдения режима конфиденциальности.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ListParagraph"/>
        <w:numPr>
          <w:ilvl w:val="0"/>
          <w:numId w:val="6"/>
        </w:numPr>
        <w:tabs>
          <w:tab w:val="clear" w:pos="720"/>
          <w:tab w:val="left" w:pos="426" w:leader="none"/>
        </w:tabs>
        <w:spacing w:before="0" w:after="120"/>
        <w:ind w:left="0" w:hanging="0"/>
        <w:contextualSpacing w:val="false"/>
        <w:jc w:val="center"/>
        <w:rPr>
          <w:b/>
          <w:sz w:val="24"/>
          <w:szCs w:val="24"/>
        </w:rPr>
      </w:pPr>
      <w:r>
        <w:rPr>
          <w:b/>
          <w:sz w:val="24"/>
          <w:szCs w:val="24"/>
        </w:rPr>
        <w:t>Антикоррупционная оговорка</w:t>
      </w:r>
    </w:p>
    <w:p>
      <w:pPr>
        <w:pStyle w:val="ListParagraph"/>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6"/>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 xml:space="preserve">Каналы связи Линия доверия Группы РусГидро: </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Электронная почта: ld@rushydro.ru.</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6"/>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Телефонный автоответчик (необходимо позвонить по телефону +7(495) 785-09-37.</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 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0" w:name="Par2"/>
      <w:bookmarkEnd w:id="0"/>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 Москвы.</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12.2.,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фактически находится по адресу, указанному в Едином государственном реестре юридических лиц;</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Во всем, что не урегулировано Договором, Стороны руководствуются положениями законодательства Российской Федерации.</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spacing w:before="0" w:after="79"/>
        <w:ind w:left="567" w:hanging="0"/>
        <w:jc w:val="both"/>
        <w:textAlignment w:val="baseline"/>
        <w:rPr/>
      </w:pPr>
      <w:r>
        <w:rPr>
          <w:b w:val="false"/>
          <w:sz w:val="24"/>
          <w:szCs w:val="24"/>
        </w:rPr>
        <w:t>- Приложение № 1 – Спецификация.</w:t>
      </w:r>
    </w:p>
    <w:p>
      <w:pPr>
        <w:pStyle w:val="Heading3"/>
        <w:keepNext w:val="false"/>
        <w:tabs>
          <w:tab w:val="clear" w:pos="0"/>
        </w:tabs>
        <w:spacing w:before="0" w:after="79"/>
        <w:ind w:left="567" w:hanging="0"/>
        <w:jc w:val="both"/>
        <w:textAlignment w:val="baseline"/>
        <w:rPr/>
      </w:pPr>
      <w:r>
        <w:rPr>
          <w:b w:val="false"/>
          <w:sz w:val="24"/>
          <w:szCs w:val="24"/>
        </w:rPr>
        <w:t>- Приложение № 2 – Форма Заявки-Спецификации.</w:t>
      </w:r>
    </w:p>
    <w:p>
      <w:pPr>
        <w:pStyle w:val="Normal"/>
        <w:widowControl/>
        <w:suppressAutoHyphens w:val="true"/>
        <w:bidi w:val="0"/>
        <w:spacing w:before="0" w:after="79"/>
        <w:ind w:left="0" w:right="0" w:firstLine="567"/>
        <w:jc w:val="left"/>
        <w:rPr/>
      </w:pPr>
      <w:bookmarkStart w:id="1" w:name="sub_1"/>
      <w:r>
        <w:rPr>
          <w:b w:val="false"/>
          <w:sz w:val="24"/>
          <w:szCs w:val="24"/>
        </w:rPr>
        <w:t>- Приложение № 3 – Технические требования на поставку продукции.</w:t>
      </w:r>
      <w:bookmarkEnd w:id="1"/>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Адреса, реквизиты и подписи Сторон</w:t>
      </w:r>
    </w:p>
    <w:tbl>
      <w:tblPr>
        <w:tblW w:w="9921"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5031"/>
        <w:gridCol w:w="4889"/>
      </w:tblGrid>
      <w:tr>
        <w:trPr/>
        <w:tc>
          <w:tcPr>
            <w:tcW w:w="5031" w:type="dxa"/>
            <w:tcBorders/>
          </w:tcPr>
          <w:p>
            <w:pPr>
              <w:pStyle w:val="Normal"/>
              <w:widowControl w:val="false"/>
              <w:rPr>
                <w:b/>
                <w:sz w:val="24"/>
                <w:szCs w:val="24"/>
                <w:u w:val="single"/>
              </w:rPr>
            </w:pPr>
            <w:r>
              <w:rPr>
                <w:b/>
                <w:sz w:val="24"/>
                <w:szCs w:val="24"/>
                <w:u w:val="single"/>
              </w:rPr>
              <w:t>Покупатель:</w:t>
            </w:r>
          </w:p>
        </w:tc>
        <w:tc>
          <w:tcPr>
            <w:tcW w:w="4889" w:type="dxa"/>
            <w:tcBorders/>
          </w:tcPr>
          <w:p>
            <w:pPr>
              <w:pStyle w:val="Normal"/>
              <w:widowControl w:val="false"/>
              <w:rPr>
                <w:b/>
                <w:sz w:val="24"/>
                <w:szCs w:val="24"/>
                <w:u w:val="single"/>
              </w:rPr>
            </w:pPr>
            <w:r>
              <w:rPr>
                <w:b/>
                <w:sz w:val="24"/>
                <w:szCs w:val="24"/>
                <w:u w:val="single"/>
              </w:rPr>
              <w:t>Поставщик:</w:t>
            </w:r>
          </w:p>
        </w:tc>
      </w:tr>
      <w:tr>
        <w:trPr/>
        <w:tc>
          <w:tcPr>
            <w:tcW w:w="5031" w:type="dxa"/>
            <w:tcBorders/>
          </w:tcPr>
          <w:p>
            <w:pPr>
              <w:pStyle w:val="Normal"/>
              <w:widowControl w:val="false"/>
              <w:rPr>
                <w:b/>
                <w:sz w:val="24"/>
                <w:szCs w:val="24"/>
              </w:rPr>
            </w:pPr>
            <w:r>
              <w:rPr>
                <w:b/>
                <w:sz w:val="24"/>
                <w:szCs w:val="24"/>
              </w:rPr>
              <w:t>Акционерное общество «Гидроремонт-ВКК» (АО «Гидроремонт-ВКК»)</w:t>
            </w:r>
          </w:p>
          <w:p>
            <w:pPr>
              <w:pStyle w:val="Normal"/>
              <w:widowControl w:val="false"/>
              <w:rPr>
                <w:sz w:val="24"/>
                <w:szCs w:val="24"/>
              </w:rPr>
            </w:pPr>
            <w:r>
              <w:rPr>
                <w:sz w:val="24"/>
                <w:szCs w:val="24"/>
              </w:rPr>
              <w:t xml:space="preserve">Место нахождения: </w:t>
            </w:r>
            <w:r>
              <w:rPr>
                <w:color w:val="000000"/>
                <w:sz w:val="24"/>
                <w:szCs w:val="24"/>
              </w:rPr>
              <w:t>603140, Россия, Нижегородская область, г.о. город Нижний Новгород, г. Нижний Новгород, пер. Мотальный, д. 8, помещ. ВП31, офис С1А</w:t>
            </w:r>
            <w:r>
              <w:rPr>
                <w:sz w:val="24"/>
                <w:szCs w:val="24"/>
              </w:rPr>
              <w:t>.</w:t>
            </w:r>
          </w:p>
          <w:p>
            <w:pPr>
              <w:pStyle w:val="Normal"/>
              <w:widowControl w:val="false"/>
              <w:rPr>
                <w:b/>
                <w:bCs/>
                <w:sz w:val="24"/>
                <w:szCs w:val="24"/>
              </w:rPr>
            </w:pPr>
            <w:r>
              <w:rPr>
                <w:b/>
                <w:bCs/>
                <w:sz w:val="24"/>
                <w:szCs w:val="24"/>
              </w:rPr>
              <w:t>Саратовский филиал АО «Гидроремонт-ВКК» в г. Балаково</w:t>
            </w:r>
          </w:p>
          <w:p>
            <w:pPr>
              <w:pStyle w:val="Normal"/>
              <w:widowControl w:val="false"/>
              <w:rPr>
                <w:sz w:val="24"/>
                <w:szCs w:val="24"/>
              </w:rPr>
            </w:pPr>
            <w:r>
              <w:rPr>
                <w:sz w:val="24"/>
                <w:szCs w:val="24"/>
              </w:rPr>
              <w:t>Место нахождения филиала: 413840, Российская Федерация, Саратовская обл., г. Балаково.</w:t>
            </w:r>
          </w:p>
          <w:p>
            <w:pPr>
              <w:pStyle w:val="Normal"/>
              <w:widowControl w:val="false"/>
              <w:rPr>
                <w:sz w:val="24"/>
                <w:szCs w:val="24"/>
              </w:rPr>
            </w:pPr>
            <w:r>
              <w:rPr>
                <w:sz w:val="24"/>
                <w:szCs w:val="24"/>
              </w:rPr>
              <w:t>Почтовый адрес для отправки корреспонденции в филиал: 413865, Российская Федерация, Саратовская область, г. Балаково, ул. Заовражная, 48, а/я 582, 25-ОПС.</w:t>
            </w:r>
          </w:p>
          <w:p>
            <w:pPr>
              <w:pStyle w:val="Normal"/>
              <w:widowControl w:val="false"/>
              <w:rPr>
                <w:sz w:val="24"/>
                <w:szCs w:val="24"/>
              </w:rPr>
            </w:pPr>
            <w:r>
              <w:rPr>
                <w:sz w:val="24"/>
                <w:szCs w:val="24"/>
              </w:rPr>
              <w:t>ИНН/КПП 6345012488/643903001</w:t>
            </w:r>
          </w:p>
          <w:p>
            <w:pPr>
              <w:pStyle w:val="Normal"/>
              <w:widowControl w:val="false"/>
              <w:rPr>
                <w:sz w:val="24"/>
                <w:szCs w:val="24"/>
              </w:rPr>
            </w:pPr>
            <w:r>
              <w:rPr>
                <w:sz w:val="24"/>
                <w:szCs w:val="24"/>
              </w:rPr>
              <w:t>ОГРН: 1036301733005</w:t>
            </w:r>
          </w:p>
          <w:p>
            <w:pPr>
              <w:pStyle w:val="Normal"/>
              <w:widowControl w:val="false"/>
              <w:rPr>
                <w:sz w:val="24"/>
                <w:szCs w:val="24"/>
              </w:rPr>
            </w:pPr>
            <w:r>
              <w:rPr>
                <w:sz w:val="24"/>
                <w:szCs w:val="24"/>
              </w:rPr>
              <w:t>ОКВЭД: 33.12</w:t>
            </w:r>
          </w:p>
          <w:p>
            <w:pPr>
              <w:pStyle w:val="Normal"/>
              <w:widowControl w:val="false"/>
              <w:rPr>
                <w:sz w:val="24"/>
                <w:szCs w:val="24"/>
              </w:rPr>
            </w:pPr>
            <w:r>
              <w:rPr>
                <w:sz w:val="24"/>
                <w:szCs w:val="24"/>
              </w:rPr>
              <w:t>ОКПО: 65814475</w:t>
            </w:r>
          </w:p>
          <w:p>
            <w:pPr>
              <w:pStyle w:val="Normal"/>
              <w:widowControl w:val="false"/>
              <w:rPr>
                <w:sz w:val="24"/>
                <w:szCs w:val="24"/>
              </w:rPr>
            </w:pPr>
            <w:r>
              <w:rPr>
                <w:sz w:val="24"/>
                <w:szCs w:val="24"/>
              </w:rPr>
              <w:t>Наименование банка: БАНК ГПБ (АО)</w:t>
            </w:r>
          </w:p>
          <w:p>
            <w:pPr>
              <w:pStyle w:val="Normal"/>
              <w:widowControl w:val="false"/>
              <w:rPr>
                <w:sz w:val="24"/>
                <w:szCs w:val="24"/>
              </w:rPr>
            </w:pPr>
            <w:r>
              <w:rPr>
                <w:sz w:val="24"/>
                <w:szCs w:val="24"/>
              </w:rPr>
              <w:t>Расчетный счет: 40702810500000046811</w:t>
            </w:r>
          </w:p>
          <w:p>
            <w:pPr>
              <w:pStyle w:val="Normal"/>
              <w:widowControl w:val="false"/>
              <w:rPr>
                <w:sz w:val="24"/>
                <w:szCs w:val="24"/>
              </w:rPr>
            </w:pPr>
            <w:r>
              <w:rPr>
                <w:sz w:val="24"/>
                <w:szCs w:val="24"/>
              </w:rPr>
              <w:t>К/с счет: 30101810200000000823</w:t>
            </w:r>
          </w:p>
          <w:p>
            <w:pPr>
              <w:pStyle w:val="Normal"/>
              <w:widowControl w:val="false"/>
              <w:rPr>
                <w:sz w:val="24"/>
                <w:szCs w:val="24"/>
              </w:rPr>
            </w:pPr>
            <w:r>
              <w:rPr>
                <w:sz w:val="24"/>
                <w:szCs w:val="24"/>
              </w:rPr>
              <w:t>БИК: 044525823</w:t>
            </w:r>
          </w:p>
          <w:p>
            <w:pPr>
              <w:pStyle w:val="Normal"/>
              <w:widowControl w:val="false"/>
              <w:rPr>
                <w:sz w:val="24"/>
                <w:szCs w:val="24"/>
              </w:rPr>
            </w:pPr>
            <w:r>
              <w:rPr>
                <w:sz w:val="24"/>
                <w:szCs w:val="24"/>
              </w:rPr>
              <w:t>Телефон 8 (8453) 35 84 50</w:t>
            </w:r>
          </w:p>
          <w:p>
            <w:pPr>
              <w:pStyle w:val="Normal"/>
              <w:widowControl w:val="false"/>
              <w:rPr/>
            </w:pPr>
            <w:r>
              <w:rPr>
                <w:sz w:val="24"/>
                <w:szCs w:val="24"/>
                <w:lang w:val="en-US"/>
              </w:rPr>
              <w:t>e</w:t>
            </w:r>
            <w:r>
              <w:rPr>
                <w:sz w:val="24"/>
                <w:szCs w:val="24"/>
              </w:rPr>
              <w:t>-</w:t>
            </w:r>
            <w:r>
              <w:rPr>
                <w:sz w:val="24"/>
                <w:szCs w:val="24"/>
                <w:lang w:val="en-US"/>
              </w:rPr>
              <w:t>mail</w:t>
            </w:r>
            <w:r>
              <w:rPr>
                <w:sz w:val="24"/>
                <w:szCs w:val="24"/>
              </w:rPr>
              <w:t xml:space="preserve">: </w:t>
            </w:r>
            <w:hyperlink r:id="rId8">
              <w:r>
                <w:rPr>
                  <w:sz w:val="24"/>
                  <w:szCs w:val="24"/>
                  <w:lang w:val="en-US"/>
                </w:rPr>
                <w:t>balakovo</w:t>
              </w:r>
              <w:r>
                <w:rPr>
                  <w:sz w:val="24"/>
                  <w:szCs w:val="24"/>
                </w:rPr>
                <w:t>@</w:t>
              </w:r>
              <w:r>
                <w:rPr>
                  <w:sz w:val="24"/>
                  <w:szCs w:val="24"/>
                  <w:lang w:val="en-US"/>
                </w:rPr>
                <w:t>rushydro</w:t>
              </w:r>
              <w:r>
                <w:rPr>
                  <w:sz w:val="24"/>
                  <w:szCs w:val="24"/>
                </w:rPr>
                <w:t>.</w:t>
              </w:r>
              <w:r>
                <w:rPr>
                  <w:sz w:val="24"/>
                  <w:szCs w:val="24"/>
                  <w:lang w:val="en-US"/>
                </w:rPr>
                <w:t>ru</w:t>
              </w:r>
            </w:hyperlink>
          </w:p>
          <w:p>
            <w:pPr>
              <w:pStyle w:val="Normal"/>
              <w:widowControl w:val="false"/>
              <w:rPr>
                <w:sz w:val="24"/>
                <w:szCs w:val="24"/>
              </w:rPr>
            </w:pPr>
            <w:r>
              <w:rPr>
                <w:sz w:val="24"/>
                <w:szCs w:val="24"/>
              </w:rPr>
            </w:r>
          </w:p>
        </w:tc>
        <w:tc>
          <w:tcPr>
            <w:tcW w:w="48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5031"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889"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sectPr>
          <w:headerReference w:type="default" r:id="rId9"/>
          <w:footerReference w:type="even" r:id="rId10"/>
          <w:footerReference w:type="default" r:id="rId11"/>
          <w:footerReference w:type="first" r:id="rId12"/>
          <w:footnotePr>
            <w:numFmt w:val="decimal"/>
          </w:footnotePr>
          <w:type w:val="nextPage"/>
          <w:pgSz w:w="11906" w:h="16838"/>
          <w:pgMar w:left="1134" w:right="850" w:gutter="0" w:header="1134" w:top="1548" w:footer="1134" w:bottom="1548"/>
          <w:pgNumType w:fmt="decimal"/>
          <w:formProt w:val="false"/>
          <w:textDirection w:val="lrTb"/>
          <w:docGrid w:type="default" w:linePitch="100" w:charSpace="16384"/>
        </w:sectPr>
      </w:pPr>
    </w:p>
    <w:p>
      <w:pPr>
        <w:pStyle w:val="BodyText"/>
        <w:numPr>
          <w:ilvl w:val="0"/>
          <w:numId w:val="0"/>
        </w:numPr>
        <w:spacing w:before="0" w:after="6"/>
        <w:ind w:left="0" w:firstLine="567"/>
        <w:jc w:val="right"/>
        <w:outlineLvl w:val="0"/>
        <w:rPr/>
      </w:pPr>
      <w:r>
        <w:rPr>
          <w:b/>
          <w:bCs/>
          <w:sz w:val="24"/>
          <w:szCs w:val="24"/>
        </w:rPr>
        <w:t>Приложение № 1</w:t>
      </w:r>
    </w:p>
    <w:p>
      <w:pPr>
        <w:pStyle w:val="BodyText"/>
        <w:spacing w:before="0" w:after="6"/>
        <w:ind w:firstLine="567"/>
        <w:jc w:val="right"/>
        <w:rPr/>
      </w:pPr>
      <w:r>
        <w:rPr>
          <w:bCs/>
          <w:sz w:val="24"/>
          <w:szCs w:val="24"/>
        </w:rPr>
        <w:t>к договору поставки</w:t>
      </w:r>
    </w:p>
    <w:p>
      <w:pPr>
        <w:pStyle w:val="BodyText"/>
        <w:spacing w:before="0" w:after="6"/>
        <w:ind w:firstLine="567"/>
        <w:jc w:val="right"/>
        <w:rPr/>
      </w:pPr>
      <w:r>
        <w:rPr>
          <w:bCs/>
          <w:sz w:val="24"/>
          <w:szCs w:val="24"/>
        </w:rPr>
        <w:t xml:space="preserve">№ </w:t>
      </w:r>
      <w:r>
        <w:rPr>
          <w:bCs/>
          <w:sz w:val="24"/>
          <w:szCs w:val="24"/>
        </w:rPr>
        <w:t>_____от «___» _________ ______ г.</w:t>
      </w:r>
    </w:p>
    <w:p>
      <w:pPr>
        <w:pStyle w:val="BodyText"/>
        <w:spacing w:before="0" w:after="6"/>
        <w:ind w:firstLine="567"/>
        <w:jc w:val="right"/>
        <w:rPr>
          <w:bCs/>
          <w:sz w:val="24"/>
          <w:szCs w:val="24"/>
        </w:rPr>
      </w:pPr>
      <w:r>
        <w:rPr/>
      </w:r>
    </w:p>
    <w:p>
      <w:pPr>
        <w:pStyle w:val="Normal"/>
        <w:numPr>
          <w:ilvl w:val="0"/>
          <w:numId w:val="0"/>
        </w:numPr>
        <w:ind w:left="0" w:firstLine="567"/>
        <w:jc w:val="center"/>
        <w:outlineLvl w:val="0"/>
        <w:rPr>
          <w:sz w:val="24"/>
          <w:szCs w:val="24"/>
        </w:rPr>
      </w:pPr>
      <w:r>
        <w:rPr>
          <w:b/>
          <w:sz w:val="24"/>
          <w:szCs w:val="24"/>
        </w:rPr>
        <w:t>Спецификация</w:t>
      </w:r>
    </w:p>
    <w:p>
      <w:pPr>
        <w:pStyle w:val="Normal"/>
        <w:numPr>
          <w:ilvl w:val="0"/>
          <w:numId w:val="0"/>
        </w:numPr>
        <w:ind w:left="0" w:firstLine="567"/>
        <w:jc w:val="center"/>
        <w:outlineLvl w:val="0"/>
        <w:rPr>
          <w:b/>
          <w:i/>
          <w:i/>
          <w:sz w:val="24"/>
          <w:szCs w:val="24"/>
        </w:rPr>
      </w:pPr>
      <w:r>
        <w:rPr>
          <w:b/>
          <w:i/>
          <w:sz w:val="24"/>
          <w:szCs w:val="24"/>
        </w:rPr>
      </w:r>
    </w:p>
    <w:tbl>
      <w:tblPr>
        <w:tblW w:w="14995" w:type="dxa"/>
        <w:jc w:val="left"/>
        <w:tblInd w:w="28" w:type="dxa"/>
        <w:tblLayout w:type="fixed"/>
        <w:tblCellMar>
          <w:top w:w="0" w:type="dxa"/>
          <w:left w:w="28" w:type="dxa"/>
          <w:bottom w:w="0" w:type="dxa"/>
          <w:right w:w="28" w:type="dxa"/>
        </w:tblCellMar>
        <w:tblLook w:val="04a0" w:noHBand="0" w:noVBand="1" w:firstColumn="1" w:lastRow="0" w:lastColumn="0" w:firstRow="1"/>
      </w:tblPr>
      <w:tblGrid>
        <w:gridCol w:w="427"/>
        <w:gridCol w:w="4879"/>
        <w:gridCol w:w="2260"/>
        <w:gridCol w:w="2189"/>
        <w:gridCol w:w="826"/>
        <w:gridCol w:w="1133"/>
        <w:gridCol w:w="1645"/>
        <w:gridCol w:w="1634"/>
      </w:tblGrid>
      <w:tr>
        <w:trPr>
          <w:trHeight w:val="227" w:hRule="atLeast"/>
        </w:trPr>
        <w:tc>
          <w:tcPr>
            <w:tcW w:w="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п/п</w:t>
            </w:r>
          </w:p>
        </w:tc>
        <w:tc>
          <w:tcPr>
            <w:tcW w:w="48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w:t>
            </w:r>
          </w:p>
        </w:tc>
        <w:tc>
          <w:tcPr>
            <w:tcW w:w="22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widowControl w:val="false"/>
              <w:jc w:val="center"/>
              <w:rPr>
                <w:bCs/>
              </w:rPr>
            </w:pPr>
            <w:r>
              <w:rPr>
                <w:bCs/>
              </w:rPr>
              <w:t>Страна происхождения Продукции</w:t>
            </w:r>
          </w:p>
        </w:tc>
        <w:tc>
          <w:tcPr>
            <w:tcW w:w="21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widowControl w:val="false"/>
              <w:jc w:val="center"/>
              <w:rPr>
                <w:bCs/>
              </w:rPr>
            </w:pPr>
            <w:r>
              <w:rPr>
                <w:bCs/>
              </w:rPr>
              <w:t>Производитель Продукции</w:t>
            </w:r>
          </w:p>
        </w:tc>
        <w:tc>
          <w:tcPr>
            <w:tcW w:w="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 изм.</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Кол-во</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rPr>
              <w:t xml:space="preserve">Цена  за ед., руб. без </w:t>
            </w:r>
            <w:r>
              <w:rPr>
                <w:bCs/>
                <w:sz w:val="20"/>
                <w:szCs w:val="20"/>
              </w:rPr>
              <w:t xml:space="preserve">учёта </w:t>
            </w:r>
            <w:r>
              <w:rPr>
                <w:bCs/>
                <w:sz w:val="20"/>
                <w:szCs w:val="20"/>
              </w:rPr>
              <w:t>НДС</w:t>
            </w:r>
          </w:p>
        </w:tc>
        <w:tc>
          <w:tcPr>
            <w:tcW w:w="1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Cs/>
                <w:sz w:val="20"/>
                <w:szCs w:val="20"/>
              </w:rPr>
              <w:t>Сумма, руб.</w:t>
            </w:r>
          </w:p>
          <w:p>
            <w:pPr>
              <w:pStyle w:val="Normal"/>
              <w:widowControl w:val="false"/>
              <w:jc w:val="center"/>
              <w:rPr>
                <w:sz w:val="20"/>
                <w:szCs w:val="20"/>
              </w:rPr>
            </w:pPr>
            <w:r>
              <w:rPr>
                <w:bCs/>
                <w:sz w:val="20"/>
                <w:szCs w:val="20"/>
              </w:rPr>
              <w:t>без уч</w:t>
            </w:r>
            <w:r>
              <w:rPr>
                <w:bCs/>
                <w:sz w:val="20"/>
                <w:szCs w:val="20"/>
              </w:rPr>
              <w:t>ё</w:t>
            </w:r>
            <w:r>
              <w:rPr>
                <w:bCs/>
                <w:sz w:val="20"/>
                <w:szCs w:val="20"/>
              </w:rPr>
              <w:t>та НДС</w:t>
            </w:r>
          </w:p>
        </w:tc>
      </w:tr>
      <w:tr>
        <w:trPr>
          <w:trHeight w:val="227" w:hRule="atLeast"/>
        </w:trPr>
        <w:tc>
          <w:tcPr>
            <w:tcW w:w="42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pPr>
            <w:r>
              <w:rPr/>
              <w:t>1</w:t>
            </w:r>
          </w:p>
        </w:tc>
        <w:tc>
          <w:tcPr>
            <w:tcW w:w="4879" w:type="dxa"/>
            <w:tcBorders>
              <w:left w:val="single" w:sz="4" w:space="0" w:color="000000"/>
              <w:bottom w:val="single" w:sz="4" w:space="0" w:color="000000"/>
              <w:right w:val="single" w:sz="4" w:space="0" w:color="000000"/>
            </w:tcBorders>
            <w:shd w:color="auto" w:fill="FFFFFF" w:val="clear"/>
            <w:vAlign w:val="center"/>
          </w:tcPr>
          <w:p>
            <w:pPr>
              <w:pStyle w:val="Style25"/>
              <w:widowControl w:val="false"/>
              <w:rPr>
                <w:sz w:val="20"/>
                <w:szCs w:val="20"/>
                <w:u w:val="single"/>
              </w:rPr>
            </w:pPr>
            <w:r>
              <w:rPr>
                <w:color w:val="000000"/>
                <w:sz w:val="20"/>
                <w:szCs w:val="20"/>
                <w:u w:val="single"/>
              </w:rPr>
              <w:t>Сухой лёд</w:t>
            </w:r>
          </w:p>
        </w:tc>
        <w:tc>
          <w:tcPr>
            <w:tcW w:w="2260"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jc w:val="center"/>
              <w:rPr/>
            </w:pPr>
            <w:r>
              <w:rPr/>
            </w:r>
          </w:p>
        </w:tc>
        <w:tc>
          <w:tcPr>
            <w:tcW w:w="2189"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widowControl w:val="false"/>
              <w:jc w:val="center"/>
              <w:rPr/>
            </w:pPr>
            <w:r>
              <w:rPr/>
            </w:r>
          </w:p>
        </w:tc>
        <w:tc>
          <w:tcPr>
            <w:tcW w:w="8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5"/>
              <w:widowControl w:val="false"/>
              <w:spacing w:lineRule="auto" w:line="240" w:before="0" w:after="0"/>
              <w:jc w:val="center"/>
              <w:rPr>
                <w:sz w:val="20"/>
                <w:szCs w:val="20"/>
              </w:rPr>
            </w:pPr>
            <w:r>
              <w:rPr>
                <w:sz w:val="20"/>
                <w:szCs w:val="20"/>
              </w:rPr>
              <w:t>т</w:t>
            </w:r>
          </w:p>
        </w:tc>
        <w:tc>
          <w:tcPr>
            <w:tcW w:w="113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5"/>
              <w:widowControl w:val="false"/>
              <w:jc w:val="center"/>
              <w:rPr>
                <w:color w:val="000000"/>
                <w:sz w:val="22"/>
                <w:szCs w:val="22"/>
                <w:lang w:val="en-US"/>
              </w:rPr>
            </w:pPr>
            <w:r>
              <w:rPr>
                <w:color w:val="000000"/>
                <w:sz w:val="20"/>
                <w:szCs w:val="20"/>
                <w:lang w:val="en-US"/>
              </w:rPr>
              <w:t>3,2</w:t>
            </w:r>
          </w:p>
        </w:tc>
        <w:tc>
          <w:tcPr>
            <w:tcW w:w="164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pPr>
            <w:r>
              <w:rPr/>
            </w:r>
          </w:p>
        </w:tc>
        <w:tc>
          <w:tcPr>
            <w:tcW w:w="163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color w:val="000000"/>
              </w:rPr>
            </w:pPr>
            <w:r>
              <w:rPr>
                <w:color w:val="000000"/>
              </w:rPr>
            </w:r>
          </w:p>
        </w:tc>
      </w:tr>
      <w:tr>
        <w:trPr>
          <w:trHeight w:val="227" w:hRule="atLeast"/>
        </w:trPr>
        <w:tc>
          <w:tcPr>
            <w:tcW w:w="13359" w:type="dxa"/>
            <w:gridSpan w:val="7"/>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firstLine="567"/>
              <w:jc w:val="right"/>
              <w:rPr>
                <w:sz w:val="20"/>
                <w:szCs w:val="20"/>
              </w:rPr>
            </w:pPr>
            <w:r>
              <w:rPr>
                <w:b/>
                <w:sz w:val="20"/>
                <w:szCs w:val="20"/>
              </w:rPr>
              <w:t xml:space="preserve">ИТОГО без </w:t>
            </w:r>
            <w:r>
              <w:rPr>
                <w:b/>
                <w:sz w:val="20"/>
                <w:szCs w:val="20"/>
              </w:rPr>
              <w:t xml:space="preserve">учёта </w:t>
            </w:r>
            <w:r>
              <w:rPr>
                <w:b/>
                <w:sz w:val="20"/>
                <w:szCs w:val="20"/>
              </w:rPr>
              <w:t>НДС</w:t>
            </w:r>
          </w:p>
        </w:tc>
        <w:tc>
          <w:tcPr>
            <w:tcW w:w="163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right"/>
              <w:rPr>
                <w:b/>
              </w:rPr>
            </w:pPr>
            <w:r>
              <w:rPr>
                <w:b/>
              </w:rPr>
            </w:r>
          </w:p>
        </w:tc>
      </w:tr>
    </w:tbl>
    <w:p>
      <w:pPr>
        <w:pStyle w:val="BodyText"/>
        <w:rPr>
          <w:sz w:val="22"/>
          <w:szCs w:val="22"/>
        </w:rPr>
      </w:pPr>
      <w:r>
        <w:rPr/>
      </w:r>
    </w:p>
    <w:p>
      <w:pPr>
        <w:pStyle w:val="BodyText"/>
        <w:rPr>
          <w:sz w:val="22"/>
          <w:szCs w:val="22"/>
        </w:rPr>
      </w:pPr>
      <w:r>
        <w:rPr>
          <w:b/>
          <w:bCs/>
          <w:i/>
          <w:sz w:val="22"/>
          <w:szCs w:val="22"/>
        </w:rPr>
        <w:t>Условия поставки:</w:t>
      </w:r>
    </w:p>
    <w:p>
      <w:pPr>
        <w:pStyle w:val="ListParagraph"/>
        <w:shd w:val="clear" w:color="auto" w:fill="FFFFFF"/>
        <w:tabs>
          <w:tab w:val="clear" w:pos="720"/>
          <w:tab w:val="left" w:pos="851" w:leader="none"/>
          <w:tab w:val="left" w:pos="5321" w:leader="none"/>
        </w:tabs>
        <w:spacing w:before="0" w:after="0"/>
        <w:ind w:left="0" w:hanging="0"/>
        <w:contextualSpacing w:val="false"/>
        <w:jc w:val="both"/>
        <w:rPr>
          <w:sz w:val="22"/>
          <w:szCs w:val="22"/>
        </w:rPr>
      </w:pPr>
      <w:r>
        <w:rPr>
          <w:bCs/>
          <w:sz w:val="22"/>
          <w:szCs w:val="22"/>
        </w:rPr>
        <w:t xml:space="preserve">1. Общая сумма Спецификации составляет </w:t>
      </w:r>
      <w:r>
        <w:rPr>
          <w:sz w:val="22"/>
          <w:szCs w:val="22"/>
        </w:rPr>
        <w:t>__________(__________________) рублей _____ копеек</w:t>
      </w:r>
      <w:r>
        <w:rPr>
          <w:bCs/>
          <w:sz w:val="22"/>
          <w:szCs w:val="22"/>
          <w:u w:val="none"/>
        </w:rPr>
        <w:t xml:space="preserve"> </w:t>
      </w:r>
      <w:r>
        <w:rPr>
          <w:bCs/>
          <w:sz w:val="22"/>
          <w:szCs w:val="22"/>
          <w:u w:val="single"/>
        </w:rPr>
        <w:t>без учёта НДС, при этом НДС исчисляется дополнительно по ставке, установленной ст.164 Налогового кодекса РФ.</w:t>
      </w:r>
      <w:r>
        <w:rPr>
          <w:rStyle w:val="FootnoteReference"/>
          <w:bCs/>
          <w:sz w:val="22"/>
          <w:szCs w:val="22"/>
          <w:u w:val="single"/>
        </w:rPr>
        <w:footnoteReference w:id="6"/>
      </w:r>
    </w:p>
    <w:p>
      <w:pPr>
        <w:pStyle w:val="Normal"/>
        <w:widowControl w:val="false"/>
        <w:jc w:val="both"/>
        <w:rPr>
          <w:sz w:val="22"/>
          <w:szCs w:val="22"/>
        </w:rPr>
      </w:pPr>
      <w:r>
        <w:rPr>
          <w:sz w:val="22"/>
          <w:szCs w:val="22"/>
        </w:rPr>
        <w:t>2. Характеристики Продукции: согласно настоящей Спецификации и Техническим требованиям (Приложение №</w:t>
      </w:r>
      <w:r>
        <w:rPr>
          <w:sz w:val="22"/>
          <w:szCs w:val="22"/>
        </w:rPr>
        <w:t>3</w:t>
      </w:r>
      <w:r>
        <w:rPr>
          <w:sz w:val="22"/>
          <w:szCs w:val="22"/>
        </w:rPr>
        <w:t>) к Договору.</w:t>
      </w:r>
    </w:p>
    <w:p>
      <w:pPr>
        <w:pStyle w:val="ListParagraph"/>
        <w:tabs>
          <w:tab w:val="clear" w:pos="720"/>
          <w:tab w:val="left" w:pos="284" w:leader="none"/>
        </w:tabs>
        <w:ind w:left="0" w:hanging="0"/>
        <w:jc w:val="both"/>
        <w:rPr>
          <w:sz w:val="22"/>
          <w:szCs w:val="22"/>
        </w:rPr>
      </w:pPr>
      <w:r>
        <w:rPr>
          <w:sz w:val="22"/>
          <w:szCs w:val="22"/>
        </w:rPr>
        <w:t xml:space="preserve">3. </w:t>
      </w:r>
      <w:r>
        <w:rPr>
          <w:bCs/>
          <w:sz w:val="22"/>
          <w:szCs w:val="22"/>
          <w:lang w:eastAsia="en-US"/>
        </w:rPr>
        <w:t>Приемка Продукции осуществляется на территории Филиала ПАО «РусГидро» - «Саратовская ГЭС» в рабочие дни</w:t>
      </w:r>
      <w:r>
        <w:rPr>
          <w:rFonts w:eastAsia="Calibri" w:cs="Times New Roman"/>
          <w:bCs/>
          <w:color w:val="000000"/>
          <w:kern w:val="0"/>
          <w:sz w:val="22"/>
          <w:szCs w:val="22"/>
          <w:shd w:fill="FFFFFF" w:val="clear"/>
          <w:lang w:val="ru-RU" w:eastAsia="en-US" w:bidi="ar-SA"/>
        </w:rPr>
        <w:t xml:space="preserve"> с 8-00 до 12-00 и с 13-00 до 16-00 (по местному времени)</w:t>
      </w:r>
      <w:r>
        <w:rPr>
          <w:bCs/>
          <w:sz w:val="22"/>
          <w:szCs w:val="22"/>
          <w:lang w:eastAsia="en-US"/>
        </w:rPr>
        <w:t>. Информация о транспорте, на котором осуществляется доставка Продукции, для оформления допуска на территорию Филиала ПАО «РусГидро» - «Саратовская ГЭС» предоставляется Поставщиком Покупателю не позднее чем за 2 рабочих дня, предшествующих дню поставки.</w:t>
      </w:r>
    </w:p>
    <w:p>
      <w:pPr>
        <w:pStyle w:val="Normal"/>
        <w:widowControl w:val="false"/>
        <w:tabs>
          <w:tab w:val="clear" w:pos="720"/>
          <w:tab w:val="left" w:pos="284" w:leader="none"/>
        </w:tabs>
        <w:jc w:val="both"/>
        <w:rPr>
          <w:sz w:val="22"/>
          <w:szCs w:val="22"/>
        </w:rPr>
      </w:pPr>
      <w:r>
        <w:rPr>
          <w:sz w:val="22"/>
          <w:szCs w:val="22"/>
        </w:rPr>
        <w:t>4. При оформлении первичных документов указывать следующие реквизиты:</w:t>
      </w:r>
    </w:p>
    <w:p>
      <w:pPr>
        <w:pStyle w:val="BodyTextIndent"/>
        <w:ind w:hanging="0"/>
        <w:rPr>
          <w:sz w:val="22"/>
          <w:szCs w:val="22"/>
        </w:rPr>
      </w:pPr>
      <w:r>
        <w:rPr>
          <w:b/>
          <w:sz w:val="22"/>
          <w:szCs w:val="22"/>
        </w:rPr>
        <w:t>Покупатель:</w:t>
      </w:r>
    </w:p>
    <w:p>
      <w:pPr>
        <w:pStyle w:val="Normal"/>
        <w:jc w:val="both"/>
        <w:rPr>
          <w:sz w:val="22"/>
          <w:szCs w:val="22"/>
        </w:rPr>
      </w:pPr>
      <w:r>
        <w:rPr>
          <w:b/>
          <w:sz w:val="22"/>
          <w:szCs w:val="22"/>
        </w:rPr>
        <w:t>АО «Гидроремонт-ВКК»</w:t>
      </w:r>
    </w:p>
    <w:p>
      <w:pPr>
        <w:pStyle w:val="Normal"/>
        <w:jc w:val="both"/>
        <w:rPr>
          <w:sz w:val="22"/>
          <w:szCs w:val="22"/>
        </w:rPr>
      </w:pPr>
      <w:r>
        <w:rPr>
          <w:sz w:val="22"/>
          <w:szCs w:val="22"/>
        </w:rPr>
        <w:t xml:space="preserve">Место нахождения: </w:t>
      </w:r>
      <w:r>
        <w:rPr>
          <w:color w:val="000000"/>
          <w:sz w:val="22"/>
          <w:szCs w:val="22"/>
        </w:rPr>
        <w:t>603140, Россия, Нижегородская область, г.о. город Нижний Новгород, г. Нижний Новгород, пер. Мотальный, д. 8, помещ. ВП31, офис С1А</w:t>
      </w:r>
      <w:r>
        <w:rPr>
          <w:sz w:val="22"/>
          <w:szCs w:val="22"/>
        </w:rPr>
        <w:t>.</w:t>
      </w:r>
    </w:p>
    <w:p>
      <w:pPr>
        <w:pStyle w:val="Normal"/>
        <w:tabs>
          <w:tab w:val="clear" w:pos="720"/>
          <w:tab w:val="left" w:pos="284" w:leader="none"/>
        </w:tabs>
        <w:jc w:val="both"/>
        <w:rPr>
          <w:sz w:val="22"/>
          <w:szCs w:val="22"/>
        </w:rPr>
      </w:pPr>
      <w:r>
        <w:rPr>
          <w:sz w:val="22"/>
          <w:szCs w:val="22"/>
        </w:rPr>
        <w:t>ИНН/КПП: 6345012488/643903001.</w:t>
      </w:r>
    </w:p>
    <w:p>
      <w:pPr>
        <w:pStyle w:val="Normal"/>
        <w:tabs>
          <w:tab w:val="clear" w:pos="720"/>
          <w:tab w:val="left" w:pos="284" w:leader="none"/>
          <w:tab w:val="left" w:pos="426" w:leader="none"/>
        </w:tabs>
        <w:jc w:val="both"/>
        <w:rPr>
          <w:sz w:val="22"/>
          <w:szCs w:val="22"/>
        </w:rPr>
      </w:pPr>
      <w:r>
        <w:rPr>
          <w:b/>
          <w:sz w:val="22"/>
          <w:szCs w:val="22"/>
        </w:rPr>
        <w:t>Плательщик / Грузополучатель:</w:t>
      </w:r>
    </w:p>
    <w:p>
      <w:pPr>
        <w:pStyle w:val="Normal"/>
        <w:numPr>
          <w:ilvl w:val="0"/>
          <w:numId w:val="0"/>
        </w:numPr>
        <w:ind w:left="0" w:hanging="0"/>
        <w:outlineLvl w:val="0"/>
        <w:rPr>
          <w:sz w:val="22"/>
          <w:szCs w:val="22"/>
        </w:rPr>
      </w:pPr>
      <w:r>
        <w:rPr>
          <w:b/>
          <w:sz w:val="22"/>
          <w:szCs w:val="22"/>
        </w:rPr>
        <w:t>Саратовский филиал АО «Гидроремонт-ВКК» в г. Балаково</w:t>
      </w:r>
    </w:p>
    <w:p>
      <w:pPr>
        <w:pStyle w:val="Normal"/>
        <w:tabs>
          <w:tab w:val="clear" w:pos="720"/>
          <w:tab w:val="left" w:pos="284" w:leader="none"/>
        </w:tabs>
        <w:jc w:val="both"/>
        <w:rPr>
          <w:sz w:val="22"/>
          <w:szCs w:val="22"/>
        </w:rPr>
      </w:pPr>
      <w:r>
        <w:rPr>
          <w:sz w:val="22"/>
          <w:szCs w:val="22"/>
        </w:rPr>
        <w:t>Место нахождения филиала: 413840, Саратовская обл., г. Балаково.</w:t>
      </w:r>
    </w:p>
    <w:p>
      <w:pPr>
        <w:pStyle w:val="Normal"/>
        <w:tabs>
          <w:tab w:val="clear" w:pos="720"/>
          <w:tab w:val="left" w:pos="284" w:leader="none"/>
          <w:tab w:val="left" w:pos="426" w:leader="none"/>
        </w:tabs>
        <w:jc w:val="both"/>
        <w:rPr>
          <w:sz w:val="12"/>
          <w:szCs w:val="12"/>
        </w:rPr>
      </w:pPr>
      <w:r>
        <w:rPr>
          <w:sz w:val="12"/>
          <w:szCs w:val="12"/>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20"/>
              <w:widowControl w:val="false"/>
              <w:spacing w:lineRule="auto" w:line="240" w:before="0" w:after="0"/>
              <w:jc w:val="left"/>
              <w:rPr>
                <w:sz w:val="22"/>
                <w:szCs w:val="22"/>
              </w:rPr>
            </w:pPr>
            <w:r>
              <w:rPr>
                <w:rFonts w:ascii="Times New Roman" w:hAnsi="Times New Roman"/>
                <w:b/>
                <w:sz w:val="22"/>
                <w:szCs w:val="22"/>
                <w:u w:val="single"/>
                <w:lang w:val="ru-RU"/>
              </w:rPr>
              <w:t>Покупатель</w:t>
            </w:r>
            <w:r>
              <w:rPr>
                <w:rFonts w:ascii="Times New Roman" w:hAnsi="Times New Roman"/>
                <w:b/>
                <w:sz w:val="22"/>
                <w:szCs w:val="22"/>
                <w:u w:val="single"/>
              </w:rPr>
              <w:t>:</w:t>
            </w:r>
          </w:p>
        </w:tc>
        <w:tc>
          <w:tcPr>
            <w:tcW w:w="4785" w:type="dxa"/>
            <w:tcBorders/>
            <w:shd w:color="auto" w:fill="FFFFFF" w:themeFill="background1" w:val="clear"/>
          </w:tcPr>
          <w:p>
            <w:pPr>
              <w:pStyle w:val="Style20"/>
              <w:widowControl w:val="false"/>
              <w:spacing w:lineRule="auto" w:line="240" w:before="0" w:after="0"/>
              <w:jc w:val="left"/>
              <w:rPr>
                <w:sz w:val="22"/>
                <w:szCs w:val="22"/>
              </w:rPr>
            </w:pPr>
            <w:r>
              <w:rPr>
                <w:rFonts w:ascii="Times New Roman" w:hAnsi="Times New Roman"/>
                <w:b/>
                <w:sz w:val="22"/>
                <w:szCs w:val="22"/>
                <w:u w:val="single"/>
                <w:lang w:val="ru-RU"/>
              </w:rPr>
              <w:t>Поставщик</w:t>
            </w:r>
            <w:r>
              <w:rPr>
                <w:rFonts w:ascii="Times New Roman" w:hAnsi="Times New Roman"/>
                <w:b/>
                <w:sz w:val="22"/>
                <w:szCs w:val="22"/>
                <w:u w:val="single"/>
              </w:rPr>
              <w:t>:</w:t>
            </w:r>
          </w:p>
        </w:tc>
      </w:tr>
      <w:tr>
        <w:trPr/>
        <w:tc>
          <w:tcPr>
            <w:tcW w:w="4785" w:type="dxa"/>
            <w:tcBorders/>
            <w:shd w:color="auto" w:fill="FFFFFF" w:themeFill="background1" w:val="clear"/>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 /</w:t>
            </w:r>
          </w:p>
          <w:p>
            <w:pPr>
              <w:pStyle w:val="Normal"/>
              <w:widowControl w:val="false"/>
              <w:rPr>
                <w:sz w:val="22"/>
                <w:szCs w:val="22"/>
              </w:rPr>
            </w:pPr>
            <w:r>
              <w:rPr>
                <w:bCs/>
                <w:sz w:val="22"/>
                <w:szCs w:val="22"/>
              </w:rPr>
              <w:t>м.п.</w:t>
            </w:r>
          </w:p>
        </w:tc>
        <w:tc>
          <w:tcPr>
            <w:tcW w:w="4785" w:type="dxa"/>
            <w:tcBorders/>
            <w:shd w:color="auto" w:fill="FFFFFF" w:themeFill="background1" w:val="clear"/>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 /</w:t>
            </w:r>
          </w:p>
          <w:p>
            <w:pPr>
              <w:pStyle w:val="Normal"/>
              <w:widowControl w:val="false"/>
              <w:rPr>
                <w:sz w:val="22"/>
                <w:szCs w:val="22"/>
              </w:rPr>
            </w:pPr>
            <w:r>
              <w:rPr>
                <w:sz w:val="22"/>
                <w:szCs w:val="22"/>
              </w:rPr>
              <w:t>м.п.</w:t>
            </w:r>
          </w:p>
        </w:tc>
      </w:tr>
    </w:tbl>
    <w:p>
      <w:pPr>
        <w:sectPr>
          <w:headerReference w:type="default" r:id="rId13"/>
          <w:headerReference w:type="first" r:id="rId14"/>
          <w:footerReference w:type="default" r:id="rId15"/>
          <w:footerReference w:type="first" r:id="rId16"/>
          <w:footnotePr>
            <w:numFmt w:val="decimal"/>
          </w:footnotePr>
          <w:type w:val="nextPage"/>
          <w:pgSz w:orient="landscape" w:w="16838" w:h="11906"/>
          <w:pgMar w:left="1134" w:right="709" w:gutter="0" w:header="454" w:top="868" w:footer="454" w:bottom="868"/>
          <w:pgNumType w:fmt="decimal"/>
          <w:formProt w:val="false"/>
          <w:textDirection w:val="lrTb"/>
          <w:docGrid w:type="default" w:linePitch="100" w:charSpace="16384"/>
        </w:sectPr>
      </w:pPr>
      <w:r>
        <w:br w:type="page"/>
      </w:r>
    </w:p>
    <w:p>
      <w:pPr>
        <w:pStyle w:val="BodyText"/>
        <w:numPr>
          <w:ilvl w:val="0"/>
          <w:numId w:val="0"/>
        </w:numPr>
        <w:spacing w:before="0" w:after="6"/>
        <w:ind w:left="0" w:firstLine="567"/>
        <w:jc w:val="right"/>
        <w:outlineLvl w:val="0"/>
        <w:rPr>
          <w:b/>
          <w:bCs/>
          <w:sz w:val="24"/>
          <w:szCs w:val="24"/>
        </w:rPr>
      </w:pPr>
      <w:r>
        <w:rPr>
          <w:b/>
          <w:bCs/>
          <w:sz w:val="24"/>
          <w:szCs w:val="24"/>
        </w:rPr>
        <w:t>Приложение № 2</w:t>
      </w:r>
    </w:p>
    <w:p>
      <w:pPr>
        <w:pStyle w:val="BodyText"/>
        <w:spacing w:before="0" w:after="6"/>
        <w:ind w:firstLine="567"/>
        <w:jc w:val="right"/>
        <w:rPr>
          <w:szCs w:val="22"/>
        </w:rPr>
      </w:pPr>
      <w:r>
        <w:rPr>
          <w:bCs/>
          <w:sz w:val="24"/>
          <w:szCs w:val="24"/>
        </w:rPr>
        <w:t xml:space="preserve">к договору поставки </w:t>
      </w:r>
    </w:p>
    <w:p>
      <w:pPr>
        <w:pStyle w:val="BodyText"/>
        <w:spacing w:before="0" w:after="6"/>
        <w:ind w:firstLine="567"/>
        <w:jc w:val="right"/>
        <w:rPr>
          <w:szCs w:val="22"/>
        </w:rPr>
      </w:pPr>
      <w:r>
        <w:rPr>
          <w:b w:val="false"/>
          <w:bCs/>
          <w:sz w:val="24"/>
          <w:szCs w:val="24"/>
        </w:rPr>
        <w:t xml:space="preserve">№ </w:t>
      </w:r>
      <w:r>
        <w:rPr>
          <w:b w:val="false"/>
          <w:bCs/>
          <w:sz w:val="24"/>
          <w:szCs w:val="24"/>
        </w:rPr>
        <w:t>_____от «___» _________ 20__ г</w:t>
      </w:r>
      <w:r>
        <w:rPr>
          <w:b w:val="false"/>
          <w:bCs/>
          <w:color w:val="000000"/>
          <w:sz w:val="24"/>
          <w:szCs w:val="24"/>
        </w:rPr>
        <w:t>ода</w:t>
      </w:r>
    </w:p>
    <w:p>
      <w:pPr>
        <w:pStyle w:val="Normal"/>
        <w:numPr>
          <w:ilvl w:val="0"/>
          <w:numId w:val="0"/>
        </w:numPr>
        <w:spacing w:before="0" w:after="120"/>
        <w:ind w:left="0" w:firstLine="567"/>
        <w:jc w:val="center"/>
        <w:outlineLvl w:val="0"/>
        <w:rPr>
          <w:b/>
          <w:sz w:val="24"/>
          <w:szCs w:val="24"/>
          <w:u w:val="single"/>
        </w:rPr>
      </w:pPr>
      <w:r>
        <w:rPr>
          <w:b/>
          <w:sz w:val="24"/>
          <w:szCs w:val="24"/>
          <w:u w:val="single"/>
        </w:rPr>
      </w:r>
    </w:p>
    <w:p>
      <w:pPr>
        <w:pStyle w:val="Normal"/>
        <w:numPr>
          <w:ilvl w:val="0"/>
          <w:numId w:val="0"/>
        </w:numPr>
        <w:spacing w:before="0" w:after="120"/>
        <w:ind w:left="0" w:firstLine="567"/>
        <w:jc w:val="center"/>
        <w:outlineLvl w:val="0"/>
        <w:rPr>
          <w:b/>
          <w:sz w:val="24"/>
          <w:szCs w:val="24"/>
          <w:u w:val="single"/>
        </w:rPr>
      </w:pPr>
      <w:r>
        <w:rPr>
          <w:b/>
          <w:sz w:val="24"/>
          <w:szCs w:val="24"/>
          <w:u w:val="single"/>
        </w:rPr>
        <w:t>ФОРМА</w:t>
      </w:r>
    </w:p>
    <w:p>
      <w:pPr>
        <w:pStyle w:val="Normal"/>
        <w:numPr>
          <w:ilvl w:val="0"/>
          <w:numId w:val="0"/>
        </w:numPr>
        <w:spacing w:before="0" w:after="120"/>
        <w:ind w:left="0" w:firstLine="567"/>
        <w:jc w:val="center"/>
        <w:outlineLvl w:val="0"/>
        <w:rPr>
          <w:b/>
          <w:sz w:val="24"/>
          <w:szCs w:val="24"/>
          <w:u w:val="single"/>
        </w:rPr>
      </w:pPr>
      <w:r>
        <w:rPr>
          <w:b/>
          <w:sz w:val="24"/>
          <w:szCs w:val="24"/>
        </w:rPr>
        <w:t>Заявки-спецификации</w:t>
      </w:r>
    </w:p>
    <w:p>
      <w:pPr>
        <w:pStyle w:val="Normal"/>
        <w:numPr>
          <w:ilvl w:val="0"/>
          <w:numId w:val="0"/>
        </w:numPr>
        <w:spacing w:before="0" w:after="120"/>
        <w:ind w:left="0" w:firstLine="567"/>
        <w:outlineLvl w:val="0"/>
        <w:rPr>
          <w:b/>
          <w:sz w:val="24"/>
          <w:szCs w:val="24"/>
        </w:rPr>
      </w:pPr>
      <w:r>
        <w:rPr>
          <w:b/>
          <w:sz w:val="24"/>
          <w:szCs w:val="24"/>
        </w:rPr>
        <mc:AlternateContent>
          <mc:Choice Requires="wps">
            <w:drawing>
              <wp:anchor behindDoc="0" distT="6350" distB="6350" distL="6350" distR="6350" simplePos="0" locked="0" layoutInCell="0" allowOverlap="1" relativeHeight="44" wp14:anchorId="3070D32B">
                <wp:simplePos x="0" y="0"/>
                <wp:positionH relativeFrom="column">
                  <wp:posOffset>-2540</wp:posOffset>
                </wp:positionH>
                <wp:positionV relativeFrom="paragraph">
                  <wp:posOffset>113665</wp:posOffset>
                </wp:positionV>
                <wp:extent cx="6296025" cy="635"/>
                <wp:effectExtent l="6350" t="6350" r="6350" b="6350"/>
                <wp:wrapNone/>
                <wp:docPr id="9" name="Прямая соединительная линия 1"/>
                <a:graphic xmlns:a="http://schemas.openxmlformats.org/drawingml/2006/main">
                  <a:graphicData uri="http://schemas.microsoft.com/office/word/2010/wordprocessingShape">
                    <wps:wsp>
                      <wps:cNvSpPr/>
                      <wps:spPr>
                        <a:xfrm>
                          <a:off x="0" y="0"/>
                          <a:ext cx="629604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2pt,8.95pt" to="495.5pt,8.95pt" ID="Прямая соединительная линия 1" stroked="t" o:allowincell="f" style="position:absolute" wp14:anchorId="3070D32B">
                <v:stroke color="black" weight="12600" joinstyle="round" endcap="flat"/>
                <v:fill o:detectmouseclick="t" on="false"/>
                <w10:wrap type="none"/>
              </v:line>
            </w:pict>
          </mc:Fallback>
        </mc:AlternateContent>
      </w:r>
    </w:p>
    <w:tbl>
      <w:tblPr>
        <w:tblStyle w:val="affc"/>
        <w:tblW w:w="992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030"/>
        <w:gridCol w:w="5890"/>
      </w:tblGrid>
      <w:tr>
        <w:trPr/>
        <w:tc>
          <w:tcPr>
            <w:tcW w:w="4030" w:type="dxa"/>
            <w:tcBorders/>
          </w:tcPr>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tc>
        <w:tc>
          <w:tcPr>
            <w:tcW w:w="5890" w:type="dxa"/>
            <w:tcBorders/>
          </w:tcPr>
          <w:p>
            <w:pPr>
              <w:pStyle w:val="Normal"/>
              <w:widowControl w:val="false"/>
              <w:numPr>
                <w:ilvl w:val="0"/>
                <w:numId w:val="0"/>
              </w:numPr>
              <w:suppressAutoHyphens w:val="true"/>
              <w:spacing w:before="0" w:after="0"/>
              <w:ind w:left="0" w:hanging="0"/>
              <w:jc w:val="right"/>
              <w:outlineLvl w:val="0"/>
              <w:rPr>
                <w:b/>
                <w:sz w:val="24"/>
                <w:szCs w:val="24"/>
              </w:rPr>
            </w:pPr>
            <w:r>
              <w:rPr>
                <w:rFonts w:eastAsia="Times New Roman" w:cs="Times New Roman"/>
                <w:b/>
                <w:kern w:val="0"/>
                <w:sz w:val="24"/>
                <w:szCs w:val="24"/>
                <w:lang w:val="ru-RU" w:eastAsia="ru-RU" w:bidi="ar-SA"/>
              </w:rPr>
              <w:t>Приложение № _____</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от «___» _________ ______ г.</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b/>
                <w:sz w:val="24"/>
                <w:szCs w:val="24"/>
              </w:rPr>
            </w:pPr>
            <w:r>
              <w:rPr>
                <w:b/>
                <w:sz w:val="24"/>
                <w:szCs w:val="24"/>
              </w:rPr>
            </w:r>
          </w:p>
        </w:tc>
      </w:tr>
    </w:tbl>
    <w:p>
      <w:pPr>
        <w:pStyle w:val="Normal"/>
        <w:numPr>
          <w:ilvl w:val="0"/>
          <w:numId w:val="0"/>
        </w:numPr>
        <w:spacing w:before="0" w:after="120"/>
        <w:ind w:left="0" w:firstLine="567"/>
        <w:jc w:val="center"/>
        <w:outlineLvl w:val="0"/>
        <w:rPr>
          <w:b/>
          <w:sz w:val="24"/>
          <w:szCs w:val="24"/>
        </w:rPr>
      </w:pPr>
      <w:r>
        <w:rPr>
          <w:b/>
          <w:sz w:val="24"/>
          <w:szCs w:val="24"/>
        </w:rPr>
        <w:t>Заявка-спецификация №__</w:t>
      </w:r>
    </w:p>
    <w:tbl>
      <w:tblPr>
        <w:tblW w:w="992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905"/>
        <w:gridCol w:w="1606"/>
        <w:gridCol w:w="2421"/>
        <w:gridCol w:w="666"/>
        <w:gridCol w:w="768"/>
        <w:gridCol w:w="1920"/>
        <w:gridCol w:w="1634"/>
      </w:tblGrid>
      <w:tr>
        <w:trPr>
          <w:trHeight w:val="507" w:hRule="atLeast"/>
        </w:trPr>
        <w:tc>
          <w:tcPr>
            <w:tcW w:w="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6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2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Характеристики продукции,</w:t>
            </w:r>
          </w:p>
          <w:p>
            <w:pPr>
              <w:pStyle w:val="Normal"/>
              <w:widowControl w:val="false"/>
              <w:jc w:val="center"/>
              <w:rPr>
                <w:bCs/>
                <w:sz w:val="22"/>
                <w:szCs w:val="24"/>
              </w:rPr>
            </w:pPr>
            <w:r>
              <w:rPr>
                <w:bCs/>
                <w:sz w:val="22"/>
                <w:szCs w:val="24"/>
              </w:rPr>
              <w:t>страна-изготовитель, наименование производителя</w:t>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7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9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0" w:hRule="atLeast"/>
        </w:trPr>
        <w:tc>
          <w:tcPr>
            <w:tcW w:w="90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6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24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6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w:t>
            </w:r>
          </w:p>
        </w:tc>
        <w:tc>
          <w:tcPr>
            <w:tcW w:w="192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6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0" w:hRule="atLeast"/>
        </w:trPr>
        <w:tc>
          <w:tcPr>
            <w:tcW w:w="90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60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24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6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w:t>
            </w:r>
          </w:p>
        </w:tc>
        <w:tc>
          <w:tcPr>
            <w:tcW w:w="192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6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4" w:hRule="atLeast"/>
        </w:trPr>
        <w:tc>
          <w:tcPr>
            <w:tcW w:w="8286"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6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4" w:hRule="atLeast"/>
        </w:trPr>
        <w:tc>
          <w:tcPr>
            <w:tcW w:w="8286"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6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120" w:after="120"/>
        <w:ind w:firstLine="567"/>
        <w:rPr>
          <w:b/>
          <w:bCs/>
          <w:i/>
          <w:i/>
          <w:sz w:val="24"/>
          <w:szCs w:val="24"/>
        </w:rPr>
      </w:pPr>
      <w:r>
        <w:rPr>
          <w:b/>
          <w:bCs/>
          <w:i/>
          <w:sz w:val="24"/>
          <w:szCs w:val="24"/>
        </w:rPr>
        <w:t>Условия поставки:</w:t>
      </w:r>
    </w:p>
    <w:p>
      <w:pPr>
        <w:pStyle w:val="Normal"/>
        <w:widowControl w:val="false"/>
        <w:numPr>
          <w:ilvl w:val="0"/>
          <w:numId w:val="15"/>
        </w:numPr>
        <w:tabs>
          <w:tab w:val="left" w:pos="720" w:leader="none"/>
        </w:tabs>
        <w:spacing w:before="0" w:after="120"/>
        <w:jc w:val="both"/>
        <w:rPr>
          <w:i/>
          <w:i/>
          <w:sz w:val="24"/>
          <w:szCs w:val="24"/>
        </w:rPr>
      </w:pPr>
      <w:r>
        <w:rPr>
          <w:bCs/>
          <w:sz w:val="24"/>
          <w:szCs w:val="24"/>
        </w:rPr>
        <w:t>Общая сумма Заявки-спецификации составляет _______</w:t>
      </w:r>
      <w:r>
        <w:rPr>
          <w:b/>
          <w:sz w:val="24"/>
          <w:szCs w:val="24"/>
        </w:rPr>
        <w:t xml:space="preserve"> </w:t>
      </w:r>
      <w:r>
        <w:rPr>
          <w:sz w:val="24"/>
          <w:szCs w:val="24"/>
        </w:rPr>
        <w:t>(________),</w:t>
      </w:r>
      <w:r>
        <w:rPr>
          <w:sz w:val="24"/>
          <w:szCs w:val="24"/>
          <w:u w:val="single"/>
        </w:rPr>
        <w:t xml:space="preserve"> </w:t>
      </w:r>
      <w:r>
        <w:rPr>
          <w:i/>
          <w:sz w:val="24"/>
          <w:szCs w:val="24"/>
          <w:u w:val="single"/>
        </w:rPr>
        <w:t>в том числе НДС __%, в размере _____________ (________________)</w:t>
      </w:r>
      <w:r>
        <w:rPr>
          <w:b/>
          <w:i/>
          <w:sz w:val="24"/>
          <w:szCs w:val="24"/>
          <w:u w:val="single"/>
        </w:rPr>
        <w:t>.</w:t>
      </w:r>
    </w:p>
    <w:p>
      <w:pPr>
        <w:pStyle w:val="Normal"/>
        <w:widowControl w:val="false"/>
        <w:numPr>
          <w:ilvl w:val="0"/>
          <w:numId w:val="19"/>
        </w:numPr>
        <w:tabs>
          <w:tab w:val="left" w:pos="720" w:leader="none"/>
        </w:tabs>
        <w:spacing w:before="0" w:after="120"/>
        <w:ind w:left="0" w:firstLine="284"/>
        <w:jc w:val="both"/>
        <w:rPr>
          <w:sz w:val="24"/>
          <w:szCs w:val="24"/>
        </w:rPr>
      </w:pPr>
      <w:r>
        <w:rPr>
          <w:sz w:val="24"/>
          <w:szCs w:val="24"/>
        </w:rPr>
        <w:t>Срок поставки Продукции: до «______» ____________ 20__г.</w:t>
      </w:r>
    </w:p>
    <w:p>
      <w:pPr>
        <w:pStyle w:val="Normal"/>
        <w:widowControl w:val="false"/>
        <w:numPr>
          <w:ilvl w:val="0"/>
          <w:numId w:val="20"/>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20"/>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20"/>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Style20"/>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r>
          </w:p>
          <w:p>
            <w:pPr>
              <w:pStyle w:val="Style20"/>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0"/>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20"/>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r>
          </w:p>
          <w:p>
            <w:pPr>
              <w:pStyle w:val="Style20"/>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0"/>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mc:AlternateContent>
          <mc:Choice Requires="wps">
            <w:drawing>
              <wp:anchor behindDoc="0" distT="6350" distB="6350" distL="6350" distR="6350" simplePos="0" locked="0" layoutInCell="0" allowOverlap="1" relativeHeight="45" wp14:anchorId="0C3B5199">
                <wp:simplePos x="0" y="0"/>
                <wp:positionH relativeFrom="column">
                  <wp:posOffset>62230</wp:posOffset>
                </wp:positionH>
                <wp:positionV relativeFrom="paragraph">
                  <wp:posOffset>107950</wp:posOffset>
                </wp:positionV>
                <wp:extent cx="6221730" cy="10160"/>
                <wp:effectExtent l="6350" t="6350" r="6350" b="6350"/>
                <wp:wrapNone/>
                <wp:docPr id="10" name="Прямая соединительная линия 2"/>
                <a:graphic xmlns:a="http://schemas.openxmlformats.org/drawingml/2006/main">
                  <a:graphicData uri="http://schemas.microsoft.com/office/word/2010/wordprocessingShape">
                    <wps:wsp>
                      <wps:cNvSpPr/>
                      <wps:spPr>
                        <a:xfrm>
                          <a:off x="0" y="0"/>
                          <a:ext cx="6221880" cy="1008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4.9pt,8.5pt" to="494.75pt,9.25pt" ID="Прямая соединительная линия 2" stroked="t" o:allowincell="f" style="position:absolute" wp14:anchorId="0C3B5199">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20"/>
              <w:widowControl w:val="false"/>
              <w:spacing w:lineRule="auto" w:line="240" w:before="0" w:after="0"/>
              <w:jc w:val="left"/>
              <w:rPr>
                <w:sz w:val="12"/>
                <w:szCs w:val="12"/>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20"/>
              <w:widowControl w:val="false"/>
              <w:spacing w:lineRule="auto" w:line="240" w:before="0" w:after="0"/>
              <w:jc w:val="left"/>
              <w:rPr>
                <w:sz w:val="12"/>
                <w:szCs w:val="12"/>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sectPr>
          <w:headerReference w:type="default" r:id="rId17"/>
          <w:headerReference w:type="first" r:id="rId18"/>
          <w:footerReference w:type="default" r:id="rId19"/>
          <w:footerReference w:type="first" r:id="rId20"/>
          <w:footnotePr>
            <w:numFmt w:val="decimal"/>
          </w:footnotePr>
          <w:type w:val="nextPage"/>
          <w:pgSz w:w="11906" w:h="16838"/>
          <w:pgMar w:left="1134" w:right="850" w:gutter="0" w:header="720" w:top="1134" w:footer="720" w:bottom="1134"/>
          <w:pgNumType w:fmt="decimal"/>
          <w:formProt w:val="false"/>
          <w:textDirection w:val="lrTb"/>
          <w:docGrid w:type="default" w:linePitch="100" w:charSpace="16384"/>
        </w:sectPr>
      </w:pPr>
    </w:p>
    <w:p>
      <w:pPr>
        <w:pStyle w:val="BodyText"/>
        <w:numPr>
          <w:ilvl w:val="0"/>
          <w:numId w:val="0"/>
        </w:numPr>
        <w:spacing w:before="0" w:after="6"/>
        <w:ind w:left="0" w:firstLine="567"/>
        <w:jc w:val="right"/>
        <w:outlineLvl w:val="0"/>
        <w:rPr/>
      </w:pPr>
      <w:r>
        <w:rPr>
          <w:b/>
          <w:bCs/>
          <w:sz w:val="24"/>
          <w:szCs w:val="24"/>
        </w:rPr>
        <w:t>Приложение № 3</w:t>
      </w:r>
    </w:p>
    <w:p>
      <w:pPr>
        <w:pStyle w:val="BodyText"/>
        <w:spacing w:before="0" w:after="6"/>
        <w:ind w:firstLine="567"/>
        <w:jc w:val="right"/>
        <w:rPr/>
      </w:pPr>
      <w:r>
        <w:rPr>
          <w:bCs/>
          <w:sz w:val="24"/>
          <w:szCs w:val="24"/>
        </w:rPr>
        <w:t xml:space="preserve">к договору поставки </w:t>
      </w:r>
    </w:p>
    <w:p>
      <w:pPr>
        <w:pStyle w:val="BodyText"/>
        <w:spacing w:before="0" w:after="6"/>
        <w:ind w:firstLine="567"/>
        <w:jc w:val="right"/>
        <w:rPr>
          <w:b w:val="false"/>
          <w:bCs w:val="false"/>
          <w:sz w:val="24"/>
          <w:szCs w:val="24"/>
        </w:rPr>
      </w:pPr>
      <w:r>
        <w:rPr>
          <w:b w:val="false"/>
          <w:bCs/>
          <w:sz w:val="24"/>
          <w:szCs w:val="24"/>
        </w:rPr>
        <w:t xml:space="preserve">№ </w:t>
      </w:r>
      <w:r>
        <w:rPr>
          <w:b w:val="false"/>
          <w:bCs/>
          <w:sz w:val="24"/>
          <w:szCs w:val="24"/>
        </w:rPr>
        <w:t>_____от «___» _________ 20__ г</w:t>
      </w:r>
      <w:r>
        <w:rPr>
          <w:b w:val="false"/>
          <w:bCs/>
          <w:color w:val="000000"/>
          <w:sz w:val="24"/>
          <w:szCs w:val="24"/>
        </w:rPr>
        <w:t>ода</w:t>
      </w:r>
    </w:p>
    <w:p>
      <w:pPr>
        <w:pStyle w:val="BodyText"/>
        <w:spacing w:before="0" w:after="120"/>
        <w:ind w:firstLine="567"/>
        <w:jc w:val="right"/>
        <w:rPr>
          <w:bCs/>
          <w:sz w:val="24"/>
          <w:szCs w:val="24"/>
        </w:rPr>
      </w:pPr>
      <w:r>
        <w:rPr>
          <w:bCs/>
          <w:sz w:val="24"/>
          <w:szCs w:val="24"/>
        </w:rPr>
      </w:r>
    </w:p>
    <w:p>
      <w:pPr>
        <w:pStyle w:val="BodyText"/>
        <w:jc w:val="right"/>
        <w:rPr>
          <w:bCs/>
          <w:sz w:val="24"/>
          <w:szCs w:val="24"/>
        </w:rPr>
      </w:pPr>
      <w:r>
        <w:rPr>
          <w:bCs/>
          <w:sz w:val="24"/>
          <w:szCs w:val="24"/>
        </w:rPr>
      </w:r>
    </w:p>
    <w:p>
      <w:pPr>
        <w:pStyle w:val="BodyText"/>
        <w:jc w:val="center"/>
        <w:rPr/>
      </w:pPr>
      <w:r>
        <w:rPr>
          <w:b/>
          <w:bCs/>
          <w:sz w:val="24"/>
          <w:szCs w:val="24"/>
        </w:rPr>
        <w:t>ТЕХНИЧЕСКИЕ ТРЕБОВАНИЯ</w:t>
      </w:r>
    </w:p>
    <w:p>
      <w:pPr>
        <w:pStyle w:val="Normal"/>
        <w:widowControl w:val="false"/>
        <w:jc w:val="center"/>
        <w:rPr>
          <w:b/>
          <w:sz w:val="24"/>
          <w:szCs w:val="24"/>
        </w:rPr>
      </w:pPr>
      <w:r>
        <w:rPr>
          <w:b/>
          <w:sz w:val="24"/>
          <w:szCs w:val="24"/>
        </w:rPr>
      </w:r>
    </w:p>
    <w:p>
      <w:pPr>
        <w:pStyle w:val="BodyText"/>
        <w:numPr>
          <w:ilvl w:val="0"/>
          <w:numId w:val="0"/>
        </w:numPr>
        <w:ind w:left="0" w:hanging="0"/>
        <w:outlineLvl w:val="0"/>
        <w:rPr>
          <w:b/>
          <w:bCs/>
          <w:sz w:val="24"/>
          <w:szCs w:val="24"/>
          <w:highlight w:val="yellow"/>
        </w:rPr>
      </w:pPr>
      <w:r>
        <w:rPr>
          <w:b/>
          <w:bCs/>
          <w:sz w:val="24"/>
          <w:szCs w:val="24"/>
          <w:highlight w:val="yellow"/>
        </w:rPr>
      </w:r>
    </w:p>
    <w:p>
      <w:pPr>
        <w:pStyle w:val="BodyText"/>
        <w:numPr>
          <w:ilvl w:val="0"/>
          <w:numId w:val="0"/>
        </w:numPr>
        <w:ind w:left="0" w:hanging="0"/>
        <w:outlineLvl w:val="0"/>
        <w:rPr>
          <w:b/>
          <w:bCs/>
          <w:sz w:val="24"/>
          <w:szCs w:val="24"/>
          <w:highlight w:val="yellow"/>
        </w:rPr>
      </w:pPr>
      <w:r>
        <w:rPr>
          <w:b/>
          <w:bCs/>
          <w:sz w:val="24"/>
          <w:szCs w:val="24"/>
          <w:highlight w:val="yellow"/>
        </w:rPr>
      </w:r>
    </w:p>
    <w:p>
      <w:pPr>
        <w:pStyle w:val="BodyText"/>
        <w:numPr>
          <w:ilvl w:val="0"/>
          <w:numId w:val="0"/>
        </w:numPr>
        <w:ind w:left="0" w:hanging="0"/>
        <w:outlineLvl w:val="0"/>
        <w:rPr>
          <w:b/>
          <w:bCs/>
          <w:sz w:val="24"/>
          <w:szCs w:val="24"/>
          <w:highlight w:val="yellow"/>
        </w:rPr>
      </w:pPr>
      <w:r>
        <w:rPr>
          <w:b/>
          <w:bCs/>
          <w:sz w:val="24"/>
          <w:szCs w:val="24"/>
          <w:highlight w:val="yellow"/>
        </w:rPr>
      </w:r>
    </w:p>
    <w:p>
      <w:pPr>
        <w:pStyle w:val="BodyText"/>
        <w:numPr>
          <w:ilvl w:val="0"/>
          <w:numId w:val="0"/>
        </w:numPr>
        <w:ind w:left="0" w:hanging="0"/>
        <w:outlineLvl w:val="0"/>
        <w:rPr>
          <w:b/>
          <w:bCs/>
          <w:sz w:val="24"/>
          <w:szCs w:val="24"/>
          <w:highlight w:val="yellow"/>
        </w:rPr>
      </w:pPr>
      <w:r>
        <w:rPr>
          <w:b/>
          <w:bCs/>
          <w:sz w:val="24"/>
          <w:szCs w:val="24"/>
          <w:highlight w:val="yellow"/>
        </w:rPr>
      </w:r>
    </w:p>
    <w:p>
      <w:pPr>
        <w:pStyle w:val="BodyText"/>
        <w:numPr>
          <w:ilvl w:val="0"/>
          <w:numId w:val="0"/>
        </w:numPr>
        <w:ind w:left="0" w:hanging="0"/>
        <w:outlineLvl w:val="0"/>
        <w:rPr>
          <w:b/>
          <w:bCs/>
          <w:sz w:val="24"/>
          <w:szCs w:val="24"/>
          <w:highlight w:val="yellow"/>
        </w:rPr>
      </w:pPr>
      <w:r>
        <w:rPr>
          <w:b/>
          <w:bCs/>
          <w:sz w:val="24"/>
          <w:szCs w:val="24"/>
          <w:highlight w:val="yellow"/>
        </w:rPr>
      </w:r>
    </w:p>
    <w:p>
      <w:pPr>
        <w:pStyle w:val="BodyText"/>
        <w:numPr>
          <w:ilvl w:val="0"/>
          <w:numId w:val="0"/>
        </w:numPr>
        <w:ind w:left="0" w:hanging="0"/>
        <w:outlineLvl w:val="0"/>
        <w:rPr>
          <w:b/>
          <w:bCs/>
          <w:sz w:val="24"/>
          <w:szCs w:val="24"/>
          <w:highlight w:val="yellow"/>
        </w:rPr>
      </w:pPr>
      <w:r>
        <w:rPr>
          <w:b/>
          <w:bCs/>
          <w:sz w:val="24"/>
          <w:szCs w:val="24"/>
          <w:highlight w:val="yellow"/>
        </w:rPr>
      </w:r>
    </w:p>
    <w:p>
      <w:pPr>
        <w:pStyle w:val="BodyText"/>
        <w:numPr>
          <w:ilvl w:val="0"/>
          <w:numId w:val="0"/>
        </w:numPr>
        <w:ind w:left="0" w:hanging="0"/>
        <w:outlineLvl w:val="0"/>
        <w:rPr>
          <w:b/>
          <w:bCs/>
          <w:sz w:val="24"/>
          <w:szCs w:val="24"/>
          <w:highlight w:val="yellow"/>
        </w:rPr>
      </w:pPr>
      <w:r>
        <w:rPr>
          <w:b/>
          <w:bCs/>
          <w:sz w:val="24"/>
          <w:szCs w:val="24"/>
          <w:highlight w:val="yellow"/>
        </w:rPr>
      </w:r>
    </w:p>
    <w:p>
      <w:pPr>
        <w:pStyle w:val="BodyText"/>
        <w:numPr>
          <w:ilvl w:val="0"/>
          <w:numId w:val="0"/>
        </w:numPr>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20"/>
              <w:widowControl w:val="false"/>
              <w:spacing w:lineRule="auto" w:line="240" w:before="0" w:after="0"/>
              <w:jc w:val="left"/>
              <w:rPr>
                <w:sz w:val="12"/>
                <w:szCs w:val="12"/>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20"/>
              <w:widowControl w:val="false"/>
              <w:spacing w:lineRule="auto" w:line="240" w:before="0" w:after="0"/>
              <w:jc w:val="left"/>
              <w:rPr>
                <w:sz w:val="12"/>
                <w:szCs w:val="12"/>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pStyle w:val="BodyText"/>
        <w:numPr>
          <w:ilvl w:val="0"/>
          <w:numId w:val="0"/>
        </w:numPr>
        <w:spacing w:before="0" w:after="120"/>
        <w:ind w:left="0" w:hanging="0"/>
        <w:outlineLvl w:val="0"/>
        <w:rPr>
          <w:b/>
          <w:bCs/>
          <w:sz w:val="24"/>
          <w:szCs w:val="24"/>
        </w:rPr>
      </w:pPr>
      <w:r>
        <w:rPr/>
      </w:r>
    </w:p>
    <w:sectPr>
      <w:headerReference w:type="default" r:id="rId21"/>
      <w:headerReference w:type="first" r:id="rId22"/>
      <w:footerReference w:type="default" r:id="rId23"/>
      <w:footerReference w:type="first" r:id="rId24"/>
      <w:footnotePr>
        <w:numFmt w:val="decimal"/>
      </w:footnotePr>
      <w:type w:val="nextPage"/>
      <w:pgSz w:w="11906" w:h="16838"/>
      <w:pgMar w:left="1134" w:right="850" w:gutter="0" w:header="720" w:top="1134"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635" simplePos="0" locked="0" layoutInCell="0" allowOverlap="1" relativeHeight="29">
              <wp:simplePos x="0" y="0"/>
              <wp:positionH relativeFrom="margin">
                <wp:posOffset>6112510</wp:posOffset>
              </wp:positionH>
              <wp:positionV relativeFrom="paragraph">
                <wp:posOffset>635</wp:posOffset>
              </wp:positionV>
              <wp:extent cx="276860"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2768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81.3pt;margin-top:0.05pt;width:21.75pt;height:11.4pt;mso-wrap-style:square;v-text-anchor:top;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635" simplePos="0" locked="0" layoutInCell="0" allowOverlap="1" relativeHeight="29">
              <wp:simplePos x="0" y="0"/>
              <wp:positionH relativeFrom="margin">
                <wp:posOffset>6112510</wp:posOffset>
              </wp:positionH>
              <wp:positionV relativeFrom="paragraph">
                <wp:posOffset>635</wp:posOffset>
              </wp:positionV>
              <wp:extent cx="276860"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2768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81.3pt;margin-top:0.05pt;width:21.75pt;height:11.4pt;mso-wrap-style:square;v-text-anchor:top;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0">
              <wp:simplePos x="0" y="0"/>
              <wp:positionH relativeFrom="margin">
                <wp:align>right</wp:align>
              </wp:positionH>
              <wp:positionV relativeFrom="paragraph">
                <wp:posOffset>635</wp:posOffset>
              </wp:positionV>
              <wp:extent cx="127635" cy="145415"/>
              <wp:effectExtent l="0" t="0" r="0" b="0"/>
              <wp:wrapSquare wrapText="bothSides"/>
              <wp:docPr id="7" name="Врезка3"/>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739.6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8">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85.9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3" name="Изображение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Изображение2" path="m0,0l-2147483645,0l-2147483645,-2147483646l0,-2147483646xe" stroked="f" o:allowincell="f" style="position:absolute;margin-left:485.9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Здесь и далее подчеркиванием, обозначен текст, доступный для удаления или редактирования в процессе подготовки договора, так же, как и поля, отмеченные пропусками.</w:t>
      </w:r>
    </w:p>
  </w:footnote>
  <w:footnote w:id="3">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5">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6">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jc w:val="righ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b/>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decimal"/>
      <w:lvlText w:val="%1."/>
      <w:lvlJc w:val="left"/>
      <w:pPr>
        <w:tabs>
          <w:tab w:val="num" w:pos="644"/>
        </w:tabs>
        <w:ind w:left="644" w:hanging="360"/>
      </w:pPr>
      <w:rPr>
        <w:i w:val="false"/>
        <w:iCs w:val="false"/>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644"/>
        </w:tabs>
        <w:ind w:left="644" w:hanging="360"/>
      </w:pPr>
      <w:rPr>
        <w:i w:val="false"/>
        <w:iCs w:val="false"/>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644"/>
        </w:tabs>
        <w:ind w:left="644" w:hanging="360"/>
      </w:pPr>
      <w:rPr>
        <w:i w:val="false"/>
        <w:iCs w:val="false"/>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5"/>
  </w:num>
  <w:num w:numId="20">
    <w:abstractNumId w:val="15"/>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3"/>
    <w:qFormat/>
    <w:rsid w:val="00b11d27"/>
    <w:rPr>
      <w:sz w:val="24"/>
      <w:szCs w:val="24"/>
      <w:lang w:val="x-none" w:eastAsia="x-none"/>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WW8Num13z0" w:customStyle="1">
    <w:name w:val="WW8Num13z0"/>
    <w:qFormat/>
    <w:rPr>
      <w:rFonts w:ascii="Symbol" w:hAnsi="Symbol" w:cs="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11" w:customStyle="1">
    <w:name w:val="Гиперссылка1"/>
    <w:basedOn w:val="DefaultParagraphFont"/>
    <w:qFormat/>
    <w:rPr>
      <w:color w:val="0000FF" w:themeColor="hyperlink"/>
      <w:u w:val="single"/>
    </w:rPr>
  </w:style>
  <w:style w:type="character" w:styleId="WW8Num36z0" w:customStyle="1">
    <w:name w:val="WW8Num36z0"/>
    <w:qFormat/>
    <w:rPr/>
  </w:style>
  <w:style w:type="character" w:styleId="FootnoteReference1" w:customStyle="1">
    <w:name w:val="Footnote Reference1"/>
    <w:qFormat/>
    <w:rPr>
      <w:vertAlign w:val="superscript"/>
    </w:rPr>
  </w:style>
  <w:style w:type="character" w:styleId="Style14" w:customStyle="1">
    <w:name w:val="Символ нумерации"/>
    <w:qFormat/>
    <w:rPr/>
  </w:style>
  <w:style w:type="character" w:styleId="Style15">
    <w:name w:val="Маркеры"/>
    <w:qFormat/>
    <w:rPr>
      <w:rFonts w:ascii="OpenSymbol" w:hAnsi="OpenSymbol" w:eastAsia="OpenSymbol" w:cs="OpenSymbol"/>
    </w:rPr>
  </w:style>
  <w:style w:type="paragraph" w:styleId="Style16">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7">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8"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2"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9"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99"/>
    <w:qFormat/>
    <w:rsid w:val="0066561f"/>
    <w:pPr>
      <w:widowControl w:val="false"/>
      <w:spacing w:before="0" w:after="0"/>
      <w:ind w:left="720" w:hanging="0"/>
      <w:contextualSpacing/>
    </w:pPr>
    <w:rPr/>
  </w:style>
  <w:style w:type="paragraph" w:styleId="Style20"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1"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2"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3"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fals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false"/>
      <w:jc w:val="both"/>
      <w:textAlignment w:val="baseline"/>
    </w:pPr>
    <w:rPr>
      <w:bCs/>
      <w:sz w:val="24"/>
      <w:szCs w:val="24"/>
      <w:lang w:val="x-none" w:eastAsia="x-none"/>
    </w:rPr>
  </w:style>
  <w:style w:type="paragraph" w:styleId="Style23" w:customStyle="1">
    <w:name w:val="Содержимое врезки"/>
    <w:basedOn w:val="Normal"/>
    <w:qFormat/>
    <w:pPr/>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Style24" w:customStyle="1">
    <w:name w:val="Текст в заданном формате"/>
    <w:basedOn w:val="Normal"/>
    <w:qFormat/>
    <w:pPr/>
    <w:rPr>
      <w:rFonts w:ascii="Liberation Mono" w:hAnsi="Liberation Mono" w:eastAsia="Liberation Mono" w:cs="Liberation Mono"/>
    </w:rPr>
  </w:style>
  <w:style w:type="paragraph" w:styleId="Style25" w:customStyle="1">
    <w:name w:val="Содержимое таблицы"/>
    <w:basedOn w:val="Normal"/>
    <w:qFormat/>
    <w:pPr>
      <w:widowControl w:val="false"/>
      <w:suppressLineNumbers/>
    </w:pPr>
    <w:rPr/>
  </w:style>
  <w:style w:type="paragraph" w:styleId="Style26" w:customStyle="1">
    <w:name w:val="Заголовок таблицы"/>
    <w:basedOn w:val="Style25"/>
    <w:qFormat/>
    <w:pPr>
      <w:jc w:val="center"/>
    </w:pPr>
    <w:rPr>
      <w:b/>
      <w:bCs/>
    </w:rPr>
  </w:style>
  <w:style w:type="numbering" w:styleId="NoList" w:default="1">
    <w:name w:val="No List"/>
    <w:uiPriority w:val="99"/>
    <w:semiHidden/>
    <w:unhideWhenUsed/>
    <w:qFormat/>
  </w:style>
  <w:style w:type="numbering" w:styleId="WW8Num13" w:customStyle="1">
    <w:name w:val="WW8Num13"/>
    <w:qFormat/>
  </w:style>
  <w:style w:type="numbering" w:styleId="WW8Num36" w:customStyle="1">
    <w:name w:val="WW8Num36"/>
    <w:qFormat/>
  </w:style>
  <w:style w:type="numbering" w:styleId="36868754401">
    <w:name w:val="3686875440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yperlink" Target="mailto:balakovo@rushydro.ru"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6.xml"/><Relationship Id="rId20" Type="http://schemas.openxmlformats.org/officeDocument/2006/relationships/footer" Target="footer7.xml"/><Relationship Id="rId21" Type="http://schemas.openxmlformats.org/officeDocument/2006/relationships/header" Target="header6.xml"/><Relationship Id="rId22" Type="http://schemas.openxmlformats.org/officeDocument/2006/relationships/header" Target="header7.xml"/><Relationship Id="rId23" Type="http://schemas.openxmlformats.org/officeDocument/2006/relationships/footer" Target="footer8.xml"/><Relationship Id="rId24" Type="http://schemas.openxmlformats.org/officeDocument/2006/relationships/footer" Target="footer9.xml"/><Relationship Id="rId25" Type="http://schemas.openxmlformats.org/officeDocument/2006/relationships/footnotes" Target="footnotes.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Relationship Id="rId3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A8B34-7FBD-4A1A-B464-B72241CE1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Application>AlterOffice/2025.3.0.0$Linux_X86_64 LibreOffice_project/4ba31b6a4271509a884f95065d0a726e9cb2bdbb</Application>
  <AppVersion>15.0000</AppVersion>
  <Pages>20</Pages>
  <Words>6701</Words>
  <Characters>47474</Characters>
  <CharactersWithSpaces>53635</CharactersWithSpaces>
  <Paragraphs>379</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2023-05-04T10:21:00Z</dcterms:created>
  <dc:creator>Света &amp; Алла (Twix)</dc:creator>
  <dc:description/>
  <dc:language>ru-RU</dc:language>
  <cp:lastModifiedBy>konoshenkovon@corp.gidroogk.com</cp:lastModifiedBy>
  <cp:lastPrinted>2017-11-07T14:48:00Z</cp:lastPrinted>
  <dcterms:modified xsi:type="dcterms:W3CDTF">2025-11-25T15:31:04Z</dcterms:modified>
  <cp:revision>94</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