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</w:rPr>
      </w:pPr>
      <w:bookmarkStart w:id="0" w:name="_Toc147935505"/>
      <w:r>
        <w:rPr>
          <w:b/>
        </w:rPr>
        <w:t>ТЕХНИЧЕСКИЕ ТРЕБОВАНИЯ</w:t>
      </w:r>
      <w:bookmarkEnd w:id="0"/>
    </w:p>
    <w:p>
      <w:pPr>
        <w:pStyle w:val="Normal"/>
        <w:jc w:val="center"/>
        <w:rPr/>
      </w:pPr>
      <w:bookmarkStart w:id="1" w:name="_Toc147935506"/>
      <w:r>
        <w:rPr>
          <w:rFonts w:eastAsia="Calibri"/>
          <w:sz w:val="26"/>
          <w:szCs w:val="26"/>
        </w:rPr>
        <w:t>«</w:t>
      </w:r>
      <w:r>
        <w:rPr/>
        <w:t>ОКПД2 71.20.19.190 Экспертиза промышленной безопасности и техническое освидетельствование работающего под давлением оборудования Загорской ГАЭС</w:t>
      </w:r>
      <w:r>
        <w:rPr>
          <w:rFonts w:eastAsia="Calibri"/>
          <w:sz w:val="26"/>
          <w:szCs w:val="26"/>
        </w:rPr>
        <w:t>»</w:t>
      </w:r>
      <w:bookmarkEnd w:id="1"/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left" w:pos="567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5"/>
              <w:b/>
            </w:rPr>
            <w:instrText xml:space="preserve"> TOC \z \o "1-4" \u \h</w:instrText>
          </w:r>
          <w:r>
            <w:rPr>
              <w:webHidden/>
              <w:rStyle w:val="Style15"/>
              <w:b/>
            </w:rPr>
            <w:fldChar w:fldCharType="separate"/>
          </w:r>
          <w:hyperlink w:anchor="_Toc230786539">
            <w:r>
              <w:rPr>
                <w:webHidden/>
                <w:rStyle w:val="Style15"/>
                <w:b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>
                  <w14:cntxtAlts/>
                </w14:cntxtAlts>
              </w:rPr>
              <w:t>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b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_Toc230786539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786540">
            <w:r>
              <w:rPr>
                <w:webHidden/>
                <w:rStyle w:val="Style15"/>
                <w:rFonts w:eastAsia="Calibri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>
                  <w14:cntxtAlts/>
                </w14:cntxtAlts>
              </w:rPr>
              <w:t>1.1.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786541">
            <w:r>
              <w:rPr>
                <w:webHidden/>
                <w:rStyle w:val="Style15"/>
                <w:rFonts w:eastAsia="Calibri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>
                  <w14:cntxtAlts/>
                </w14:cntxtAlts>
              </w:rPr>
              <w:t>1.2.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_Toc230786541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786542">
            <w:r>
              <w:rPr>
                <w:webHidden/>
                <w:rStyle w:val="Style15"/>
                <w:rFonts w:eastAsia="Calibri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>
                  <w14:cntxtAlts/>
                </w14:cntxtAlts>
              </w:rPr>
              <w:t>1.3.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 xml:space="preserve">Цель </w:t>
            </w:r>
            <w:r>
              <w:rPr>
                <w:rStyle w:val="Style15"/>
                <w:rFonts w:eastAsia="Calibri"/>
                <w:lang w:val="en-US"/>
              </w:rPr>
              <w:t>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786543">
            <w:r>
              <w:rPr>
                <w:webHidden/>
                <w:rStyle w:val="Style15"/>
                <w:rFonts w:eastAsia="Calibri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>
                  <w14:cntxtAlts/>
                </w14:cntxtAlts>
              </w:rPr>
              <w:t>1.4.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30786544">
            <w:r>
              <w:rPr>
                <w:webHidden/>
                <w:rStyle w:val="Style15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left" w:pos="567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30786545">
            <w:r>
              <w:rPr>
                <w:webHidden/>
                <w:rStyle w:val="Style15"/>
                <w:b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>
                  <w14:cntxtAlts/>
                </w14:cntxtAlts>
              </w:rPr>
              <w:t>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b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_Toc230786545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786546">
            <w:r>
              <w:rPr>
                <w:webHidden/>
                <w:rStyle w:val="Style15"/>
                <w:rFonts w:eastAsia="Calibri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>
                  <w14:cntxtAlts/>
                </w14:cntxtAlts>
              </w:rPr>
              <w:t>2.1.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_Toc230786546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786547">
            <w:r>
              <w:rPr>
                <w:webHidden/>
                <w:rStyle w:val="Style15"/>
                <w:rFonts w:eastAsia="Calibri"/>
              </w:rPr>
              <w:t xml:space="preserve">Таблица </w:t>
            </w:r>
            <w:r>
              <w:rPr>
                <w:rStyle w:val="Style15"/>
                <w:rFonts w:eastAsia="Calibri"/>
                <w:lang w:val="en-US"/>
              </w:rPr>
              <w:t>2</w:t>
            </w:r>
            <w:r>
              <w:rPr>
                <w:rStyle w:val="Style15"/>
                <w:rFonts w:eastAsia="Calibri"/>
              </w:rPr>
              <w:t>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_Toc230786547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786548">
            <w:r>
              <w:rPr>
                <w:webHidden/>
                <w:rStyle w:val="Style15"/>
                <w:rFonts w:eastAsia="Calibri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>
                  <w14:cntxtAlts/>
                </w14:cntxtAlts>
              </w:rPr>
              <w:t>2.2.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_Toc230786548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786549">
            <w:r>
              <w:rPr>
                <w:webHidden/>
                <w:rStyle w:val="Style15"/>
                <w:rFonts w:eastAsia="Calibri"/>
              </w:rPr>
              <w:t xml:space="preserve">Таблица </w:t>
            </w:r>
            <w:r>
              <w:rPr>
                <w:rStyle w:val="Style15"/>
                <w:rFonts w:eastAsia="Calibri"/>
                <w:lang w:val="en-US"/>
              </w:rPr>
              <w:t>3</w:t>
            </w:r>
            <w:r>
              <w:rPr>
                <w:rStyle w:val="Style15"/>
                <w:rFonts w:eastAsia="Calibri"/>
              </w:rPr>
              <w:t>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_Toc230786549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786550">
            <w:r>
              <w:rPr>
                <w:webHidden/>
                <w:rStyle w:val="Style15"/>
                <w:rFonts w:eastAsia="Calibri"/>
              </w:rPr>
              <w:t>Таблица </w:t>
            </w:r>
            <w:r>
              <w:rPr>
                <w:rStyle w:val="Style15"/>
                <w:rFonts w:eastAsia="Calibri"/>
                <w:lang w:val="en-US"/>
              </w:rPr>
              <w:t>4</w:t>
            </w:r>
            <w:r>
              <w:rPr>
                <w:rStyle w:val="Style15"/>
                <w:rFonts w:eastAsia="Calibri"/>
              </w:rPr>
              <w:t>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16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left" w:pos="567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30786551">
            <w:r>
              <w:rPr>
                <w:webHidden/>
                <w:rStyle w:val="Style15"/>
                <w:b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>
                  <w14:cntxtAlts/>
                </w14:cntxtAlts>
              </w:rPr>
              <w:t>3.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b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left" w:pos="567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30786552">
            <w:r>
              <w:rPr>
                <w:webHidden/>
                <w:rStyle w:val="Style15"/>
                <w:b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>
                  <w14:cntxtAlts/>
                </w14:cntxtAlts>
              </w:rPr>
              <w:t>4.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b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_Toc230786552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left" w:pos="567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</w:rPr>
          </w:pPr>
          <w:hyperlink w:anchor="_Toc230786553">
            <w:r>
              <w:rPr>
                <w:webHidden/>
                <w:rStyle w:val="Style15"/>
                <w:b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cntxtAlts>
                  <w14:cntxtAlts/>
                </w14:cntxtAlts>
              </w:rPr>
              <w:t>5.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b/>
                <w:lang w:val="en-US"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_Toc230786553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23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5"/>
              <w:vanish w:val="false"/>
            </w:rPr>
            <w:fldChar w:fldCharType="end"/>
          </w:r>
        </w:p>
      </w:sdtContent>
    </w:sdt>
    <w:p>
      <w:pPr>
        <w:pStyle w:val="TOC1"/>
        <w:rPr>
          <w:rFonts w:ascii="Calibri" w:hAnsi="Calibri" w:eastAsia="新細明體" w:cs="Arial" w:asciiTheme="minorHAnsi" w:cstheme="minorBidi" w:eastAsiaTheme="minorEastAsia" w:hAnsiTheme="minorHAnsi"/>
          <w:b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/>
          <w:sz w:val="22"/>
          <w:szCs w:val="22"/>
        </w:rPr>
      </w:r>
    </w:p>
    <w:p>
      <w:pPr>
        <w:pStyle w:val="Heading1"/>
        <w:numPr>
          <w:ilvl w:val="0"/>
          <w:numId w:val="0"/>
        </w:numPr>
        <w:ind w:left="5038" w:hanging="0"/>
        <w:rPr/>
      </w:pPr>
      <w:r>
        <w:rPr/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Heading1"/>
        <w:numPr>
          <w:ilvl w:val="0"/>
          <w:numId w:val="0"/>
        </w:numPr>
        <w:ind w:left="5038" w:hanging="0"/>
        <w:rPr/>
      </w:pPr>
      <w:r>
        <w:rPr/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0"/>
        </w:numPr>
        <w:ind w:left="0" w:hanging="0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27"/>
        </w:numPr>
        <w:ind w:left="0" w:hanging="0"/>
        <w:jc w:val="center"/>
        <w:rPr>
          <w:b/>
          <w:caps/>
        </w:rPr>
      </w:pPr>
      <w:bookmarkStart w:id="2" w:name="_Toc230786539"/>
      <w:bookmarkStart w:id="3" w:name="_Toc51339692"/>
      <w:r>
        <w:rPr>
          <w:b/>
        </w:rPr>
        <w:t>Общие сведения</w:t>
      </w:r>
      <w:bookmarkEnd w:id="2"/>
      <w:bookmarkEnd w:id="3"/>
    </w:p>
    <w:p>
      <w:pPr>
        <w:pStyle w:val="Heading4"/>
        <w:numPr>
          <w:ilvl w:val="1"/>
          <w:numId w:val="28"/>
        </w:numPr>
        <w:rPr/>
      </w:pPr>
      <w:bookmarkStart w:id="4" w:name="_Toc230786540"/>
      <w:bookmarkStart w:id="5" w:name="_Toc46743505"/>
      <w:r>
        <w:rPr/>
        <w:t>Обозначения и сокращения</w:t>
      </w:r>
      <w:bookmarkEnd w:id="4"/>
      <w:bookmarkEnd w:id="5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гидроаккумулирующая 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МНУ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маслонапорная установка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116-ФЗ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закон от 21 июля 1997 г.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116-ФЗ "О промышленной безопасности опасных производственных объектов" (с изменениями и дополнениями)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режим синхронного компенсатора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ЭПБ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bCs/>
                <w:sz w:val="24"/>
                <w:szCs w:val="24"/>
                <w:lang w:val="en-US"/>
              </w:rPr>
              <w:t>э</w:t>
            </w:r>
            <w:r>
              <w:rPr>
                <w:bCs/>
                <w:sz w:val="24"/>
                <w:szCs w:val="24"/>
              </w:rPr>
              <w:t>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техническое освидетельствование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НиВО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наружный и внутренний осмотр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/>
            </w:pPr>
            <w:r>
              <w:rPr>
                <w:sz w:val="24"/>
                <w:szCs w:val="24"/>
              </w:rPr>
              <w:t>НИР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научно-исследовательская работа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/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межгосударственный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индивидуальной защиты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29"/>
        </w:numPr>
        <w:rPr/>
      </w:pPr>
      <w:bookmarkStart w:id="6" w:name="_Toc230786541"/>
      <w:bookmarkStart w:id="7" w:name="_Toc46743506"/>
      <w:r>
        <w:rPr/>
        <w:t>Наименование закупаемой продукции</w:t>
      </w:r>
      <w:bookmarkEnd w:id="6"/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426"/>
        <w:rPr>
          <w:rStyle w:val="Style8"/>
          <w:b w:val="false"/>
          <w:bCs/>
          <w:sz w:val="24"/>
          <w:szCs w:val="24"/>
        </w:rPr>
      </w:pPr>
      <w:r>
        <w:rPr>
          <w:szCs w:val="24"/>
        </w:rPr>
        <w:t>ОКПД2 71.20.19.190 Экспертиза промышленной безопасности и техническое освидетельствование работающего под давлением оборудования Загорской ГАЭС</w:t>
      </w:r>
      <w:r>
        <w:rPr>
          <w:rFonts w:eastAsia="Calibri"/>
          <w:i/>
          <w:sz w:val="32"/>
          <w:lang w:eastAsia="x-none"/>
        </w:rPr>
        <w:br/>
      </w:r>
    </w:p>
    <w:p>
      <w:pPr>
        <w:pStyle w:val="Heading4"/>
        <w:numPr>
          <w:ilvl w:val="1"/>
          <w:numId w:val="30"/>
        </w:numPr>
        <w:rPr/>
      </w:pPr>
      <w:bookmarkStart w:id="8" w:name="_Toc230786542"/>
      <w:bookmarkStart w:id="9" w:name="_Toc46743507"/>
      <w:r>
        <w:rPr/>
        <w:t xml:space="preserve">Цель </w:t>
      </w:r>
      <w:bookmarkEnd w:id="9"/>
      <w:r>
        <w:rPr>
          <w:lang w:val="en-US"/>
        </w:rPr>
        <w:t>оказания услуг</w:t>
      </w:r>
      <w:bookmarkEnd w:id="8"/>
    </w:p>
    <w:p>
      <w:pPr>
        <w:pStyle w:val="Normal"/>
        <w:ind w:firstLine="426"/>
        <w:jc w:val="both"/>
        <w:rPr>
          <w:szCs w:val="24"/>
        </w:rPr>
      </w:pPr>
      <w:r>
        <w:rPr>
          <w:szCs w:val="24"/>
        </w:rPr>
        <w:t>Целью данных услуг являются проведение технического освидетельствования (наружный и внутренний осмотр) и экспертизы промышленной безопасности сосудов, работающих под давлением филиала ПАО «РусГидро» - «Загорская ГАЭС» в соответствии с Федеральными нормами и правилами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давлением".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1"/>
        </w:numPr>
        <w:rPr/>
      </w:pPr>
      <w:r>
        <w:rPr/>
        <w:t xml:space="preserve"> </w:t>
      </w:r>
      <w:bookmarkStart w:id="10" w:name="_Toc230786543"/>
      <w:bookmarkStart w:id="11" w:name="_Toc46743508"/>
      <w:r>
        <w:rPr/>
        <w:t>Существующее положение</w:t>
      </w:r>
      <w:bookmarkEnd w:id="10"/>
      <w:bookmarkEnd w:id="11"/>
    </w:p>
    <w:p>
      <w:pPr>
        <w:pStyle w:val="ListParagraph"/>
        <w:numPr>
          <w:ilvl w:val="2"/>
          <w:numId w:val="32"/>
        </w:numPr>
        <w:ind w:left="0" w:firstLine="720"/>
        <w:jc w:val="both"/>
        <w:rPr>
          <w:sz w:val="28"/>
        </w:rPr>
      </w:pPr>
      <w:bookmarkStart w:id="12" w:name="_Toc147935513"/>
      <w:r>
        <w:rPr>
          <w:sz w:val="28"/>
        </w:rPr>
        <w:t>Сосуды МНУ А-</w:t>
      </w:r>
      <w:r>
        <w:rPr>
          <w:sz w:val="28"/>
          <w:lang w:val="en-US"/>
        </w:rPr>
        <w:t>3</w:t>
      </w:r>
      <w:r>
        <w:rPr>
          <w:sz w:val="28"/>
        </w:rPr>
        <w:t xml:space="preserve"> (воздушный и масловоздушный) служат аккумуляторами давления для маслонапорной установки гидроагрегатов А-</w:t>
      </w:r>
      <w:r>
        <w:rPr>
          <w:sz w:val="28"/>
          <w:lang w:val="en-US"/>
        </w:rPr>
        <w:t>3</w:t>
      </w:r>
      <w:r>
        <w:rPr>
          <w:sz w:val="28"/>
        </w:rPr>
        <w:t>. Каждый сосуд представляет собой сварную конструкцию цилиндрической формы с эллиптическими днищами, изготовленными из листовой стали. Сосуды оборудованы люками для ревизии и ремонта и опорными фланцами для установки на фундамент. Сосуды имеют фланцы и патрубки для подсоединения масляных и воздушных трубопроводов, приборов автоматики и контроля, предохранительного воздушного клапана, а также патрубки для напорной магистрали. Каждый сосуд внутри оборудован приварной лестницей от люка к днищу сосуда.</w:t>
      </w:r>
      <w:bookmarkEnd w:id="12"/>
      <w:r>
        <w:rPr>
          <w:sz w:val="28"/>
        </w:rPr>
        <w:t xml:space="preserve"> Сосуды применяются на опасном производственном объекте </w:t>
      </w:r>
      <w:r>
        <w:rPr>
          <w:sz w:val="28"/>
          <w:lang w:val="en-US"/>
        </w:rPr>
        <w:t>III</w:t>
      </w:r>
      <w:r>
        <w:rPr>
          <w:sz w:val="28"/>
        </w:rPr>
        <w:t xml:space="preserve"> класса опасности согласно классификации 116-ФЗ.</w:t>
      </w:r>
    </w:p>
    <w:p>
      <w:pPr>
        <w:pStyle w:val="Normal"/>
        <w:spacing w:before="80" w:after="0"/>
        <w:ind w:firstLine="425"/>
        <w:jc w:val="both"/>
        <w:rPr>
          <w:bCs/>
          <w:szCs w:val="24"/>
        </w:rPr>
      </w:pPr>
      <w:r>
        <w:rPr/>
        <w:t xml:space="preserve">Технические характеристики сосудов </w:t>
      </w:r>
      <w:r>
        <w:rPr>
          <w:bCs/>
          <w:szCs w:val="24"/>
        </w:rPr>
        <w:t xml:space="preserve">МНУ </w:t>
      </w:r>
      <w:r>
        <w:rPr/>
        <w:t>А-</w:t>
      </w:r>
      <w:r>
        <w:rPr>
          <w:lang w:val="en-US"/>
        </w:rPr>
        <w:t xml:space="preserve">3 </w:t>
      </w:r>
      <w:r>
        <w:rPr>
          <w:bCs/>
          <w:szCs w:val="24"/>
        </w:rPr>
        <w:t xml:space="preserve">воздушный, МНУ </w:t>
      </w:r>
      <w:r>
        <w:rPr/>
        <w:t>А-</w:t>
      </w:r>
      <w:r>
        <w:rPr>
          <w:lang w:val="en-US"/>
        </w:rPr>
        <w:t xml:space="preserve">3 </w:t>
      </w:r>
      <w:r>
        <w:rPr>
          <w:bCs/>
          <w:szCs w:val="24"/>
        </w:rPr>
        <w:t>масловоздушный:</w:t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227"/>
        <w:gridCol w:w="1029"/>
        <w:gridCol w:w="1062"/>
        <w:gridCol w:w="2974"/>
        <w:gridCol w:w="2052"/>
      </w:tblGrid>
      <w:tr>
        <w:trPr/>
        <w:tc>
          <w:tcPr>
            <w:tcW w:w="7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Техническая характеристика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Параметр</w:t>
            </w:r>
          </w:p>
        </w:tc>
      </w:tr>
      <w:tr>
        <w:trPr/>
        <w:tc>
          <w:tcPr>
            <w:tcW w:w="7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Рабочее давление, МПа (кгс/см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6,3 (63,0)</w:t>
            </w:r>
          </w:p>
        </w:tc>
      </w:tr>
      <w:tr>
        <w:trPr/>
        <w:tc>
          <w:tcPr>
            <w:tcW w:w="7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Расчетное давление, МПа (кгс/см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6,3 (63,0)</w:t>
            </w:r>
          </w:p>
        </w:tc>
      </w:tr>
      <w:tr>
        <w:trPr/>
        <w:tc>
          <w:tcPr>
            <w:tcW w:w="43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Пробное давление испытания, МПа (кгс/см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Гидравлического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 (80,0)</w:t>
            </w:r>
          </w:p>
        </w:tc>
      </w:tr>
      <w:tr>
        <w:trPr/>
        <w:tc>
          <w:tcPr>
            <w:tcW w:w="4318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Пневматического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Расчетная температура среды, °С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+40</w:t>
            </w:r>
          </w:p>
        </w:tc>
      </w:tr>
      <w:tr>
        <w:trPr/>
        <w:tc>
          <w:tcPr>
            <w:tcW w:w="7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Расчетная температура стенок, °С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+10 ÷ +40</w:t>
            </w:r>
          </w:p>
        </w:tc>
      </w:tr>
      <w:tr>
        <w:trPr/>
        <w:tc>
          <w:tcPr>
            <w:tcW w:w="7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Минимально допустимая отрицательная температура стенки, °С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- 40</w:t>
            </w:r>
          </w:p>
        </w:tc>
      </w:tr>
      <w:tr>
        <w:trPr>
          <w:trHeight w:val="64" w:hRule="atLeast"/>
        </w:trPr>
        <w:tc>
          <w:tcPr>
            <w:tcW w:w="32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рабочей среды</w:t>
            </w:r>
          </w:p>
        </w:tc>
        <w:tc>
          <w:tcPr>
            <w:tcW w:w="4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Для воздушного сосуда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Воздух</w:t>
            </w:r>
          </w:p>
        </w:tc>
      </w:tr>
      <w:tr>
        <w:trPr>
          <w:trHeight w:val="64" w:hRule="atLeast"/>
        </w:trPr>
        <w:tc>
          <w:tcPr>
            <w:tcW w:w="325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Для масловоздушного сосуда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Масло-воздух</w:t>
            </w:r>
          </w:p>
        </w:tc>
      </w:tr>
      <w:tr>
        <w:trPr>
          <w:trHeight w:val="64" w:hRule="atLeast"/>
        </w:trPr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Характеристика рабочей среды</w:t>
            </w:r>
          </w:p>
        </w:tc>
        <w:tc>
          <w:tcPr>
            <w:tcW w:w="5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Класс опасности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</w:tr>
      <w:tr>
        <w:trPr>
          <w:trHeight w:val="64" w:hRule="atLeast"/>
        </w:trPr>
        <w:tc>
          <w:tcPr>
            <w:tcW w:w="22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Взрывоопасность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22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Пожароопасность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7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Прибавки для компенсации коррозии (эрозии), мм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>
        <w:trPr>
          <w:trHeight w:val="64" w:hRule="atLeast"/>
        </w:trPr>
        <w:tc>
          <w:tcPr>
            <w:tcW w:w="7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Вместимость, м</w:t>
            </w:r>
            <w:r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6,3</w:t>
            </w:r>
          </w:p>
        </w:tc>
      </w:tr>
      <w:tr>
        <w:trPr/>
        <w:tc>
          <w:tcPr>
            <w:tcW w:w="7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Расчетный срок службы сосуда, лет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ListParagraph"/>
        <w:numPr>
          <w:ilvl w:val="2"/>
          <w:numId w:val="33"/>
        </w:numPr>
        <w:ind w:left="0" w:firstLine="709"/>
        <w:jc w:val="both"/>
        <w:rPr>
          <w:sz w:val="28"/>
        </w:rPr>
      </w:pPr>
      <w:bookmarkStart w:id="13" w:name="_Toc147935515"/>
      <w:r>
        <w:rPr>
          <w:sz w:val="28"/>
        </w:rPr>
        <w:t>Воздухосборники СК (4 шт. на каждый гидроагрегат) используются в схеме сжатого воздуха среднего давления 40 кгс/см</w:t>
      </w:r>
      <w:r>
        <w:rPr>
          <w:sz w:val="28"/>
          <w:vertAlign w:val="superscript"/>
        </w:rPr>
        <w:t>2</w:t>
      </w:r>
      <w:r>
        <w:rPr>
          <w:sz w:val="28"/>
        </w:rPr>
        <w:t>, а именно для системы отжатия воды из камеры рабочего колеса при пуске агрегата в насосном режиме, а также при пуске и переводе агрегата в режимы синхронного компенсатора насосного вращения и синхронного компенсатора генераторного вращения.</w:t>
      </w:r>
      <w:bookmarkEnd w:id="13"/>
      <w:r>
        <w:rPr>
          <w:sz w:val="28"/>
        </w:rPr>
        <w:t xml:space="preserve"> Сосуды применяются на опасном производственном объекте </w:t>
      </w:r>
      <w:r>
        <w:rPr>
          <w:sz w:val="28"/>
          <w:lang w:val="en-US"/>
        </w:rPr>
        <w:t>III</w:t>
      </w:r>
      <w:r>
        <w:rPr>
          <w:sz w:val="28"/>
        </w:rPr>
        <w:t xml:space="preserve"> класса опасности согласно классификации 116-ФЗ.</w:t>
      </w:r>
    </w:p>
    <w:p>
      <w:pPr>
        <w:pStyle w:val="Normal"/>
        <w:spacing w:before="80" w:after="0"/>
        <w:ind w:firstLine="425"/>
        <w:jc w:val="both"/>
        <w:rPr>
          <w:bCs/>
          <w:szCs w:val="24"/>
        </w:rPr>
      </w:pPr>
      <w:r>
        <w:rPr>
          <w:bCs/>
          <w:szCs w:val="24"/>
        </w:rPr>
        <w:t>Технические характеристики сосудов СК:</w:t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227"/>
        <w:gridCol w:w="2091"/>
        <w:gridCol w:w="2974"/>
        <w:gridCol w:w="2052"/>
      </w:tblGrid>
      <w:tr>
        <w:trPr/>
        <w:tc>
          <w:tcPr>
            <w:tcW w:w="7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Техническая характеристика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Параметр</w:t>
            </w:r>
          </w:p>
        </w:tc>
      </w:tr>
      <w:tr>
        <w:trPr/>
        <w:tc>
          <w:tcPr>
            <w:tcW w:w="7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Рабочее давление, МПа (кгс/см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4,5</w:t>
            </w:r>
            <w:r>
              <w:rPr>
                <w:bCs/>
                <w:sz w:val="24"/>
                <w:szCs w:val="24"/>
                <w:lang w:val="en-US"/>
              </w:rPr>
              <w:t xml:space="preserve"> (45)</w:t>
            </w:r>
          </w:p>
        </w:tc>
      </w:tr>
      <w:tr>
        <w:trPr/>
        <w:tc>
          <w:tcPr>
            <w:tcW w:w="7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Расчетное давление, МПа (кгс/см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4,66</w:t>
            </w:r>
            <w:r>
              <w:rPr>
                <w:bCs/>
                <w:sz w:val="24"/>
                <w:szCs w:val="24"/>
                <w:lang w:val="en-US"/>
              </w:rPr>
              <w:t xml:space="preserve"> (47,5)</w:t>
            </w:r>
          </w:p>
        </w:tc>
      </w:tr>
      <w:tr>
        <w:trPr/>
        <w:tc>
          <w:tcPr>
            <w:tcW w:w="43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Пробное давление испытания, МПа (кгс/см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Гидравлического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5,8 (58,0)</w:t>
            </w:r>
          </w:p>
        </w:tc>
      </w:tr>
      <w:tr>
        <w:trPr/>
        <w:tc>
          <w:tcPr>
            <w:tcW w:w="431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Пневматического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Рабочая температура среды, °С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softHyphen/>
            </w:r>
            <w:r>
              <w:rPr>
                <w:bCs/>
                <w:sz w:val="24"/>
                <w:szCs w:val="24"/>
              </w:rPr>
              <w:t>(</w:t>
            </w:r>
            <w:r>
              <w:rPr>
                <w:bCs/>
                <w:sz w:val="24"/>
                <w:szCs w:val="24"/>
                <w:lang w:val="en-US"/>
              </w:rPr>
              <w:t xml:space="preserve">– </w:t>
            </w:r>
            <w:r>
              <w:rPr>
                <w:bCs/>
                <w:sz w:val="24"/>
                <w:szCs w:val="24"/>
              </w:rPr>
              <w:t>40) ÷ (+ 60)</w:t>
            </w:r>
          </w:p>
        </w:tc>
      </w:tr>
      <w:tr>
        <w:trPr/>
        <w:tc>
          <w:tcPr>
            <w:tcW w:w="7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Расчетная температура среды, °С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softHyphen/>
            </w:r>
            <w:r>
              <w:rPr>
                <w:bCs/>
                <w:sz w:val="24"/>
                <w:szCs w:val="24"/>
              </w:rPr>
              <w:t>(</w:t>
            </w:r>
            <w:r>
              <w:rPr>
                <w:bCs/>
                <w:sz w:val="24"/>
                <w:szCs w:val="24"/>
                <w:lang w:val="en-US"/>
              </w:rPr>
              <w:t xml:space="preserve">– </w:t>
            </w:r>
            <w:r>
              <w:rPr>
                <w:bCs/>
                <w:sz w:val="24"/>
                <w:szCs w:val="24"/>
              </w:rPr>
              <w:t>40) ÷ (+ 60)</w:t>
            </w:r>
          </w:p>
        </w:tc>
      </w:tr>
      <w:tr>
        <w:trPr/>
        <w:tc>
          <w:tcPr>
            <w:tcW w:w="7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Минимально допустимая отрицательная температура стенки, °С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рабочей среды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воздух</w:t>
            </w:r>
          </w:p>
        </w:tc>
      </w:tr>
      <w:tr>
        <w:trPr>
          <w:trHeight w:val="64" w:hRule="atLeast"/>
        </w:trPr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Характеристика рабочей среды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Класс опасности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</w:tr>
      <w:tr>
        <w:trPr>
          <w:trHeight w:val="64" w:hRule="atLeast"/>
        </w:trPr>
        <w:tc>
          <w:tcPr>
            <w:tcW w:w="22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Взрывоопасность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</w:tr>
      <w:tr>
        <w:trPr>
          <w:trHeight w:val="64" w:hRule="atLeast"/>
        </w:trPr>
        <w:tc>
          <w:tcPr>
            <w:tcW w:w="22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Пожароопасность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7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Прибавка для компенсации коррозии (эрозии), мм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2,2</w:t>
            </w:r>
          </w:p>
        </w:tc>
      </w:tr>
      <w:tr>
        <w:trPr/>
        <w:tc>
          <w:tcPr>
            <w:tcW w:w="7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Вместимость, м</w:t>
            </w:r>
            <w:r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12,5</w:t>
            </w:r>
          </w:p>
        </w:tc>
      </w:tr>
      <w:tr>
        <w:trPr/>
        <w:tc>
          <w:tcPr>
            <w:tcW w:w="7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Расчетный срок службы сосуда, лет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</w:tr>
    </w:tbl>
    <w:p>
      <w:pPr>
        <w:pStyle w:val="Normal"/>
        <w:ind w:firstLine="426"/>
        <w:jc w:val="both"/>
        <w:rPr>
          <w:bCs/>
          <w:szCs w:val="24"/>
        </w:rPr>
      </w:pPr>
      <w:r>
        <w:rPr>
          <w:bCs/>
          <w:szCs w:val="24"/>
        </w:rPr>
      </w:r>
    </w:p>
    <w:p>
      <w:pPr>
        <w:pStyle w:val="ListParagraph"/>
        <w:numPr>
          <w:ilvl w:val="2"/>
          <w:numId w:val="34"/>
        </w:numPr>
        <w:ind w:left="0" w:firstLine="720"/>
        <w:jc w:val="both"/>
        <w:rPr>
          <w:sz w:val="28"/>
        </w:rPr>
      </w:pPr>
      <w:r>
        <w:rPr>
          <w:sz w:val="28"/>
        </w:rPr>
        <w:t>От воздухосборников В-1, В-2 снабжаются: пневмогидравлика приборов шахты турбины, система управления клапанами пуска воздуха в режиме синхронного компенсатора (КПВ), МНУ 1,6-1/40.</w:t>
      </w:r>
    </w:p>
    <w:p>
      <w:pPr>
        <w:pStyle w:val="Normal"/>
        <w:spacing w:before="120" w:after="0"/>
        <w:ind w:firstLine="425"/>
        <w:jc w:val="both"/>
        <w:rPr/>
      </w:pPr>
      <w:r>
        <w:rPr/>
        <w:tab/>
        <w:t>Технические характеристики сосудов В-1, В-2:</w:t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228"/>
        <w:gridCol w:w="5064"/>
        <w:gridCol w:w="2052"/>
      </w:tblGrid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Наименование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Параметр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Рабочее давление, 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Расчетное давление, 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Пробное давление (гидравлическое), 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Испытательная среда и продолжительность испытания, мин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Вода</w:t>
            </w:r>
          </w:p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Температура испытательной среды, °С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5…40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Максимально допустимая рабочая температура стенок, °С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+ 100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Минимально допустимая рабочая температура стенок, °С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- 40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рабочей среды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воздух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Прибавка на коррозию, эрозию, мм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2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Характеристика рабочей среды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ядовитость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22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воспламеняемость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22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взрывоопасность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22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максимальная температура, °С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+ 100</w:t>
            </w:r>
          </w:p>
        </w:tc>
      </w:tr>
      <w:tr>
        <w:trPr/>
        <w:tc>
          <w:tcPr>
            <w:tcW w:w="22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минимальная температура, °С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- 40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Объем, м</w:t>
            </w:r>
            <w:r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Масса порожнего сосуда, кг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</w:tbl>
    <w:p>
      <w:pPr>
        <w:pStyle w:val="Normal"/>
        <w:ind w:firstLine="426"/>
        <w:jc w:val="both"/>
        <w:rPr>
          <w:bCs/>
          <w:szCs w:val="24"/>
        </w:rPr>
      </w:pPr>
      <w:r>
        <w:rPr>
          <w:bCs/>
          <w:szCs w:val="24"/>
        </w:rPr>
      </w:r>
    </w:p>
    <w:p>
      <w:pPr>
        <w:pStyle w:val="ListParagraph"/>
        <w:numPr>
          <w:ilvl w:val="2"/>
          <w:numId w:val="35"/>
        </w:numPr>
        <w:ind w:left="0" w:firstLine="720"/>
        <w:jc w:val="both"/>
        <w:rPr>
          <w:bCs/>
          <w:sz w:val="28"/>
        </w:rPr>
      </w:pPr>
      <w:r>
        <w:rPr>
          <w:bCs/>
          <w:sz w:val="28"/>
        </w:rPr>
        <w:t>Воздухосборники В-3, В-4, В-5, В-6 используются в схеме воздушного хозяйства 8 кгс/см</w:t>
      </w:r>
      <w:r>
        <w:rPr>
          <w:bCs/>
          <w:sz w:val="28"/>
          <w:vertAlign w:val="superscript"/>
        </w:rPr>
        <w:t>2</w:t>
      </w:r>
      <w:r>
        <w:rPr>
          <w:bCs/>
          <w:sz w:val="28"/>
        </w:rPr>
        <w:t>, а именно для снабжения сжатым воздухом:</w:t>
      </w:r>
    </w:p>
    <w:p>
      <w:pPr>
        <w:pStyle w:val="Normal"/>
        <w:ind w:firstLine="426"/>
        <w:jc w:val="both"/>
        <w:rPr>
          <w:bCs/>
          <w:szCs w:val="24"/>
        </w:rPr>
      </w:pPr>
      <w:r>
        <w:rPr>
          <w:bCs/>
          <w:szCs w:val="24"/>
        </w:rPr>
        <w:t>- системы торможения гидроагрегатов;</w:t>
      </w:r>
    </w:p>
    <w:p>
      <w:pPr>
        <w:pStyle w:val="Normal"/>
        <w:ind w:firstLine="426"/>
        <w:jc w:val="both"/>
        <w:rPr>
          <w:bCs/>
          <w:szCs w:val="24"/>
        </w:rPr>
      </w:pPr>
      <w:r>
        <w:rPr>
          <w:bCs/>
          <w:szCs w:val="24"/>
        </w:rPr>
        <w:t>- ремонтного уплотнения насос-турбин;</w:t>
      </w:r>
    </w:p>
    <w:p>
      <w:pPr>
        <w:pStyle w:val="Normal"/>
        <w:ind w:firstLine="426"/>
        <w:jc w:val="both"/>
        <w:rPr>
          <w:bCs/>
          <w:szCs w:val="24"/>
        </w:rPr>
      </w:pPr>
      <w:r>
        <w:rPr>
          <w:bCs/>
          <w:szCs w:val="24"/>
        </w:rPr>
        <w:t>- пневмогидравлики для продувки импульсных трубок системы измерений уровня воды нижнего бьефа;</w:t>
      </w:r>
    </w:p>
    <w:p>
      <w:pPr>
        <w:pStyle w:val="Normal"/>
        <w:spacing w:before="0" w:after="120"/>
        <w:ind w:firstLine="425"/>
        <w:jc w:val="both"/>
        <w:rPr>
          <w:bCs/>
          <w:szCs w:val="24"/>
        </w:rPr>
      </w:pPr>
      <w:r>
        <w:rPr>
          <w:bCs/>
          <w:szCs w:val="24"/>
        </w:rPr>
        <w:t>- системы технических нужд.</w:t>
      </w:r>
    </w:p>
    <w:p>
      <w:pPr>
        <w:pStyle w:val="Normal"/>
        <w:ind w:firstLine="426"/>
        <w:jc w:val="both"/>
        <w:rPr/>
      </w:pPr>
      <w:r>
        <w:rPr/>
        <w:tab/>
        <w:t xml:space="preserve">Технические характеристики сосудов </w:t>
      </w:r>
      <w:r>
        <w:rPr>
          <w:bCs/>
          <w:szCs w:val="24"/>
        </w:rPr>
        <w:t>В-3, В-4, В-5, В-6</w:t>
      </w:r>
      <w:r>
        <w:rPr/>
        <w:t>:</w:t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228"/>
        <w:gridCol w:w="5064"/>
        <w:gridCol w:w="2052"/>
      </w:tblGrid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Наименование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Параметр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Расчетное давление, 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Разрешенное давление, 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Испытательное давление, 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Расчетная температура стенок, °С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7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Емкость, м</w:t>
            </w:r>
            <w:r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2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Характеристика рабочей среды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Рабочая среда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воздух</w:t>
            </w:r>
          </w:p>
        </w:tc>
      </w:tr>
      <w:tr>
        <w:trPr/>
        <w:tc>
          <w:tcPr>
            <w:tcW w:w="22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максимальная температура, °С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+ 50</w:t>
            </w:r>
          </w:p>
        </w:tc>
      </w:tr>
      <w:tr>
        <w:trPr/>
        <w:tc>
          <w:tcPr>
            <w:tcW w:w="22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минимальная температура, °С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- 40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ListParagraph"/>
        <w:numPr>
          <w:ilvl w:val="2"/>
          <w:numId w:val="36"/>
        </w:numPr>
        <w:ind w:left="0" w:firstLine="720"/>
        <w:jc w:val="both"/>
        <w:rPr>
          <w:bCs/>
          <w:sz w:val="28"/>
        </w:rPr>
      </w:pPr>
      <w:r>
        <w:rPr>
          <w:sz w:val="28"/>
          <w:lang w:val="en-US" w:eastAsia="x-none"/>
        </w:rPr>
        <w:t xml:space="preserve"> </w:t>
      </w:r>
      <w:r>
        <w:rPr>
          <w:bCs/>
          <w:sz w:val="28"/>
        </w:rPr>
        <w:t>Маслоохладители (2 шт. на 1 трансформатор) трансформатора предназначены для охлаждения горячего масла от блочных трансформаторов.</w:t>
      </w:r>
    </w:p>
    <w:p>
      <w:pPr>
        <w:pStyle w:val="Normal"/>
        <w:spacing w:before="120" w:after="0"/>
        <w:ind w:firstLine="425"/>
        <w:jc w:val="both"/>
        <w:rPr>
          <w:bCs/>
          <w:szCs w:val="24"/>
        </w:rPr>
      </w:pPr>
      <w:r>
        <w:rPr>
          <w:bCs/>
          <w:szCs w:val="24"/>
        </w:rPr>
        <w:t>Технические характеристики маслоохладителей:</w:t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167"/>
        <w:gridCol w:w="706"/>
        <w:gridCol w:w="3359"/>
        <w:gridCol w:w="1417"/>
        <w:gridCol w:w="1694"/>
      </w:tblGrid>
      <w:tr>
        <w:trPr/>
        <w:tc>
          <w:tcPr>
            <w:tcW w:w="62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Техническая характеристика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Параметр</w:t>
            </w:r>
          </w:p>
        </w:tc>
      </w:tr>
      <w:tr>
        <w:trPr/>
        <w:tc>
          <w:tcPr>
            <w:tcW w:w="623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Корпус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Трубное пространство</w:t>
            </w:r>
          </w:p>
        </w:tc>
      </w:tr>
      <w:tr>
        <w:trPr/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Рабочее давление, МПа (кгс/см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0,4 (4,0)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0,03-0,2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(0,3-2)</w:t>
            </w:r>
          </w:p>
        </w:tc>
      </w:tr>
      <w:tr>
        <w:trPr/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Расчетное давление, МПа (кгс/см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0,4 (40,0)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0,03-0,2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(0,3-2)</w:t>
            </w:r>
          </w:p>
        </w:tc>
      </w:tr>
      <w:tr>
        <w:trPr/>
        <w:tc>
          <w:tcPr>
            <w:tcW w:w="28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Пробное давление испытания, МПа (кгс/см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Гидравлического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0,6 (6,0)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0,6 (6,0)</w:t>
            </w:r>
          </w:p>
        </w:tc>
      </w:tr>
      <w:tr>
        <w:trPr/>
        <w:tc>
          <w:tcPr>
            <w:tcW w:w="287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Пневматического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Испытательная среда и продолжительность испытания, мин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 мин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трансформаторное масло</w:t>
            </w:r>
          </w:p>
        </w:tc>
      </w:tr>
      <w:tr>
        <w:trPr/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Температура испытательной среды, 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softHyphen/>
            </w: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Максимально допустимая рабочая температура стенок, 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softHyphen/>
            </w:r>
            <w:r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Минимально допустимая рабочая температура стенок, 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– </w:t>
            </w: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softHyphen/>
              <w:t>– 20</w:t>
            </w:r>
          </w:p>
        </w:tc>
      </w:tr>
      <w:tr>
        <w:trPr/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рабочей среды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масло трансформаторное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вода</w:t>
            </w:r>
          </w:p>
        </w:tc>
      </w:tr>
      <w:tr>
        <w:trPr/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Характеристика рабочей среды</w:t>
            </w:r>
          </w:p>
        </w:tc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вредность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2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воспламеняемость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2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взрывоопасность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2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максимальная температура, 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2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минимальная температура, 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Прибавка на коррозию, эрозию, 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Внутренний объем, м</w:t>
            </w:r>
            <w:r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0,36</w:t>
            </w:r>
          </w:p>
        </w:tc>
      </w:tr>
      <w:tr>
        <w:trPr/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Масса порожнего сосуда, кг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2042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both"/>
        <w:rPr>
          <w:bCs/>
          <w:szCs w:val="24"/>
        </w:rPr>
      </w:pPr>
      <w:r>
        <w:rPr>
          <w:bCs/>
          <w:szCs w:val="24"/>
        </w:rPr>
      </w:r>
    </w:p>
    <w:p>
      <w:pPr>
        <w:pStyle w:val="ListParagraph"/>
        <w:ind w:left="1224" w:hanging="0"/>
        <w:rPr>
          <w:lang w:val="en-US" w:eastAsia="x-none"/>
        </w:rPr>
      </w:pPr>
      <w:r>
        <w:rPr>
          <w:lang w:val="en-US" w:eastAsia="x-none"/>
        </w:rPr>
      </w:r>
    </w:p>
    <w:p>
      <w:pPr>
        <w:pStyle w:val="Style28"/>
        <w:numPr>
          <w:ilvl w:val="0"/>
          <w:numId w:val="0"/>
        </w:numPr>
        <w:jc w:val="left"/>
        <w:outlineLvl w:val="0"/>
        <w:rPr>
          <w:b w:val="false"/>
        </w:rPr>
      </w:pPr>
      <w:bookmarkStart w:id="14" w:name="_Toc230786544"/>
      <w:bookmarkStart w:id="15" w:name="_Toc54643458"/>
      <w:bookmarkStart w:id="16" w:name="_Hlk48209761"/>
      <w:bookmarkEnd w:id="16"/>
      <w:r>
        <w:rPr>
          <w:b w:val="false"/>
        </w:rPr>
        <w:t xml:space="preserve">Таблица 1. Перечень объектов </w:t>
      </w:r>
      <w:bookmarkEnd w:id="15"/>
      <w:r>
        <w:rPr>
          <w:b w:val="false"/>
        </w:rPr>
        <w:t>заказчика</w:t>
      </w:r>
      <w:bookmarkEnd w:id="14"/>
    </w:p>
    <w:tbl>
      <w:tblPr>
        <w:tblW w:w="10326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1"/>
        <w:gridCol w:w="2155"/>
        <w:gridCol w:w="3798"/>
        <w:gridCol w:w="2337"/>
        <w:gridCol w:w="1475"/>
      </w:tblGrid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п/п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Расположение объекта </w:t>
              <w:br/>
              <w:t xml:space="preserve">(место оказания услуг)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Наименование основного средства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Примечания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3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ЭПБ масловоздушного сосуда МНУ А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Установка маслонапорная </w:t>
            </w:r>
          </w:p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МНУ-12,5/2-63, А-3 ЗГ200579-1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ЭПБ 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воздушного сосуда МНУ А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Установка маслонапорная </w:t>
            </w:r>
          </w:p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МНУ-12,5/2-63, А-3 ЗГ200579-1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ЭПБ сосуда СК А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>5 (5В-12)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</w:rPr>
              <w:t>Ресивер СК, ВГ-12.5/45, агрегат А-5   (5В-12)</w:t>
              <w:tab/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</w:p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ЗГ400559-1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ЭПБ сосуда СК А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>5 (5В-13)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</w:rPr>
              <w:t>Ресивер СК, ВГ-12.5/45, агрегат А-5   (5В-13)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</w:p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ЗГ400559-2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ЭПБ сосуда СК А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>5 (5В-14)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</w:rPr>
              <w:t>Ресивер СК, ВГ-12.5/45, агрегат А-5   (5В-14)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</w:p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ЗГ400559-3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ЭПБ сосуда СК А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>5 (5В-15)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</w:rPr>
              <w:t>Ресивер СК, ВГ-12.5/45, агрегат А-5   (5В-15)</w:t>
              <w:tab/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</w:p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ЗГ400559-4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Воздухосборник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В-1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Ресивер 8 м.куб.64 атм. Помещение воздухосборников высокого давления 40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iCs/>
                <w:sz w:val="22"/>
                <w:szCs w:val="22"/>
              </w:rPr>
              <w:t>атм район А-1 (В-1) ЗГ41037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Воздухосборник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В-2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Ресивер 8 м.куб.64 атм. Помещение воздухосборников высокого давления 40атм район А-1 (В-2) ЗГ41038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Воздухосборник 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В-5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Ресивер 4м.куб. 8атм. Помещение воздухосборников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iCs/>
                <w:sz w:val="22"/>
                <w:szCs w:val="22"/>
              </w:rPr>
              <w:t>63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iCs/>
                <w:sz w:val="22"/>
                <w:szCs w:val="22"/>
              </w:rPr>
              <w:t>атм и 8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iCs/>
                <w:sz w:val="22"/>
                <w:szCs w:val="22"/>
              </w:rPr>
              <w:t>атм (В-5) ЗГ41062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Воздухосборник 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В-6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Ресивер 4м.куб. 8атм. Помещение воздухосборников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iCs/>
                <w:sz w:val="22"/>
                <w:szCs w:val="22"/>
              </w:rPr>
              <w:t>63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iCs/>
                <w:sz w:val="22"/>
                <w:szCs w:val="22"/>
              </w:rPr>
              <w:t>атм и 8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iCs/>
                <w:sz w:val="22"/>
                <w:szCs w:val="22"/>
              </w:rPr>
              <w:t>атм (В-6) ЗГ41063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Воздухосборник 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В-3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Ресивер 4м.куб. 8атм. Помещение воздухосборников63атм и 8атм (В-3)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iCs/>
                <w:sz w:val="22"/>
                <w:szCs w:val="22"/>
              </w:rPr>
              <w:t>ЗГ41035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Воздухосборник 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В-4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Ресивер 4м.куб. 8атм. Помещение воздухосборников63атм и 8атм (В-4)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iCs/>
                <w:sz w:val="22"/>
                <w:szCs w:val="22"/>
              </w:rPr>
              <w:t>ЗГ5147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Маслоохладитель 1МО-1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Трансформатор силовой ТЦ-250000/500, РУ-500 кВ, Т-1</w:t>
              <w:tab/>
              <w:t>ЗГ40081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Маслоохладитель 1МО-2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Трансформатор силовой ТЦ-250000/500, РУ-500 кВ, Т-1</w:t>
              <w:tab/>
              <w:t>ЗГ40081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Маслоохладитель 2МО-1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Трансформатор силовой ТЦ-250000/500, РУ-500 кВ, Т-2</w:t>
              <w:tab/>
              <w:t>ЗГ200547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Маслоохладитель 2МО-2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Трансформатор силовой ТЦ-250000/500, РУ-500 кВ, Т-2</w:t>
              <w:tab/>
              <w:t>ЗГ200547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Маслоохладитель 3МО-1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Трансформатор силовой ТЦ-250000/500, РУ-500 кВ, Т-3</w:t>
              <w:tab/>
              <w:t>ЗГ40700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Маслоохладитель 3МО-2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Трансформатор силовой ТЦ-250000/500, РУ-500 кВ, Т-3</w:t>
              <w:tab/>
              <w:t>ЗГ40700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Маслоохладитель 4МО-1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Трансформатор силовой ТЦ-250000/500, РУ-500 кВ, Т-4</w:t>
              <w:tab/>
              <w:t>ЗГ400521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Маслоохладитель 4МО-2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Трансформатор силовой ТЦ-250000/500, РУ-500 кВ, Т-4</w:t>
              <w:tab/>
              <w:t>ЗГ400521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Маслоохладитель 5МО-1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Трансформатор силовой ТЦ-250000/500, РУ-500 кВ, Т-5</w:t>
              <w:tab/>
              <w:t>ЗГ40129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881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Маслоохладитель 5МО-2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</w:pPr>
            <w:r>
              <w:rPr>
                <w:rStyle w:val="Style8"/>
                <w:b w:val="false"/>
                <w:iCs/>
                <w:sz w:val="22"/>
                <w:szCs w:val="22"/>
                <w:shd w:fill="FFFFFF" w:val="clear"/>
              </w:rPr>
              <w:t>Филиал ПАО «РусГидро»-«Загорская ГАЭС», Российская Федерация, Московская обл., г.о. Сергиево-Посадский, рп Богородское, д.100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Трансформатор силовой ТЦ-250000/500, РУ-500 кВ, Т-5</w:t>
              <w:tab/>
              <w:t>ЗГ40129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</w:tbl>
    <w:p>
      <w:pPr>
        <w:pStyle w:val="Normal"/>
        <w:rPr>
          <w:b/>
          <w:lang w:eastAsia="x-none"/>
        </w:rPr>
      </w:pPr>
      <w:r>
        <w:rPr>
          <w:b/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numPr>
          <w:ilvl w:val="0"/>
          <w:numId w:val="37"/>
        </w:numPr>
        <w:ind w:left="0" w:hanging="0"/>
        <w:jc w:val="center"/>
        <w:rPr>
          <w:b/>
          <w:caps/>
          <w:lang w:val="ru-RU"/>
        </w:rPr>
      </w:pPr>
      <w:bookmarkStart w:id="17" w:name="_Toc230786545"/>
      <w:bookmarkStart w:id="18" w:name="_Toc51339693"/>
      <w:r>
        <w:rPr>
          <w:b/>
        </w:rPr>
        <w:t>Требования к продукции</w:t>
      </w:r>
      <w:bookmarkEnd w:id="17"/>
      <w:bookmarkEnd w:id="18"/>
    </w:p>
    <w:p>
      <w:pPr>
        <w:pStyle w:val="Heading4"/>
        <w:numPr>
          <w:ilvl w:val="1"/>
          <w:numId w:val="38"/>
        </w:numPr>
        <w:rPr/>
      </w:pPr>
      <w:bookmarkStart w:id="19" w:name="_Toc230786546"/>
      <w:r>
        <w:rPr/>
        <w:t>Требования к объемам</w:t>
      </w:r>
      <w:r>
        <w:rPr>
          <w:lang w:val="ru-RU"/>
        </w:rPr>
        <w:t xml:space="preserve"> и срокам оказания услуг</w:t>
      </w:r>
      <w:bookmarkEnd w:id="19"/>
    </w:p>
    <w:p>
      <w:pPr>
        <w:pStyle w:val="Heading4"/>
        <w:tabs>
          <w:tab w:val="clear" w:pos="0"/>
        </w:tabs>
        <w:ind w:left="432" w:hanging="0"/>
        <w:rPr/>
      </w:pPr>
      <w:bookmarkStart w:id="20" w:name="_Toc230786547"/>
      <w:bookmarkStart w:id="21" w:name="_Toc51339695"/>
      <w:r>
        <w:rPr/>
        <w:t xml:space="preserve">Таблица </w:t>
      </w:r>
      <w:r>
        <w:rPr>
          <w:lang w:val="en-US"/>
        </w:rPr>
        <w:t>2</w:t>
      </w:r>
      <w:r>
        <w:rPr>
          <w:lang w:val="ru-RU"/>
        </w:rPr>
        <w:t>.</w:t>
      </w:r>
      <w:r>
        <w:rPr/>
        <w:t xml:space="preserve"> Перечень </w:t>
      </w:r>
      <w:bookmarkEnd w:id="21"/>
      <w:r>
        <w:rPr/>
        <w:t>и объем оказываемых услуг</w:t>
      </w:r>
      <w:bookmarkEnd w:id="20"/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96"/>
        <w:gridCol w:w="6409"/>
        <w:gridCol w:w="1559"/>
        <w:gridCol w:w="1528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Экспертиза промышленной безопасности </w:t>
            </w:r>
            <w:r>
              <w:rPr>
                <w:sz w:val="24"/>
                <w:szCs w:val="24"/>
                <w:lang w:val="en-US"/>
              </w:rPr>
              <w:t xml:space="preserve">маслоохладителей 2МО-1, 2МО-2 </w:t>
            </w:r>
            <w:r>
              <w:rPr>
                <w:sz w:val="24"/>
                <w:szCs w:val="24"/>
              </w:rPr>
              <w:t>в следующем объеме: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Разработка и согласование с Заказчиком, программы экспертизы промышленной безопасности оборудования, работающего под избыточным давлением;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проектной и технологической документации, содержащей информацию о назначении, конструкции и технических характеристиках оборудования, о примененных при его изготовлении материалах, об объеме, методах и результатах, проведенных при изготовлении неразрушающего и разрушающего контроля и испытаний оборудования;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Наружный и внутренний осмотр (визуальный и измерительный контроль) оборудования и его элементов в целях определения их соответствия представленной документации;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Неразрушающий контроль, проводимый с целью косвенного подтверждения результатов контроля, указанных в документации изготовителя, выборочно в объеме, устанавливаемом экспертной организацией по результатам анализа представленной документации и осмотра. При проведении контроля должны использоваться методы из числа перечисленных в главе III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 и иные аналогичные примененным изготовителем методы;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Гидравлические испытания пробным давлением;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Оценка соответствия оборудования требованиям нормативных документов по результатам оказанных в рамках экспертизы услуг с определением возможности его безопасной эксплуатации при указанных в технической документации параметрах и условиях.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Оформление и выдача заключений экспертизы промышленной безопасности.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.</w:t>
              <w:tab/>
              <w:t>Оказание услуг по передаче в Ростехнадзор заявлений и заключений экспертиз промышленной безопасности для регистрации и внесения сведений в реестр Федеральной службы по экологическому, технологическому и атомному надзору РФ. Получение от Федеральной службы по экологическому, технологическому и атомному надзору РФ и передача Заказчику заключений экспертиз промышленной безопасности и уведомлений о внесении сведений в реестр заключений экспертиз с присвоением регистрационных номеров экспертиз.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Техническое освидетельствование сосудов СК А-5 5В-12, 5В-13, 5В-14, 5В-15 в следующем объеме: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  <w:tab/>
              <w:t>Разработка и согласование с Заказчиком программы технического освидетельствования оборудования, работающего под избыточным давлением;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  <w:tab/>
              <w:t>Проведение визуального и измерительного контроля с внутренней и наружной поверхностей сосудов;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 Проверка соответствия монтажа, обвязки трубопроводами, оснащения контрольно-измерительными приборами и предохранительными устройствами сосуда требованиям проектной и технической документации.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  <w:tab/>
              <w:t>Внесение в паспорта сосудов результатов технического освидетельствования.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Экспертиза промышленной безопасности </w:t>
            </w:r>
            <w:r>
              <w:rPr>
                <w:sz w:val="24"/>
                <w:szCs w:val="24"/>
                <w:lang w:val="en-US"/>
              </w:rPr>
              <w:t xml:space="preserve">маслоохладителей 2МО-1, 2МО-2 </w:t>
            </w:r>
            <w:r>
              <w:rPr>
                <w:sz w:val="24"/>
                <w:szCs w:val="24"/>
              </w:rPr>
              <w:t>в следующем объеме: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Разработка и согласование с Заказчиком, программы экспертизы промышленной безопасности оборудования, работающего под избыточным давлением;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проектной и технологической документации, содержащей информацию о назначении, конструкции и технических характеристиках оборудования, о примененных при его изготовлении материалах, об объеме, методах и результатах, проведенных при изготовлении неразрушающего и разрушающего контроля и испытаний оборудования;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Наружный и внутренний осмотр (визуальный и измерительный контроль) оборудования и его элементов в целях определения их соответствия представленной документации;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Неразрушающий контроль, проводимый с целью косвенного подтверждения результатов контроля, указанных в документации изготовителя, выборочно в объеме, устанавливаемом экспертной организацией по результатам анализа представленной документации и осмотра. При проведении контроля должны использоваться методы из числа перечисленных в главе III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 и иные аналогичные примененным изготовителем методы;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Гидравлические испытания пробным давлением;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Оценка соответствия оборудования требованиям нормативных документов по результатам оказанных в рамках экспертизы услуг с определением возможности его безопасной эксплуатации при указанных в технической документации параметрах и условиях.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Оформление и выдача заключений экспертизы промышленной безопасности.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.</w:t>
              <w:tab/>
              <w:t>Оказание услуг по передаче в Ростехнадзор заявлений и заключений экспертиз промышленной безопасности для регистрации и внесения сведений в реестр Федеральной службы по экологическому, технологическому и атомному надзору РФ. Получение от Федеральной службы по экологическому, технологическому и атомному надзору РФ и передача Заказчику заключений экспертиз промышленной безопасности и уведомлений о внесении сведений в реестр заключений экспертиз с присвоением регистрационных номеров экспертиз.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Экспертиза промышленной безопасности сосудов </w:t>
            </w:r>
            <w:r>
              <w:rPr>
                <w:sz w:val="24"/>
                <w:szCs w:val="24"/>
                <w:lang w:val="en-US"/>
              </w:rPr>
              <w:t>воздухосборников В-1, В-4, В-5</w:t>
            </w:r>
            <w:r>
              <w:rPr>
                <w:sz w:val="24"/>
                <w:szCs w:val="24"/>
              </w:rPr>
              <w:t xml:space="preserve"> в следующем объеме: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Разработка и согласование с Заказчиком, программы экспертизы промышленной безопасности оборудования, работающего под избыточным давлением;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проектной и технологической документации, содержащей информацию о назначении, конструкции и технических характеристиках оборудования, о примененных при его изготовлении материалах, об объеме, методах и результатах, проведенных при изготовлении неразрушающего и разрушающего контроля и испытаний оборудования;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Наружный и внутренний осмотр (визуальный и измерительный контроль) оборудования и его элементов в целях определения их соответствия представленной документации;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Неразрушающий контроль, проводимый с целью косвенного подтверждения результатов контроля, указанных в документации изготовителя, выборочно в объеме, устанавливаемом экспертной организацией по результатам анализа представленной документации и осмотра. При проведении контроля должны использоваться методы из числа перечисленных в главе III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 и иные аналогичные примененным изготовителем методы;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Гидравлические испытания пробным давлением;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Оценка соответствия оборудования требованиям нормативных документов по результатам оказанных в рамках экспертизы услуг с определением возможности его безопасной эксплуатации при указанных в технической документации параметрах и условиях.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Оформление и выдача заключений экспертизы промышленной безопасности.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.</w:t>
              <w:tab/>
              <w:t>Оказание услуг по передаче в Ростехнадзор заявлений и заключений экспертиз промышленной безопасности для регистрации и внесения сведений в реестр Федеральной службы по экологическому, технологическому и атомному надзору РФ. Получение от Федеральной службы по экологическому, технологическому и атомному надзору РФ и передача Заказчику заключений экспертиз промышленной безопасности и уведомлений о внесении сведений в реестр заключений экспертиз с присвоением регистрационных номеров экспертиз.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Экспертиза промышленной </w:t>
            </w:r>
            <w:r>
              <w:rPr>
                <w:sz w:val="24"/>
                <w:szCs w:val="24"/>
                <w:lang w:val="en-US"/>
              </w:rPr>
              <w:t xml:space="preserve">безопасности воздухосборников В-2, В-3, В-6 и </w:t>
            </w:r>
            <w:r>
              <w:rPr>
                <w:sz w:val="24"/>
                <w:szCs w:val="24"/>
              </w:rPr>
              <w:t xml:space="preserve">маслоохладителей 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 xml:space="preserve">МО-1, 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МО-2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 следующем объеме: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Разработка и согласование с Заказчиком, программы экспертизы промышленной безопасности оборудования, работающего под избыточным давлением;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проектной и технологической документации, содержащей информацию о назначении, конструкции и технических характеристиках оборудования, о примененных при его изготовлении материалах, об объеме, методах и результатах, проведенных при изготовлении неразрушающего и разрушающего контроля и испытаний оборудования;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Наружный и внутренний осмотр (визуальный и измерительный контроль) оборудования и его элементов в целях определения их соответствия представленной документации;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Неразрушающий контроль, проводимый с целью косвенного подтверждения результатов контроля, указанных в документации изготовителя, выборочно в объеме, устанавливаемом экспертной организацией по результатам анализа представленной документации и осмотра. При проведении контроля должны использоваться методы из числа перечисленных в главе III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 и иные аналогичные примененным изготовителем методы;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Гидравлические испытания пробным давлением;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Оценка соответствия оборудования требованиям нормативных документов по результатам оказанных в рамках экспертизы услуг с определением возможности его безопасной эксплуатации при указанных в технической документации параметрах и условиях.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Оформление и выдача заключений экспертизы промышленной безопасности.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  <w:tab/>
              <w:t>Оказание услуг по передаче в Ростехнадзор заявлений и заключений экспертиз промышленной безопасности для регистрации и внесения сведений в реестр Федеральной службы по экологическому, технологическому и атомному надзору РФ. Получение от Федеральной службы по экологическому, технологическому и атомному надзору РФ и передача Заказчику заключений экспертиз промышленной безопасности и уведомлений о внесении сведений в реестр заключений экспертиз с присвоением регистрационных номеров экспертиз.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Экспертиза промышленной </w:t>
            </w:r>
            <w:r>
              <w:rPr>
                <w:sz w:val="24"/>
                <w:szCs w:val="24"/>
                <w:lang w:val="en-US"/>
              </w:rPr>
              <w:t xml:space="preserve">безопасности </w:t>
            </w:r>
            <w:r>
              <w:rPr>
                <w:sz w:val="24"/>
                <w:szCs w:val="24"/>
              </w:rPr>
              <w:t xml:space="preserve">маслоохладителей 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МО-1, 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МО-2</w:t>
            </w:r>
            <w:r>
              <w:rPr>
                <w:sz w:val="24"/>
                <w:szCs w:val="24"/>
                <w:lang w:val="en-US"/>
              </w:rPr>
              <w:t>, 4</w:t>
            </w:r>
            <w:r>
              <w:rPr>
                <w:sz w:val="24"/>
                <w:szCs w:val="24"/>
              </w:rPr>
              <w:t xml:space="preserve">МО-1, 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МО-2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 следующем объеме: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Разработка и согласование с Заказчиком, программы экспертизы промышленной безопасности оборудования, работающего под избыточным давлением;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проектной и технологической документации, содержащей информацию о назначении, конструкции и технических характеристиках оборудования, о примененных при его изготовлении материалах, об объеме, методах и результатах, проведенных при изготовлении неразрушающего и разрушающего контроля и испытаний оборудования;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Наружный и внутренний осмотр (визуальный и измерительный контроль) оборудования и его элементов в целях определения их соответствия представленной документации;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Неразрушающий контроль, проводимый с целью косвенного подтверждения результатов контроля, указанных в документации изготовителя, выборочно в объеме, устанавливаемом экспертной организацией по результатам анализа представленной документации и осмотра. При проведении контроля должны использоваться методы из числа перечисленных в главе III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 и иные аналогичные примененным изготовителем методы;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Гидравлические испытания пробным давлением;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Оценка соответствия оборудования требованиям нормативных документов по результатам оказанных в рамках экспертизы услуг с определением возможности его безопасной эксплуатации при указанных в технической документации параметрах и условиях.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Оформление и выдача заключений экспертизы промышленной безопасности.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  <w:tab/>
              <w:t>Оказание услуг по передаче в Ростехнадзор заявлений и заключений экспертиз промышленной безопасности для регистрации и внесения сведений в реестр Федеральной службы по экологическому, технологическому и атомному надзору РФ. Получение от Федеральной службы по экологическому, технологическому и атомному надзору РФ и передача Заказчику заключений экспертиз промышленной безопасности и уведомлений о внесении сведений в реестр заключений экспертиз с присвоением регистрационных номеров экспертиз.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Экспертиза промышленной </w:t>
            </w:r>
            <w:r>
              <w:rPr>
                <w:sz w:val="24"/>
                <w:szCs w:val="24"/>
                <w:lang w:val="en-US"/>
              </w:rPr>
              <w:t xml:space="preserve">безопасности </w:t>
            </w:r>
            <w:r>
              <w:rPr>
                <w:sz w:val="24"/>
                <w:szCs w:val="24"/>
              </w:rPr>
              <w:t xml:space="preserve">маслоохладителей 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 xml:space="preserve">МО-1, 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МО-2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 следующем объеме: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Разработка и согласование с Заказчиком, программы экспертизы промышленной безопасности оборудования, работающего под избыточным давлением;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проектной и технологической документации, содержащей информацию о назначении, конструкции и технических характеристиках оборудования, о примененных при его изготовлении материалах, об объеме, методах и результатах, проведенных при изготовлении неразрушающего и разрушающего контроля и испытаний оборудования;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Наружный и внутренний осмотр (визуальный и измерительный контроль) оборудования и его элементов в целях определения их соответствия представленной документации;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Неразрушающий контроль, проводимый с целью косвенного подтверждения результатов контроля, указанных в документации изготовителя, выборочно в объеме, устанавливаемом экспертной организацией по результатам анализа представленной документации и осмотра. При проведении контроля должны использоваться методы из числа перечисленных в главе III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 и иные аналогичные примененным изготовителем методы;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Гидравлические испытания пробным давлением;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Оценка соответствия оборудования требованиям нормативных документов по результатам оказанных в рамках экспертизы услуг с определением возможности его безопасной эксплуатации при указанных в технической документации параметрах и условиях.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Оформление и выдача заключений экспертизы промышленной безопасности.</w:t>
            </w:r>
          </w:p>
          <w:p>
            <w:pPr>
              <w:pStyle w:val="Normal"/>
              <w:widowControl w:val="false"/>
              <w:ind w:firstLine="6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  <w:tab/>
              <w:t>Оказание услуг по передаче в Ростехнадзор заявлений и заключений экспертиз промышленной безопасности для регистрации и внесения сведений в реестр Федеральной службы по экологическому, технологическому и атомному надзору РФ. Получение от Федеральной службы по экологическому, технологическому и атомному надзору РФ и передача Заказчику заключений экспертиз промышленной безопасности и уведомлений о внесении сведений в реестр заключений экспертиз с присвоением регистрационных номеров экспертиз.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hd w:fill="FFFF99" w:val="clear"/>
        </w:rPr>
      </w:pPr>
      <w:r>
        <w:rPr>
          <w:bCs/>
          <w:i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hd w:fill="FFFF99" w:val="clear"/>
        </w:rPr>
      </w:pPr>
      <w:r>
        <w:rPr>
          <w:bCs/>
          <w:i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hd w:fill="FFFF99" w:val="clear"/>
        </w:rPr>
      </w:pPr>
      <w:r>
        <w:rPr>
          <w:bCs/>
          <w:i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hd w:fill="FFFF99" w:val="clear"/>
        </w:rPr>
      </w:pPr>
      <w:r>
        <w:rPr>
          <w:bCs/>
          <w:i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hd w:fill="FFFF99" w:val="clear"/>
        </w:rPr>
      </w:pPr>
      <w:r>
        <w:rPr>
          <w:bCs/>
          <w:i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hd w:fill="FFFF99" w:val="clear"/>
        </w:rPr>
      </w:pPr>
      <w:r>
        <w:rPr>
          <w:bCs/>
          <w:i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hd w:fill="FFFF99" w:val="clear"/>
        </w:rPr>
      </w:pPr>
      <w:r>
        <w:rPr>
          <w:bCs/>
          <w:i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hd w:fill="FFFF99" w:val="clear"/>
        </w:rPr>
      </w:pPr>
      <w:r>
        <w:rPr>
          <w:bCs/>
          <w:i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hd w:fill="FFFF99" w:val="clear"/>
        </w:rPr>
      </w:pPr>
      <w:r>
        <w:rPr>
          <w:bCs/>
          <w:i/>
          <w:shd w:fill="FFFF99" w:val="clear"/>
        </w:rPr>
      </w:r>
    </w:p>
    <w:p>
      <w:pPr>
        <w:pStyle w:val="Heading4"/>
        <w:numPr>
          <w:ilvl w:val="1"/>
          <w:numId w:val="39"/>
        </w:numPr>
        <w:rPr/>
      </w:pPr>
      <w:bookmarkStart w:id="22" w:name="_Toc230786548"/>
      <w:bookmarkStart w:id="23" w:name="_Toc54643465"/>
      <w:bookmarkStart w:id="24" w:name="_Toc48062868"/>
      <w:bookmarkStart w:id="25" w:name="_GoBack"/>
      <w:bookmarkEnd w:id="25"/>
      <w:r>
        <w:rPr/>
        <w:t xml:space="preserve">Требования к срокам </w:t>
      </w:r>
      <w:bookmarkEnd w:id="24"/>
      <w:r>
        <w:rPr/>
        <w:t>оказания услуг</w:t>
      </w:r>
      <w:bookmarkEnd w:id="22"/>
      <w:bookmarkEnd w:id="23"/>
    </w:p>
    <w:p>
      <w:pPr>
        <w:pStyle w:val="Heading4"/>
        <w:tabs>
          <w:tab w:val="clear" w:pos="0"/>
        </w:tabs>
        <w:ind w:left="432" w:hanging="0"/>
        <w:rPr/>
      </w:pPr>
      <w:bookmarkStart w:id="26" w:name="_Toc230786549"/>
      <w:bookmarkStart w:id="27" w:name="_Toc50125127"/>
      <w:bookmarkStart w:id="28" w:name="_Toc51339697"/>
      <w:bookmarkStart w:id="29" w:name="_Toc51339696"/>
      <w:bookmarkStart w:id="30" w:name="_Toc50125126"/>
      <w:bookmarkEnd w:id="29"/>
      <w:bookmarkEnd w:id="30"/>
      <w:r>
        <w:rPr/>
        <w:t xml:space="preserve">Таблица </w:t>
      </w:r>
      <w:r>
        <w:rPr>
          <w:lang w:val="en-US"/>
        </w:rPr>
        <w:t>3</w:t>
      </w:r>
      <w:r>
        <w:rPr>
          <w:lang w:val="ru-RU"/>
        </w:rPr>
        <w:t>.</w:t>
      </w:r>
      <w:r>
        <w:rPr/>
        <w:t xml:space="preserve"> </w:t>
      </w:r>
      <w:bookmarkStart w:id="31" w:name="_Hlk50465284"/>
      <w:r>
        <w:rPr/>
        <w:t xml:space="preserve">Требования к срокам </w:t>
      </w:r>
      <w:bookmarkEnd w:id="27"/>
      <w:bookmarkEnd w:id="28"/>
      <w:bookmarkEnd w:id="31"/>
      <w:r>
        <w:rPr/>
        <w:t>оказания услуг</w:t>
      </w:r>
      <w:bookmarkEnd w:id="26"/>
    </w:p>
    <w:tbl>
      <w:tblPr>
        <w:tblW w:w="10824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481"/>
        <w:gridCol w:w="4622"/>
        <w:gridCol w:w="2127"/>
        <w:gridCol w:w="2103"/>
        <w:gridCol w:w="1491"/>
      </w:tblGrid>
      <w:tr>
        <w:trPr>
          <w:trHeight w:val="522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widowControl w:val="false"/>
              <w:ind w:left="-57" w:right="-57" w:hanging="0"/>
              <w:jc w:val="center"/>
              <w:rPr>
                <w:b/>
              </w:rPr>
            </w:pPr>
            <w:bookmarkStart w:id="32" w:name="_Toc46743510"/>
            <w:bookmarkEnd w:id="32"/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widowControl w:val="false"/>
              <w:ind w:left="0" w:hanging="0"/>
              <w:jc w:val="center"/>
              <w:rPr>
                <w:b/>
              </w:rPr>
            </w:pPr>
            <w:r>
              <w:rPr>
                <w:b/>
              </w:rPr>
              <w:t>Наименование услуг/ этапа услуг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началу срока оказания услуг/этапа услуг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окончанию срока выполнения услуг/этапа услуг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Примечание</w:t>
            </w:r>
          </w:p>
        </w:tc>
      </w:tr>
      <w:tr>
        <w:trPr>
          <w:trHeight w:val="104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widowControl w:val="false"/>
              <w:ind w:left="0" w:hang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widowControl w:val="false"/>
              <w:ind w:left="0" w:hanging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widowControl w:val="false"/>
              <w:ind w:left="0" w:hanging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widowControl w:val="false"/>
              <w:ind w:left="0" w:hanging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widowControl w:val="false"/>
              <w:ind w:left="0" w:hanging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</w:tr>
      <w:tr>
        <w:trPr>
          <w:trHeight w:val="397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widowControl w:val="false"/>
              <w:numPr>
                <w:ilvl w:val="0"/>
                <w:numId w:val="9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Экспертиза промышленной безопасности</w:t>
            </w:r>
            <w:r>
              <w:rPr>
                <w:sz w:val="24"/>
                <w:lang w:val="en-US"/>
              </w:rPr>
              <w:t>: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  <w:szCs w:val="24"/>
              </w:rPr>
              <w:t>масловоздушного сосуда МНУ А-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widowControl w:val="false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- воздушного сосуда МНУ А-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27.02.2027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widowControl w:val="false"/>
              <w:numPr>
                <w:ilvl w:val="0"/>
                <w:numId w:val="9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Техническое освидетельствование: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both"/>
              <w:rPr/>
            </w:pPr>
            <w:r>
              <w:rPr/>
              <w:t>сосуда СК А</w:t>
            </w:r>
            <w:r>
              <w:rPr>
                <w:lang w:val="en-US"/>
              </w:rPr>
              <w:t>-5</w:t>
            </w:r>
            <w:r>
              <w:rPr/>
              <w:t xml:space="preserve"> (</w:t>
            </w:r>
            <w:r>
              <w:rPr>
                <w:lang w:val="en-US"/>
              </w:rPr>
              <w:t>5</w:t>
            </w:r>
            <w:r>
              <w:rPr/>
              <w:t>В-12);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both"/>
              <w:rPr>
                <w:lang w:val="en-US"/>
              </w:rPr>
            </w:pPr>
            <w:r>
              <w:rPr/>
              <w:t>сосуда СК А</w:t>
            </w:r>
            <w:r>
              <w:rPr>
                <w:lang w:val="en-US"/>
              </w:rPr>
              <w:t>-5</w:t>
            </w:r>
            <w:r>
              <w:rPr/>
              <w:t xml:space="preserve"> (</w:t>
            </w:r>
            <w:r>
              <w:rPr>
                <w:lang w:val="en-US"/>
              </w:rPr>
              <w:t>5</w:t>
            </w:r>
            <w:r>
              <w:rPr/>
              <w:t>В-13)</w:t>
            </w:r>
            <w:r>
              <w:rPr>
                <w:lang w:val="en-US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both"/>
              <w:rPr>
                <w:lang w:val="en-US"/>
              </w:rPr>
            </w:pPr>
            <w:r>
              <w:rPr/>
              <w:t>сосуда СК А</w:t>
            </w:r>
            <w:r>
              <w:rPr>
                <w:lang w:val="en-US"/>
              </w:rPr>
              <w:t>-5</w:t>
            </w:r>
            <w:r>
              <w:rPr/>
              <w:t xml:space="preserve"> (</w:t>
            </w:r>
            <w:r>
              <w:rPr>
                <w:lang w:val="en-US"/>
              </w:rPr>
              <w:t>5</w:t>
            </w:r>
            <w:r>
              <w:rPr/>
              <w:t>В-1</w:t>
            </w:r>
            <w:r>
              <w:rPr>
                <w:lang w:val="en-US"/>
              </w:rPr>
              <w:t>4</w:t>
            </w:r>
            <w:r>
              <w:rPr/>
              <w:t>)</w:t>
            </w:r>
            <w:r>
              <w:rPr>
                <w:lang w:val="en-US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both"/>
              <w:rPr>
                <w:lang w:val="en-US"/>
              </w:rPr>
            </w:pPr>
            <w:r>
              <w:rPr/>
              <w:t>сосуда СК А</w:t>
            </w:r>
            <w:r>
              <w:rPr>
                <w:lang w:val="en-US"/>
              </w:rPr>
              <w:t>-5</w:t>
            </w:r>
            <w:r>
              <w:rPr/>
              <w:t xml:space="preserve"> (</w:t>
            </w:r>
            <w:r>
              <w:rPr>
                <w:lang w:val="en-US"/>
              </w:rPr>
              <w:t>5</w:t>
            </w:r>
            <w:r>
              <w:rPr/>
              <w:t>В-1</w:t>
            </w:r>
            <w:r>
              <w:rPr>
                <w:lang w:val="en-US"/>
              </w:rPr>
              <w:t>5</w:t>
            </w:r>
            <w:r>
              <w:rPr/>
              <w:t>)</w:t>
            </w:r>
            <w:r>
              <w:rPr>
                <w:lang w:val="en-US"/>
              </w:rPr>
              <w:t>.</w:t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03.05.2027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widowControl w:val="false"/>
              <w:numPr>
                <w:ilvl w:val="0"/>
                <w:numId w:val="9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</w:rPr>
            </w:pPr>
            <w:r>
              <w:rPr>
                <w:sz w:val="24"/>
              </w:rPr>
              <w:t>Экспертиза промышленной безопасности: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маслоохладителя 2МО-1;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маслоохладителя 2МО-2.</w:t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05.06.2027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widowControl w:val="false"/>
              <w:numPr>
                <w:ilvl w:val="0"/>
                <w:numId w:val="9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</w:rPr>
            </w:pPr>
            <w:r>
              <w:rPr>
                <w:sz w:val="24"/>
              </w:rPr>
              <w:t>Экспертиза промышленной безопасности: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both"/>
              <w:rPr>
                <w:lang w:val="en-US"/>
              </w:rPr>
            </w:pPr>
            <w:r>
              <w:rPr/>
              <w:t>воздухосборника В-1;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both"/>
              <w:rPr>
                <w:lang w:val="en-US"/>
              </w:rPr>
            </w:pPr>
            <w:r>
              <w:rPr/>
              <w:t>воздухосборника В-4;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both"/>
              <w:rPr>
                <w:lang w:val="en-US"/>
              </w:rPr>
            </w:pPr>
            <w:r>
              <w:rPr/>
              <w:t>воздухосборника В-5.</w:t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20.06.2027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widowControl w:val="false"/>
              <w:numPr>
                <w:ilvl w:val="0"/>
                <w:numId w:val="9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</w:rPr>
            </w:pPr>
            <w:r>
              <w:rPr>
                <w:sz w:val="24"/>
              </w:rPr>
              <w:t>Экспертиза промышленной безопасности: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both"/>
              <w:rPr>
                <w:lang w:val="en-US"/>
              </w:rPr>
            </w:pPr>
            <w:r>
              <w:rPr/>
              <w:t>воздухосборника В-2;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both"/>
              <w:rPr>
                <w:lang w:val="en-US"/>
              </w:rPr>
            </w:pPr>
            <w:r>
              <w:rPr/>
              <w:t>воздухосборника В-3;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both"/>
              <w:rPr>
                <w:lang w:val="en-US"/>
              </w:rPr>
            </w:pPr>
            <w:r>
              <w:rPr/>
              <w:t>воздухосборника В-6.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both"/>
              <w:rPr/>
            </w:pPr>
            <w:r>
              <w:rPr>
                <w:lang w:val="en-US"/>
              </w:rPr>
              <w:t>маслоохладителя 1МО-1;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both"/>
              <w:rPr/>
            </w:pPr>
            <w:r>
              <w:rPr>
                <w:lang w:val="en-US"/>
              </w:rPr>
              <w:t>маслоохладителя 1МО-2;</w:t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23.06.2027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widowControl w:val="false"/>
              <w:numPr>
                <w:ilvl w:val="0"/>
                <w:numId w:val="9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</w:rPr>
            </w:pPr>
            <w:r>
              <w:rPr>
                <w:sz w:val="24"/>
              </w:rPr>
              <w:t>Экспертиза промышленной безопасности: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jc w:val="both"/>
              <w:rPr/>
            </w:pPr>
            <w:r>
              <w:rPr>
                <w:lang w:val="en-US"/>
              </w:rPr>
              <w:t>маслоохладителя 3МО-1;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jc w:val="both"/>
              <w:rPr/>
            </w:pPr>
            <w:r>
              <w:rPr>
                <w:lang w:val="en-US"/>
              </w:rPr>
              <w:t>маслоохладителя 3МО-2;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jc w:val="both"/>
              <w:rPr/>
            </w:pPr>
            <w:r>
              <w:rPr>
                <w:lang w:val="en-US"/>
              </w:rPr>
              <w:t>маслоохладителя 4МО-1;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jc w:val="both"/>
              <w:rPr/>
            </w:pPr>
            <w:r>
              <w:rPr>
                <w:lang w:val="en-US"/>
              </w:rPr>
              <w:t>маслоохладителя 4МО-2.</w:t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14.08.2027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widowControl w:val="false"/>
              <w:numPr>
                <w:ilvl w:val="0"/>
                <w:numId w:val="9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</w:rPr>
            </w:pPr>
            <w:r>
              <w:rPr>
                <w:sz w:val="24"/>
              </w:rPr>
              <w:t>Экспертиза промышленной безопасности: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jc w:val="both"/>
              <w:rPr/>
            </w:pPr>
            <w:r>
              <w:rPr>
                <w:lang w:val="en-US"/>
              </w:rPr>
              <w:t>маслоохладителя 5МО-1;</w:t>
            </w:r>
          </w:p>
          <w:p>
            <w:pPr>
              <w:pStyle w:val="ListParagraph"/>
              <w:widowControl w:val="false"/>
              <w:numPr>
                <w:ilvl w:val="0"/>
                <w:numId w:val="25"/>
              </w:numPr>
              <w:jc w:val="both"/>
              <w:rPr/>
            </w:pPr>
            <w:r>
              <w:rPr>
                <w:lang w:val="en-US"/>
              </w:rPr>
              <w:t>маслоохладителя 5МО-2.</w:t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start="1" w:fmt="decimal"/>
          <w:formProt w:val="false"/>
          <w:titlePg/>
          <w:textDirection w:val="lrTb"/>
          <w:docGrid w:type="default" w:linePitch="381" w:charSpace="0"/>
        </w:sectPr>
        <w:pStyle w:val="Normal"/>
        <w:rPr>
          <w:rFonts w:eastAsia="Calibri"/>
          <w:lang w:val="en-US" w:eastAsia="x-none"/>
        </w:rPr>
      </w:pPr>
      <w:r>
        <w:rPr>
          <w:bCs/>
          <w:sz w:val="24"/>
          <w:szCs w:val="24"/>
        </w:rPr>
        <w:t>Срок оказания услуг: с даты заключения договора по 19.11.2027г</w:t>
      </w:r>
      <w:r>
        <w:rPr>
          <w:bCs/>
          <w:sz w:val="24"/>
          <w:szCs w:val="24"/>
          <w:lang w:val="en-US"/>
        </w:rPr>
        <w:t>.</w:t>
      </w:r>
    </w:p>
    <w:p>
      <w:pPr>
        <w:pStyle w:val="Heading3"/>
        <w:rPr/>
      </w:pPr>
      <w:bookmarkStart w:id="33" w:name="_Toc230786550"/>
      <w:bookmarkStart w:id="34" w:name="_Toc54643468"/>
      <w:bookmarkStart w:id="35" w:name="_Toc50125131"/>
      <w:bookmarkEnd w:id="35"/>
      <w:r>
        <w:rPr/>
        <w:t>Таблица </w:t>
      </w:r>
      <w:r>
        <w:rPr>
          <w:lang w:val="en-US"/>
        </w:rPr>
        <w:t>4</w:t>
      </w:r>
      <w:r>
        <w:rPr/>
        <w:t>. Требования к качеству услуг</w:t>
      </w:r>
      <w:bookmarkEnd w:id="33"/>
      <w:bookmarkEnd w:id="34"/>
      <w:r>
        <w:rPr/>
        <w:t xml:space="preserve"> </w:t>
      </w:r>
    </w:p>
    <w:p>
      <w:pPr>
        <w:pStyle w:val="Normal"/>
        <w:spacing w:before="0" w:after="120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>Наименование услуг:</w:t>
      </w:r>
      <w:r>
        <w:rPr>
          <w:sz w:val="24"/>
          <w:szCs w:val="24"/>
        </w:rPr>
        <w:t xml:space="preserve"> Экспертиза промышленной безопасности и техническое освидетельствование работающего под давлением оборудования Загорской ГАЭС</w:t>
      </w:r>
      <w:r>
        <w:rPr>
          <w:b/>
          <w:bCs/>
          <w:i/>
          <w:iCs/>
          <w:sz w:val="24"/>
          <w:szCs w:val="24"/>
        </w:rPr>
        <w:t>.</w:t>
      </w:r>
    </w:p>
    <w:tbl>
      <w:tblPr>
        <w:tblStyle w:val="affff8"/>
        <w:tblW w:w="1503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91"/>
        <w:gridCol w:w="2995"/>
        <w:gridCol w:w="3957"/>
        <w:gridCol w:w="2477"/>
        <w:gridCol w:w="2780"/>
        <w:gridCol w:w="2133"/>
      </w:tblGrid>
      <w:tr>
        <w:trPr/>
        <w:tc>
          <w:tcPr>
            <w:tcW w:w="69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99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95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25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3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9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9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95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3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9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95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4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13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9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95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  <w:i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695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196" w:hanging="1196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99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  <w:p>
            <w:pPr>
              <w:pStyle w:val="Style28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iCs/>
                <w:lang w:val="ru-RU" w:eastAsia="ru-RU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95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>При оказании услуг исполнитель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ind w:left="0" w:firstLine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iCs/>
                <w:kern w:val="0"/>
                <w:lang w:val="ru-RU" w:eastAsia="ru-RU" w:bidi="ar-SA"/>
              </w:rPr>
              <w:t>Федеральный закон от 21.07.1997 № 116-ФЗ «О промышленной безопасности опасных производственных объектов»;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ind w:left="0" w:firstLine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iCs/>
                <w:kern w:val="0"/>
                <w:lang w:val="ru-RU" w:eastAsia="ru-RU" w:bidi="ar-SA"/>
              </w:rPr>
              <w:t>Федеральные нормы и правила в области промышленной безопасности «Правила промышленной безопасности при использовании оборудования, работающего под избыточным давлением» утверждены Федеральной службы по экологическому, технологическому и атомному надзору от 15.12.2020 г. № 536;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ind w:left="0" w:firstLine="3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iCs/>
                <w:kern w:val="0"/>
                <w:lang w:val="ru-RU" w:eastAsia="ru-RU" w:bidi="ar-SA"/>
              </w:rPr>
              <w:t>Федеральные нормы и правила в области промышленной безопасности «Правила проведения экспертизы промышленной безопасности» утверждены приказом Федеральной службы по экологическому, технологическому и атомному надзору от 20.10.2020 г. № 420;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- «Правила технической эксплуатации электрических станций и сетей РФ» (Приказ Минэнерго России от 04.10.2022 N 1070);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Правила по охране труда при работе с инструментом и приспособлениями (утв. приказом Министерства труда и социальной защиты Российской Федерации России от 27.11.2020 № 835н);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Правила по охране труда при погрузочно-разгрузочных работах и размещении грузов (утверждены приказом Минтруда и социальной защиты РФ от 28.10.2020г. № 753н);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- Правила по охране труда при строительстве, реконструкции и ремонте (Приказ Министерства труда и социальной защиты РФ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от 11 декабря 2020 г. № 883н);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- Правила по охране труда при работе в ограниченных и замкнутых пространствах (Приказ Министерства труда и социальной защиты РФ от 15 декабря 2020 г. № 902н);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- Правила по охране труда при эксплуатации электроустановок (Приказ Министерства труда и социальной защиты РФ от 15 декабря 2020 г. № 903н);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 w:themeColor="text1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ГОСТ Р 72193-2025  "Гидроэлектростанции и гидроаккумулирующие электростанции. Гидротехнические сооружения. Гидросиловое и механическое оборудование. Правила организации безопасного обслуживания"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 w:themeColor="text1"/>
                <w:spacing w:val="0"/>
                <w:kern w:val="0"/>
                <w:sz w:val="24"/>
                <w:szCs w:val="24"/>
                <w:lang w:val="ru-RU" w:eastAsia="ru-RU" w:bidi="ar-SA"/>
              </w:rPr>
              <w:t>(приказ Федерального агентства по техническому регулированию и метрологии от 8 июля 2025 г. № 701-ст).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  <w:lang w:val="en-US"/>
              </w:rPr>
            </w:pPr>
            <w:r>
              <w:rPr>
                <w:rFonts w:cs="Times New Roman"/>
                <w:i/>
                <w:iCs/>
                <w:kern w:val="0"/>
                <w:lang w:val="en-US" w:eastAsia="ru-RU" w:bidi="ar-SA"/>
              </w:rPr>
            </w:r>
          </w:p>
        </w:tc>
        <w:tc>
          <w:tcPr>
            <w:tcW w:w="695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1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99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  <w:p>
            <w:pPr>
              <w:pStyle w:val="Style28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i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i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95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Допуск персонала исполнителя для оказания услуг должен осуществляться в соответствии с регламентом процесса «Допуск персонала подрядных организаций на объекты ПАО «РусГидро» (Приложение 2) с обязательным оформлением необходимых нарядов-допусков.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Подготовку рабочих мест и допуск к оказанию услуг выполняет персонал заказчика.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196" w:hanging="1196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99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Требование к информационной безопасности</w:t>
            </w:r>
          </w:p>
        </w:tc>
        <w:tc>
          <w:tcPr>
            <w:tcW w:w="3957" w:type="dxa"/>
            <w:tcBorders/>
            <w:shd w:color="auto" w:fill="auto" w:val="clear"/>
          </w:tcPr>
          <w:p>
            <w:pPr>
              <w:pStyle w:val="ListParagraph"/>
              <w:widowControl/>
              <w:suppressAutoHyphens w:val="true"/>
              <w:spacing w:before="0" w:after="60"/>
              <w:ind w:left="0" w:hanging="0"/>
              <w:contextualSpacing/>
              <w:jc w:val="both"/>
              <w:rPr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 xml:space="preserve">При пересылке файлов не допускается использование открытых файлообменных сервисов. 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  <w:bookmarkStart w:id="36" w:name="_Ref54012570"/>
            <w:bookmarkStart w:id="37" w:name="_Ref54012570"/>
            <w:bookmarkEnd w:id="37"/>
          </w:p>
        </w:tc>
        <w:tc>
          <w:tcPr>
            <w:tcW w:w="695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инструментам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174" w:hanging="0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174" w:hanging="0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174" w:hanging="0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1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196" w:hanging="1196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99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используемому оборудованию</w:t>
            </w:r>
          </w:p>
          <w:p>
            <w:pPr>
              <w:pStyle w:val="Style28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i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i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95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необходимых технических средств, оборудования и инструментов для проведения ЭПБ и ТО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: толщиномер ультразвуковой, дефектоскоп ультразвуковой, постоянный магнит, твердомер, дальномер, комплект для визуально-измерительного контроля, магнитометр.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6952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1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196" w:hanging="1196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99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Квалификация персонала исполнителя, привлекаемого к оказанию услуг</w:t>
            </w:r>
          </w:p>
          <w:p>
            <w:pPr>
              <w:pStyle w:val="Style28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i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i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95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 начала оказания услуг в рамках исполнения договора после его заключения исполнитель предоставляет список персонала с указанием сведений о квалификации персонала:</w:t>
            </w:r>
            <w:r>
              <w:rPr>
                <w:rFonts w:eastAsia="Arial Unicode MS" w:cs="Times New Roman"/>
                <w:kern w:val="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эксперт единой системы оценки соответствия по экспертизе производственных объектов, где используется оборудование, работающее под давлением, с правом выполнения расчётов остаточного ресурса – не менее 1 ед.;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специалист неразрушающего контроля (аттестованного на визуально-измерительный, акустический, магнитный) – не менее 1 ед., если специалист аттестован на все методы НК, либо не менее двух специалистов 2-го уровня аттестованных на разные методы неразрушающего контроля.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196" w:hanging="1196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99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Аккредитация исполнителя</w:t>
            </w:r>
          </w:p>
        </w:tc>
        <w:tc>
          <w:tcPr>
            <w:tcW w:w="395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наличие лицензии Федеральной службы по экологическому, технологическому и атомному надзору на право осуществления деятельности по проведению экспертизы промышленной безопасности технических устройств, применяемых на опасных производственных объектах.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ab/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Представить копию лицензии на осуществлении деятельности по проведению экспертизы промышленной безопасности технических устройств, применяемых на опасных производственных объектах.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99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  <w:tc>
          <w:tcPr>
            <w:tcW w:w="3957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318" w:leader="none"/>
              </w:tabs>
              <w:suppressAutoHyphens w:val="true"/>
              <w:spacing w:before="0" w:after="0"/>
              <w:ind w:left="33" w:right="-2" w:hanging="0"/>
              <w:contextualSpacing w:val="false"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Персонал подрядной организации, при производстве работ на филиале ПАО «РусГидро» - «Загорская ГАЭС» обязан применять сертифицированную специальную одежду, специальную обувь и другие средства индивидуальной защиты, соответствующие характеру выполняемой работы.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33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 техники безопасности при проведении работ – технические и организационные возможности, комплектность персонала, безопасность производства работ должны соответствовать характеру выполняемых работ.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33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 персонала Исполнителя для оказания услуг осуществляется в соответствии с Правилами по охране труда при эксплуатации электроустановок обязательным оформлением необходимых нарядов-допусков и распоряжений.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ind w:left="3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Подготовку рабочих мест и допуск выполняет персонал Заказчика.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осуществляет согласование со Службой эксплуатации Заказчика мест подключения временных коммуникаций (технические условия на подключения выдаются после получения от Подрядчика официального запроса с указанием потребных ресурсов в количественных и качественных показателях).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695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695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1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196" w:hanging="1196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99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Результат оказания услуг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95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ind w:firstLine="317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 проведении экспертизы промышленной безопасности: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ind w:left="37" w:firstLine="323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заключения экспертизы промышленной безопасности на техническое устройство, применяемое на опасном производственном объекте с оценкой о возможности дальнейшей эксплуатации данного оборудования и сроком следующего обследования (экспертизы), внесенные в реестр территориальным управлением Ростехнадзора.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32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 проведении технического освидетельствования: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bCs/>
                <w:iCs/>
                <w:kern w:val="0"/>
                <w:lang w:val="ru-RU" w:eastAsia="ru-RU" w:bidi="ar-SA"/>
              </w:rPr>
              <w:t>в паспорте каждого сосуда составляется запись о проведенных работах и сроке следующего обследования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>.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695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1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196" w:hanging="1196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99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3957" w:type="dxa"/>
            <w:tcBorders/>
            <w:shd w:color="auto" w:fill="auto" w:val="clear"/>
          </w:tcPr>
          <w:p>
            <w:pPr>
              <w:pStyle w:val="ListParagraph"/>
              <w:widowControl/>
              <w:suppressAutoHyphens w:val="true"/>
              <w:spacing w:before="0" w:after="0"/>
              <w:ind w:left="0" w:firstLine="32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По достижении результата оказания услуг, указанного в п. 2.1.1. настоящих ТТ, Исполнитель в течение 5 рабочих дней передает в Филиал заключения ЭПБ на объекты ЭПБ в письменной форме, которые подписываются руководителем организации, проводившей ЭПБ, и экспертом (экспертами), участвовавшим (участвовавшими) в проведении ЭПБ. К каждому заключению ЭПБ должен быть приложен CD-R(W) диск, содержащий заключение ЭПБ в форме электронного документа (в формате PDF), подписанного квалифицированными электронными подписями (при наличии таковых) руководителя организации, проводившей ЭПБ, и эксперта (экспертов), участвовавшего (участвовавших) в проведении ЭПБ.</w:t>
            </w:r>
          </w:p>
        </w:tc>
        <w:tc>
          <w:tcPr>
            <w:tcW w:w="247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8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sectPr>
          <w:headerReference w:type="even" r:id="rId5"/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tabs>
          <w:tab w:val="clear" w:pos="708"/>
          <w:tab w:val="left" w:pos="676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40"/>
        </w:numPr>
        <w:ind w:left="284" w:hanging="0"/>
        <w:jc w:val="center"/>
        <w:rPr>
          <w:b/>
        </w:rPr>
      </w:pPr>
      <w:bookmarkStart w:id="38" w:name="_Toc230786551"/>
      <w:bookmarkStart w:id="39" w:name="_Toc53393312"/>
      <w:r>
        <w:rPr>
          <w:b/>
        </w:rPr>
        <w:t>Требования к документации по ценообразованию</w:t>
      </w:r>
      <w:bookmarkEnd w:id="39"/>
      <w:r>
        <w:rPr>
          <w:b/>
        </w:rPr>
        <w:t xml:space="preserve"> на этапе закупки</w:t>
      </w:r>
      <w:bookmarkEnd w:id="3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numPr>
          <w:ilvl w:val="1"/>
          <w:numId w:val="8"/>
        </w:numPr>
        <w:spacing w:before="0" w:after="1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0" w:name="_Hlk88325985"/>
      <w:r>
        <w:rPr>
          <w:iCs/>
          <w:sz w:val="24"/>
          <w:szCs w:val="24"/>
        </w:rPr>
        <w:t>(с учетом прилагаемой к ней инструкции по заполнению)</w:t>
      </w:r>
      <w:bookmarkEnd w:id="40"/>
      <w:r>
        <w:rPr>
          <w:iCs/>
          <w:sz w:val="24"/>
          <w:szCs w:val="24"/>
        </w:rPr>
        <w:t>, приведенной в Документации о закупке.</w:t>
      </w:r>
    </w:p>
    <w:p>
      <w:pPr>
        <w:pStyle w:val="Normal"/>
        <w:numPr>
          <w:ilvl w:val="1"/>
          <w:numId w:val="8"/>
        </w:numPr>
        <w:spacing w:before="0" w:after="120"/>
        <w:jc w:val="both"/>
        <w:rPr>
          <w:iCs/>
          <w:sz w:val="24"/>
          <w:szCs w:val="24"/>
        </w:rPr>
      </w:pPr>
      <w:bookmarkStart w:id="41" w:name="_Hlk88327292"/>
      <w:r>
        <w:rPr>
          <w:iCs/>
          <w:sz w:val="24"/>
          <w:szCs w:val="24"/>
        </w:rPr>
        <w:t>Дополнительные документы по ценообразованию</w:t>
      </w:r>
      <w:bookmarkEnd w:id="41"/>
      <w:r>
        <w:rPr>
          <w:iCs/>
          <w:sz w:val="24"/>
          <w:szCs w:val="24"/>
        </w:rPr>
        <w:t xml:space="preserve"> в состав заявки не включаются.</w:t>
      </w:r>
    </w:p>
    <w:p>
      <w:pPr>
        <w:pStyle w:val="Normal"/>
        <w:spacing w:before="0" w:after="120"/>
        <w:ind w:left="1140" w:hanging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Heading1"/>
        <w:numPr>
          <w:ilvl w:val="0"/>
          <w:numId w:val="41"/>
        </w:numPr>
        <w:spacing w:before="120" w:after="120"/>
        <w:ind w:left="1140" w:hanging="0"/>
        <w:jc w:val="both"/>
        <w:rPr>
          <w:b/>
          <w:lang w:val="ru-RU"/>
        </w:rPr>
      </w:pPr>
      <w:bookmarkStart w:id="42" w:name="_Toc230786552"/>
      <w:r>
        <w:rPr>
          <w:b/>
        </w:rPr>
        <w:t>Т</w:t>
      </w:r>
      <w:r>
        <w:rPr>
          <w:b/>
          <w:bCs/>
          <w:lang w:val="ru-RU"/>
        </w:rPr>
        <w:t>ребования к документации по ценообразованию на этапе заключения (исполнения) договора</w:t>
      </w:r>
      <w:bookmarkEnd w:id="42"/>
    </w:p>
    <w:p>
      <w:pPr>
        <w:pStyle w:val="ListParagraph"/>
        <w:numPr>
          <w:ilvl w:val="0"/>
          <w:numId w:val="8"/>
        </w:numPr>
        <w:spacing w:before="0" w:after="120"/>
        <w:contextualSpacing w:val="false"/>
        <w:jc w:val="both"/>
        <w:rPr>
          <w:rFonts w:eastAsia="Times New Roman"/>
          <w:iCs/>
          <w:vanish/>
        </w:rPr>
      </w:pPr>
      <w:r>
        <w:rPr>
          <w:rFonts w:eastAsia="Times New Roman"/>
          <w:iCs/>
          <w:vanish/>
        </w:rPr>
      </w:r>
    </w:p>
    <w:p>
      <w:pPr>
        <w:pStyle w:val="Normal"/>
        <w:numPr>
          <w:ilvl w:val="1"/>
          <w:numId w:val="8"/>
        </w:numPr>
        <w:spacing w:before="0" w:after="1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Сметная документация разрабатывается на этапе исполнения Договора в соответствии с требованиями, указанными в приложении №1 к Техническим требованиям.</w:t>
      </w:r>
    </w:p>
    <w:p>
      <w:pPr>
        <w:pStyle w:val="Normal"/>
        <w:numPr>
          <w:ilvl w:val="1"/>
          <w:numId w:val="8"/>
        </w:numPr>
        <w:spacing w:before="0" w:after="1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Если стоимость, будет выше предельной стоимости, установленной КП победителя, то к предельной стоимости НИР применяется понижающий коэффициент (показатель ПК должен содержать не более семи знаков после запятой).</w:t>
      </w:r>
    </w:p>
    <w:p>
      <w:pPr>
        <w:pStyle w:val="Normal"/>
        <w:numPr>
          <w:ilvl w:val="1"/>
          <w:numId w:val="8"/>
        </w:numPr>
        <w:spacing w:before="0" w:after="1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случае если стоимость, будет ниже стоимости, указанной в Коммерческом предложении, взаиморасчеты будут осуществляться по данной смете без увеличения стоимости, указанной в коммерческом предложении.</w:t>
      </w:r>
    </w:p>
    <w:p>
      <w:pPr>
        <w:pStyle w:val="Heading1"/>
        <w:numPr>
          <w:ilvl w:val="0"/>
          <w:numId w:val="0"/>
        </w:numPr>
        <w:spacing w:before="120" w:after="120"/>
        <w:ind w:left="1140" w:hanging="0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</w:r>
    </w:p>
    <w:p>
      <w:pPr>
        <w:pStyle w:val="Heading1"/>
        <w:numPr>
          <w:ilvl w:val="0"/>
          <w:numId w:val="42"/>
        </w:numPr>
        <w:rPr>
          <w:b/>
        </w:rPr>
      </w:pPr>
      <w:bookmarkStart w:id="43" w:name="_Toc230786553"/>
      <w:r>
        <w:rPr>
          <w:b/>
          <w:lang w:val="en-US"/>
        </w:rPr>
        <w:t>Приложения</w:t>
      </w:r>
      <w:bookmarkEnd w:id="43"/>
    </w:p>
    <w:p>
      <w:pPr>
        <w:pStyle w:val="Normal"/>
        <w:jc w:val="both"/>
        <w:rPr>
          <w:lang w:eastAsia="x-none"/>
        </w:rPr>
      </w:pPr>
      <w:r>
        <w:rPr>
          <w:lang w:eastAsia="x-none"/>
        </w:rPr>
        <w:t>Приложение № 1: Требования к оформлению и составлению документации по ценообразованию;</w:t>
      </w:r>
    </w:p>
    <w:p>
      <w:pPr>
        <w:pStyle w:val="Normal"/>
        <w:jc w:val="both"/>
        <w:rPr>
          <w:lang w:eastAsia="x-none"/>
        </w:rPr>
      </w:pPr>
      <w:r>
        <w:rPr>
          <w:lang w:eastAsia="x-none"/>
        </w:rPr>
        <w:t>Приложение № 2: Методика допуска персонала подрядных организаций к выполнению работ на объектах Общества;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BodyText"/>
        <w:spacing w:before="0" w:after="0"/>
        <w:ind w:left="426" w:firstLine="425"/>
        <w:rPr>
          <w:b/>
        </w:rPr>
      </w:pPr>
      <w:r>
        <w:rPr>
          <w:b/>
        </w:rPr>
      </w:r>
    </w:p>
    <w:p>
      <w:pPr>
        <w:pStyle w:val="BodyText"/>
        <w:spacing w:before="0" w:after="0"/>
        <w:ind w:left="426" w:firstLine="425"/>
        <w:rPr>
          <w:b/>
        </w:rPr>
      </w:pPr>
      <w:r>
        <w:rPr>
          <w:b/>
        </w:rPr>
      </w:r>
    </w:p>
    <w:p>
      <w:pPr>
        <w:pStyle w:val="BodyText"/>
        <w:spacing w:before="0" w:after="0"/>
        <w:ind w:left="426" w:firstLine="425"/>
        <w:rPr>
          <w:b/>
        </w:rPr>
      </w:pPr>
      <w:r>
        <w:rPr>
          <w:b/>
        </w:rPr>
      </w:r>
    </w:p>
    <w:p>
      <w:pPr>
        <w:pStyle w:val="BodyText"/>
        <w:spacing w:before="0" w:after="0"/>
        <w:ind w:left="426" w:firstLine="425"/>
        <w:rPr>
          <w:b/>
        </w:rPr>
      </w:pPr>
      <w:r>
        <w:rPr>
          <w:b/>
        </w:rPr>
      </w:r>
    </w:p>
    <w:p>
      <w:pPr>
        <w:pStyle w:val="BodyText"/>
        <w:spacing w:before="0" w:after="0"/>
        <w:ind w:left="426" w:firstLine="425"/>
        <w:rPr>
          <w:b/>
        </w:rPr>
      </w:pPr>
      <w:r>
        <w:rPr>
          <w:b/>
        </w:rPr>
      </w:r>
    </w:p>
    <w:p>
      <w:pPr>
        <w:pStyle w:val="BodyText"/>
        <w:spacing w:before="0" w:after="0"/>
        <w:ind w:left="426" w:firstLine="425"/>
        <w:rPr>
          <w:b/>
        </w:rPr>
      </w:pPr>
      <w:r>
        <w:rPr>
          <w:b/>
        </w:rPr>
      </w:r>
    </w:p>
    <w:p>
      <w:pPr>
        <w:pStyle w:val="BodyText"/>
        <w:spacing w:before="0" w:after="0"/>
        <w:ind w:left="426" w:firstLine="425"/>
        <w:rPr>
          <w:b/>
        </w:rPr>
      </w:pPr>
      <w:r>
        <w:rPr>
          <w:b/>
        </w:rPr>
      </w:r>
    </w:p>
    <w:p>
      <w:pPr>
        <w:pStyle w:val="BodyText"/>
        <w:spacing w:before="0" w:after="0"/>
        <w:ind w:left="426" w:firstLine="425"/>
        <w:rPr>
          <w:b/>
        </w:rPr>
      </w:pPr>
      <w:r>
        <w:rPr>
          <w:b/>
        </w:rPr>
      </w:r>
    </w:p>
    <w:p>
      <w:pPr>
        <w:pStyle w:val="BodyText"/>
        <w:spacing w:before="0" w:after="0"/>
        <w:ind w:left="426" w:firstLine="425"/>
        <w:rPr>
          <w:b/>
        </w:rPr>
      </w:pPr>
      <w:r>
        <w:rPr>
          <w:b/>
        </w:rPr>
      </w:r>
    </w:p>
    <w:p>
      <w:pPr>
        <w:pStyle w:val="BodyText"/>
        <w:spacing w:before="0" w:after="0"/>
        <w:ind w:left="426" w:firstLine="425"/>
        <w:rPr>
          <w:b/>
        </w:rPr>
      </w:pPr>
      <w:r>
        <w:rPr>
          <w:b/>
        </w:rPr>
      </w:r>
    </w:p>
    <w:p>
      <w:pPr>
        <w:pStyle w:val="Normal"/>
        <w:rPr>
          <w:iCs/>
        </w:rPr>
      </w:pPr>
      <w:r>
        <w:rPr>
          <w:iCs/>
        </w:rPr>
      </w:r>
      <w:bookmarkStart w:id="44" w:name="_Toc46743519"/>
      <w:bookmarkStart w:id="45" w:name="_Toc51339699"/>
      <w:bookmarkStart w:id="46" w:name="_Toc46743519"/>
      <w:bookmarkStart w:id="47" w:name="_Toc51339699"/>
      <w:bookmarkEnd w:id="46"/>
      <w:bookmarkEnd w:id="47"/>
    </w:p>
    <w:p>
      <w:pPr>
        <w:pStyle w:val="Normal"/>
        <w:rPr/>
      </w:pPr>
      <w:r>
        <w:rPr/>
      </w:r>
    </w:p>
    <w:sectPr>
      <w:headerReference w:type="even" r:id="rId8"/>
      <w:headerReference w:type="default" r:id="rId9"/>
      <w:headerReference w:type="first" r:id="rId10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2311974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22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shadow w:val="false"/>
        <w:u w:val="none"/>
        <w:b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shadow w:val="false"/>
        <w:u w:val="none"/>
        <w:b w:val="false"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885" w:hanging="52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 w:val="false"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 w:val="false"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 w:val="false"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 w:val="false"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 w:val="false"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 w:val="false"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 w:val="false"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 w:val="false"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 w:val="false"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 w:val="false"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shadow w:val="false"/>
        <w:u w:val="none"/>
        <w:b w:val="false"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:lang w:val="x-none" w:eastAsia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4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13"/>
    <w:lvlOverride w:ilvl="0">
      <w:startOverride w:val="1"/>
    </w:lvlOverride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13"/>
  </w:num>
  <w:num w:numId="35">
    <w:abstractNumId w:val="13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  <w:numId w:val="3"/>
      </w:numPr>
      <w:outlineLvl w:val="0"/>
    </w:pPr>
    <w:rPr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1330c"/>
    <w:pPr>
      <w:keepNext w:val="true"/>
      <w:spacing w:before="120" w:after="60"/>
      <w:ind w:left="1276" w:hanging="0"/>
      <w:outlineLvl w:val="2"/>
    </w:pPr>
    <w:rPr>
      <w:rFonts w:eastAsia="Calibri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1330c"/>
    <w:rPr>
      <w:rFonts w:eastAsia="Calibri"/>
      <w:sz w:val="28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Cs/>
      <w:sz w:val="28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A11yhidden" w:customStyle="1">
    <w:name w:val="a11yhidden"/>
    <w:basedOn w:val="DefaultParagraphFont"/>
    <w:qFormat/>
    <w:rsid w:val="00f32fda"/>
    <w:rPr/>
  </w:style>
  <w:style w:type="character" w:styleId="Organictitlecontentspan" w:customStyle="1">
    <w:name w:val="organictitlecontentspan"/>
    <w:basedOn w:val="DefaultParagraphFont"/>
    <w:qFormat/>
    <w:rsid w:val="00f32fda"/>
    <w:rPr/>
  </w:style>
  <w:style w:type="character" w:styleId="Style14" w:customStyle="1">
    <w:name w:val="Заголовок Знак"/>
    <w:basedOn w:val="DefaultParagraphFont"/>
    <w:qFormat/>
    <w:rsid w:val="00e5781f"/>
    <w:rPr>
      <w:sz w:val="28"/>
    </w:rPr>
  </w:style>
  <w:style w:type="character" w:styleId="Style15" w:customStyle="1">
    <w:name w:val="Ссылка указателя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14"/>
    <w:qFormat/>
    <w:rsid w:val="00e5781f"/>
    <w:pPr>
      <w:jc w:val="center"/>
    </w:pPr>
    <w:rPr>
      <w:szCs w:val="20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3c4d11"/>
    <w:pPr>
      <w:tabs>
        <w:tab w:val="clear" w:pos="708"/>
        <w:tab w:val="right" w:pos="9911" w:leader="dot"/>
      </w:tabs>
      <w:spacing w:before="120" w:after="0"/>
    </w:pPr>
    <w:rPr>
      <w:rFonts w:eastAsia="Calibri" w:cs="Calibri Light (Заголовки)"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10f8c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Headertext" w:customStyle="1">
    <w:name w:val="headertext"/>
    <w:basedOn w:val="Normal"/>
    <w:qFormat/>
    <w:rsid w:val="002a79f6"/>
    <w:pPr>
      <w:spacing w:beforeAutospacing="1" w:afterAutospacing="1"/>
    </w:pPr>
    <w:rPr>
      <w:sz w:val="24"/>
      <w:szCs w:val="24"/>
    </w:rPr>
  </w:style>
  <w:style w:type="paragraph" w:styleId="110" w:customStyle="1">
    <w:name w:val="Верхний колонтитул1"/>
    <w:basedOn w:val="Normal"/>
    <w:qFormat/>
    <w:rsid w:val="0090730b"/>
    <w:pPr>
      <w:spacing w:beforeAutospacing="1" w:afterAutospacing="1"/>
    </w:pPr>
    <w:rPr>
      <w:sz w:val="24"/>
      <w:szCs w:val="24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148A4-4C49-4652-9670-4ADD57812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Application>AlterOffice/3.4.0.9$Linux_X86_64 LibreOffice_project/b8daf9e823b1a5463a2f48435ddc2e8696e7d4fc</Application>
  <AppVersion>15.0000</AppVersion>
  <Pages>23</Pages>
  <Words>4357</Words>
  <Characters>31874</Characters>
  <CharactersWithSpaces>35580</CharactersWithSpaces>
  <Paragraphs>637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2026-05-22T13:56:00Z</dcterms:created>
  <dc:creator>Быстров Олег Геннадьевич</dc:creator>
  <dc:description/>
  <dc:language>ru-RU</dc:language>
  <cp:lastModifiedBy>Александр Алексеевич Зайцев</cp:lastModifiedBy>
  <cp:lastPrinted>2006-07-26T14:04:00Z</cp:lastPrinted>
  <dcterms:modified xsi:type="dcterms:W3CDTF">2026-06-04T16:28:49Z</dcterms:modified>
  <cp:revision>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