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0" w:after="40"/>
        <w:jc w:val="right"/>
        <w:rPr>
          <w:sz w:val="26"/>
          <w:szCs w:val="26"/>
        </w:rPr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  <w:t>ОКПД 2: 28.99.39.190 Поставка шиномонтажного оборудования для нужд Камчатского филиала АО "ТК РусГидро"</w:t>
      </w:r>
    </w:p>
    <w:p>
      <w:pPr>
        <w:pStyle w:val="Normal"/>
        <w:keepNext w:val="true"/>
        <w:keepLines/>
        <w:jc w:val="center"/>
        <w:rPr>
          <w:rFonts w:eastAsia="Calibri"/>
          <w:i/>
          <w:i/>
        </w:rPr>
      </w:pPr>
      <w:r>
        <w:rPr>
          <w:rFonts w:eastAsia="Calibri"/>
        </w:rPr>
        <w:t>Лот № 1038-ТПИР ОНМ-2026-ТК-КФ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caps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caps/>
              <w:rFonts w:eastAsia="Calibri"/>
            </w:rPr>
            <w:fldChar w:fldCharType="separate"/>
          </w:r>
          <w:hyperlink w:anchor="_Toc229490649">
            <w:r>
              <w:rPr>
                <w:webHidden/>
                <w:rStyle w:val="Style14"/>
                <w:rFonts w:eastAsia="Calibri"/>
                <w:caps/>
              </w:rPr>
              <w:t>1.</w:t>
            </w:r>
            <w:r>
              <w:rPr>
                <w:rStyle w:val="Style14"/>
                <w:rFonts w:eastAsia="Calibri"/>
              </w:rPr>
              <w:t xml:space="preserve"> 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50">
            <w:r>
              <w:rPr>
                <w:webHidden/>
                <w:rStyle w:val="Style14"/>
                <w:rFonts w:eastAsia="Calibri"/>
                <w:iCs/>
              </w:rPr>
              <w:t>1.1.</w:t>
            </w:r>
            <w:r>
              <w:rPr>
                <w:rStyle w:val="Style14"/>
                <w:rFonts w:eastAsia="Calibri"/>
              </w:rPr>
              <w:t xml:space="preserve">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51">
            <w:r>
              <w:rPr>
                <w:webHidden/>
                <w:rStyle w:val="Style14"/>
                <w:rFonts w:eastAsia="Calibri"/>
                <w:iCs/>
              </w:rPr>
              <w:t>1.2.</w:t>
            </w:r>
            <w:r>
              <w:rPr>
                <w:rStyle w:val="Style14"/>
                <w:rFonts w:eastAsia="Calibri"/>
              </w:rPr>
              <w:t xml:space="preserve">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52">
            <w:r>
              <w:rPr>
                <w:webHidden/>
                <w:rStyle w:val="Style14"/>
                <w:rFonts w:eastAsia="Calibri"/>
                <w:iCs/>
              </w:rPr>
              <w:t>1.3.</w:t>
            </w:r>
            <w:r>
              <w:rPr>
                <w:rStyle w:val="Style14"/>
                <w:rFonts w:eastAsia="Calibri"/>
              </w:rPr>
              <w:t xml:space="preserve"> 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54">
            <w:r>
              <w:rPr>
                <w:webHidden/>
                <w:rStyle w:val="Style14"/>
                <w:rFonts w:eastAsia="Calibri"/>
                <w:iCs/>
              </w:rPr>
              <w:t>1.4.</w:t>
            </w:r>
            <w:r>
              <w:rPr>
                <w:rStyle w:val="Style14"/>
                <w:rFonts w:eastAsia="Calibri"/>
              </w:rPr>
              <w:t xml:space="preserve">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9490655">
            <w:r>
              <w:rPr>
                <w:webHidden/>
                <w:rStyle w:val="Style14"/>
                <w:rFonts w:eastAsia="Calibri"/>
                <w:caps/>
              </w:rPr>
              <w:t>2.</w:t>
            </w:r>
            <w:r>
              <w:rPr>
                <w:rStyle w:val="Style14"/>
                <w:rFonts w:eastAsia="Calibri"/>
              </w:rPr>
              <w:t xml:space="preserve">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56">
            <w:r>
              <w:rPr>
                <w:webHidden/>
                <w:rStyle w:val="Style14"/>
                <w:rFonts w:eastAsia="Calibri"/>
              </w:rPr>
              <w:t>2.1 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57">
            <w:r>
              <w:rPr>
                <w:webHidden/>
                <w:rStyle w:val="Style14"/>
                <w:rFonts w:eastAsia="Calibri"/>
              </w:rPr>
              <w:t>2.1.1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9490658">
            <w:r>
              <w:rPr>
                <w:webHidden/>
                <w:rStyle w:val="Style14"/>
                <w:rFonts w:eastAsia="Calibri"/>
              </w:rPr>
              <w:t>Таблица 1.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59">
            <w:r>
              <w:rPr>
                <w:webHidden/>
                <w:rStyle w:val="Style14"/>
                <w:rFonts w:eastAsia="Calibri"/>
              </w:rPr>
              <w:t>2.1.2 Требования к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9490660">
            <w:r>
              <w:rPr>
                <w:webHidden/>
                <w:rStyle w:val="Style14"/>
                <w:rFonts w:eastAsia="Calibri"/>
              </w:rPr>
              <w:t>Таблица 2.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61">
            <w:r>
              <w:rPr>
                <w:webHidden/>
                <w:rStyle w:val="Style14"/>
                <w:rFonts w:eastAsia="Calibri"/>
              </w:rPr>
              <w:t>2.2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9490662">
            <w:r>
              <w:rPr>
                <w:webHidden/>
                <w:rStyle w:val="Style14"/>
                <w:rFonts w:eastAsia="Calibri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456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9490664">
            <w:r>
              <w:rPr>
                <w:webHidden/>
                <w:rStyle w:val="Style14"/>
                <w:rFonts w:eastAsia="Calibri"/>
              </w:rPr>
              <w:t>3. 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_Toc229490664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10456" w:leader="dot"/>
        </w:tabs>
        <w:rPr/>
      </w:pPr>
      <w:r>
        <w:rPr/>
      </w:r>
    </w:p>
    <w:p>
      <w:pPr>
        <w:pStyle w:val="TOC1"/>
        <w:tabs>
          <w:tab w:val="clear" w:pos="708"/>
          <w:tab w:val="right" w:pos="10456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ascii="Calibri" w:hAnsi="Calibri" w:asciiTheme="minorHAnsi" w:cstheme="minorBidi" w:eastAsiaTheme="minorEastAsia" w:hAnsiTheme="minorHAnsi"/>
          <w:b w:val="false"/>
          <w:bCs w:val="false"/>
          <w:sz w:val="22"/>
          <w:szCs w:val="22"/>
        </w:rPr>
        <w:t>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8"/>
        </w:numPr>
        <w:rPr>
          <w:caps/>
        </w:rPr>
      </w:pPr>
      <w:bookmarkStart w:id="0" w:name="_Toc229490649"/>
      <w:bookmarkStart w:id="1" w:name="_Toc51339692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7"/>
        </w:numPr>
        <w:rPr>
          <w:rStyle w:val="Style8"/>
          <w:b/>
          <w:i w:val="false"/>
          <w:i w:val="false"/>
          <w:shd w:fill="auto" w:val="clear"/>
        </w:rPr>
      </w:pPr>
      <w:bookmarkStart w:id="2" w:name="_Toc229490650"/>
      <w:bookmarkStart w:id="3" w:name="_Toc46743505"/>
      <w:r>
        <w:rPr/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i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i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Продукция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Шиномонтажное оборудование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i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Универсальный передаточный документ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7"/>
        </w:numPr>
        <w:rPr/>
      </w:pPr>
      <w:bookmarkStart w:id="4" w:name="_Toc229490651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Cs/>
          <w:sz w:val="24"/>
          <w:szCs w:val="24"/>
        </w:rPr>
        <w:t>ОКПД 2: 28.99.39.190 Поставка шиномонтажного оборудования для нужд Камчатского филиала АО "ТК РусГидро"</w:t>
      </w:r>
      <w:r>
        <w:rPr>
          <w:sz w:val="24"/>
          <w:szCs w:val="24"/>
        </w:rPr>
        <w:t>.</w:t>
      </w:r>
    </w:p>
    <w:p>
      <w:pPr>
        <w:pStyle w:val="Heading4"/>
        <w:numPr>
          <w:ilvl w:val="1"/>
          <w:numId w:val="7"/>
        </w:numPr>
        <w:rPr/>
      </w:pPr>
      <w:bookmarkStart w:id="6" w:name="_Toc229490652"/>
      <w:bookmarkStart w:id="7" w:name="_Toc46743507"/>
      <w:r>
        <w:rPr/>
        <w:t xml:space="preserve">Цель </w:t>
      </w:r>
      <w:bookmarkEnd w:id="7"/>
      <w:r>
        <w:rPr/>
        <w:t>использования закупаемой продукции</w:t>
      </w:r>
      <w:bookmarkEnd w:id="6"/>
    </w:p>
    <w:p>
      <w:pPr>
        <w:pStyle w:val="Heading4"/>
        <w:numPr>
          <w:ilvl w:val="0"/>
        </w:numPr>
        <w:ind w:left="0" w:hanging="0"/>
        <w:rPr>
          <w:rFonts w:eastAsia="Times New Roman"/>
          <w:b w:val="false"/>
        </w:rPr>
      </w:pPr>
      <w:r>
        <w:rPr>
          <w:rFonts w:eastAsia="Times New Roman"/>
        </w:rPr>
        <w:t xml:space="preserve">       </w:t>
      </w:r>
      <w:bookmarkStart w:id="8" w:name="_Toc229490653"/>
      <w:bookmarkStart w:id="9" w:name="_Toc143693870"/>
      <w:bookmarkStart w:id="10" w:name="_Toc141715123"/>
      <w:r>
        <w:rPr>
          <w:b w:val="false"/>
        </w:rPr>
        <w:t>Обеспечение проведения текущего ремонта и технического обслуживания с использованием моторных масел, смазочных материалов и жидкостей специального назначения для</w:t>
      </w:r>
      <w:r>
        <w:rPr>
          <w:rFonts w:eastAsia="Times New Roman"/>
          <w:b w:val="false"/>
        </w:rPr>
        <w:t xml:space="preserve"> транспортных средств Камчатского филиала АО «ТК РусГидро, используемыми при проведении технического обслуживания и текущего ремонта.</w:t>
      </w:r>
      <w:bookmarkEnd w:id="8"/>
      <w:bookmarkEnd w:id="9"/>
      <w:bookmarkEnd w:id="10"/>
    </w:p>
    <w:p>
      <w:pPr>
        <w:pStyle w:val="Heading1"/>
        <w:numPr>
          <w:ilvl w:val="0"/>
          <w:numId w:val="8"/>
        </w:numPr>
        <w:rPr>
          <w:caps/>
          <w:lang w:val="ru-RU"/>
        </w:rPr>
      </w:pPr>
      <w:bookmarkStart w:id="11" w:name="_Toc229490655"/>
      <w:bookmarkStart w:id="12" w:name="_Toc51339693"/>
      <w:r>
        <w:rPr/>
        <w:t>Требования к продукции</w:t>
      </w:r>
      <w:bookmarkEnd w:id="11"/>
      <w:bookmarkEnd w:id="12"/>
    </w:p>
    <w:p>
      <w:pPr>
        <w:pStyle w:val="Heading4"/>
        <w:numPr>
          <w:ilvl w:val="1"/>
          <w:numId w:val="10"/>
        </w:numPr>
        <w:rPr/>
      </w:pPr>
      <w:bookmarkStart w:id="13" w:name="_Toc229490656"/>
      <w:r>
        <w:rPr/>
        <w:t>Требования к объемам</w:t>
      </w:r>
      <w:r>
        <w:rPr>
          <w:lang w:val="ru-RU"/>
        </w:rPr>
        <w:t xml:space="preserve"> и срокам</w:t>
      </w:r>
      <w:r>
        <w:rPr/>
        <w:t xml:space="preserve">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9"/>
        </w:numPr>
        <w:rPr/>
      </w:pPr>
      <w:bookmarkStart w:id="14" w:name="_Toc229490657"/>
      <w:r>
        <w:rPr/>
        <w:t>Перечень и объем закупаемой продукции</w:t>
      </w:r>
      <w:bookmarkEnd w:id="14"/>
    </w:p>
    <w:p>
      <w:pPr>
        <w:pStyle w:val="Heading1"/>
        <w:numPr>
          <w:ilvl w:val="0"/>
        </w:numPr>
        <w:ind w:left="0" w:hanging="0"/>
        <w:rPr/>
      </w:pPr>
      <w:bookmarkStart w:id="15" w:name="_Toc229490658"/>
      <w:bookmarkStart w:id="16" w:name="_Toc51339695"/>
      <w:r>
        <w:rPr/>
        <w:t xml:space="preserve">Таблица 1. Перечень </w:t>
      </w:r>
      <w:bookmarkEnd w:id="16"/>
      <w:r>
        <w:rPr/>
        <w:t>и объем закупаемой продукции</w:t>
      </w:r>
      <w:bookmarkEnd w:id="15"/>
    </w:p>
    <w:tbl>
      <w:tblPr>
        <w:tblW w:w="10206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1"/>
        <w:gridCol w:w="6799"/>
        <w:gridCol w:w="1419"/>
        <w:gridCol w:w="1416"/>
      </w:tblGrid>
      <w:tr>
        <w:trPr>
          <w:trHeight w:val="1275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618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Автоматический шиномонтажный станок КС-403А Про 380В или эквивалент*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15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Автоматический шиномонтажный станок ГШС-515В или эквивалент*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09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Балансировочный станок SPUTNIK LUXE СБМК-60 Л или эквивалент*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558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Балансировочный станок TRUCKER STANDARD СБМП-200 Ст или эквивалент*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*Участник может предложить эквиваленты иных производителей, с характеристиками не ниже заявленных Покупателем.</w:t>
      </w:r>
    </w:p>
    <w:p>
      <w:pPr>
        <w:pStyle w:val="Heading3"/>
        <w:numPr>
          <w:ilvl w:val="2"/>
          <w:numId w:val="9"/>
        </w:numPr>
        <w:rPr/>
      </w:pPr>
      <w:bookmarkStart w:id="17" w:name="_Toc229490659"/>
      <w:bookmarkStart w:id="18" w:name="_Toc51339696"/>
      <w:r>
        <w:rPr/>
        <w:t xml:space="preserve">Требования </w:t>
      </w:r>
      <w:bookmarkEnd w:id="18"/>
      <w:r>
        <w:rPr/>
        <w:t>к срокам поставки продукции</w:t>
      </w:r>
      <w:bookmarkEnd w:id="17"/>
    </w:p>
    <w:p>
      <w:pPr>
        <w:pStyle w:val="Heading1"/>
        <w:numPr>
          <w:ilvl w:val="0"/>
        </w:numPr>
        <w:ind w:left="0" w:hanging="0"/>
        <w:rPr>
          <w:lang w:val="ru-RU"/>
        </w:rPr>
      </w:pPr>
      <w:bookmarkStart w:id="19" w:name="_Toc229490660"/>
      <w:bookmarkStart w:id="20" w:name="_Toc51339697"/>
      <w:bookmarkStart w:id="21" w:name="_Toc50125127"/>
      <w:bookmarkStart w:id="22" w:name="_Toc50125126"/>
      <w:bookmarkEnd w:id="22"/>
      <w:r>
        <w:rPr/>
        <w:t xml:space="preserve">Таблица </w:t>
      </w:r>
      <w:r>
        <w:rPr>
          <w:lang w:val="ru-RU"/>
        </w:rPr>
        <w:t>2</w:t>
      </w:r>
      <w:r>
        <w:rPr/>
        <w:t xml:space="preserve">. </w:t>
      </w:r>
      <w:bookmarkStart w:id="23" w:name="_Hlk50465284"/>
      <w:r>
        <w:rPr/>
        <w:t xml:space="preserve">Требования по срокам </w:t>
      </w:r>
      <w:bookmarkEnd w:id="20"/>
      <w:bookmarkEnd w:id="21"/>
      <w:bookmarkEnd w:id="23"/>
      <w:r>
        <w:rPr>
          <w:lang w:val="ru-RU"/>
        </w:rPr>
        <w:t>поставки продукции</w:t>
      </w:r>
      <w:bookmarkEnd w:id="19"/>
      <w:r>
        <w:rPr>
          <w:lang w:val="ru-RU"/>
        </w:rPr>
        <w:t xml:space="preserve"> </w:t>
      </w:r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1"/>
        <w:gridCol w:w="3116"/>
        <w:gridCol w:w="2980"/>
        <w:gridCol w:w="2973"/>
      </w:tblGrid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ОКПД 2: 28.99.39.190 Поставка шиномонтажного оборудования для нужд Камчатского филиала АО "ТК РусГидро"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подписания сторонами договора.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«31» декабря 2026 года</w:t>
            </w:r>
          </w:p>
        </w:tc>
      </w:tr>
    </w:tbl>
    <w:p>
      <w:pPr>
        <w:pStyle w:val="Heading1"/>
        <w:numPr>
          <w:ilvl w:val="0"/>
        </w:numPr>
        <w:ind w:left="0" w:hanging="0"/>
        <w:rPr/>
      </w:pPr>
      <w:r>
        <w:rPr/>
      </w:r>
      <w:bookmarkStart w:id="24" w:name="_Toc46743510"/>
      <w:bookmarkStart w:id="25" w:name="_Toc46743510"/>
      <w:bookmarkEnd w:id="25"/>
    </w:p>
    <w:p>
      <w:pPr>
        <w:pStyle w:val="Heading4"/>
        <w:numPr>
          <w:ilvl w:val="1"/>
          <w:numId w:val="10"/>
        </w:numPr>
        <w:rPr/>
      </w:pPr>
      <w:bookmarkStart w:id="26" w:name="_Toc51339698"/>
      <w:bookmarkStart w:id="27" w:name="_Toc229490661"/>
      <w:bookmarkStart w:id="28" w:name="_Toc46743511"/>
      <w:r>
        <w:rPr/>
        <w:t xml:space="preserve">Требования к </w:t>
      </w:r>
      <w:bookmarkEnd w:id="28"/>
      <w:r>
        <w:rPr/>
        <w:t>качеству продукции</w:t>
      </w:r>
      <w:bookmarkEnd w:id="27"/>
    </w:p>
    <w:p>
      <w:pPr>
        <w:pStyle w:val="Heading1"/>
        <w:numPr>
          <w:ilvl w:val="0"/>
        </w:numPr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/>
        <w:t xml:space="preserve"> </w:t>
      </w:r>
      <w:bookmarkStart w:id="29" w:name="_Toc229490662"/>
      <w:r>
        <w:rPr/>
        <w:t>Таблица </w:t>
      </w:r>
      <w:r>
        <w:rPr>
          <w:lang w:val="ru-RU"/>
        </w:rPr>
        <w:t>3</w:t>
      </w:r>
      <w:r>
        <w:rPr/>
        <w:t xml:space="preserve">. Требования к </w:t>
      </w:r>
      <w:r>
        <w:rPr>
          <w:lang w:val="ru-RU"/>
        </w:rPr>
        <w:t>качеству продукции</w:t>
      </w:r>
      <w:bookmarkEnd w:id="29"/>
      <w:r>
        <w:rPr/>
        <w:t xml:space="preserve"> </w:t>
      </w:r>
      <w:bookmarkEnd w:id="26"/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(позиции №1-4 Таблицы 1.1)</w:t>
      </w:r>
      <w:r>
        <w:rPr>
          <w:rFonts w:eastAsia="Calibri"/>
          <w:b/>
          <w:sz w:val="24"/>
          <w:szCs w:val="24"/>
          <w:lang w:eastAsia="x-none"/>
        </w:rPr>
        <w:t>:</w:t>
      </w:r>
      <w:r>
        <w:rPr>
          <w:rFonts w:eastAsia="Calibri"/>
          <w:lang w:eastAsia="x-none"/>
        </w:rPr>
        <w:t xml:space="preserve"> </w:t>
      </w:r>
      <w:r>
        <w:rPr>
          <w:bCs/>
          <w:sz w:val="24"/>
          <w:szCs w:val="24"/>
        </w:rPr>
        <w:t>ОКПД 2: 28.99.39.190 Поставка шиномонтажного оборудования для нужд Камчатского филиала АО "ТК РусГидро"</w:t>
      </w:r>
      <w:r>
        <w:rPr>
          <w:sz w:val="24"/>
          <w:szCs w:val="24"/>
        </w:rPr>
        <w:t>.</w:t>
      </w:r>
    </w:p>
    <w:tbl>
      <w:tblPr>
        <w:tblStyle w:val="affff5"/>
        <w:tblW w:w="1063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9"/>
        <w:gridCol w:w="1629"/>
        <w:gridCol w:w="77"/>
        <w:gridCol w:w="69"/>
        <w:gridCol w:w="1770"/>
        <w:gridCol w:w="2130"/>
        <w:gridCol w:w="2289"/>
        <w:gridCol w:w="1678"/>
      </w:tblGrid>
      <w:tr>
        <w:trPr/>
        <w:tc>
          <w:tcPr>
            <w:tcW w:w="98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62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916" w:type="dxa"/>
            <w:gridSpan w:val="3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4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67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8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2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16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7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916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60" w:after="60"/>
              <w:ind w:left="1069" w:hanging="107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5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5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№1 Таблицы 1): Автоматический шиномонтажный станок КС-403А Про 380В или эквивалент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обслуживаемых дисков, дюйм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12-24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Технический паспорт либо иной документ, выданный заводом-изготовителем Продукции , подтверждающий его технические характеристики </w:t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Максимальный диаметр колеса, мм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Не менее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1200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52" w:hRule="atLeast"/>
        </w:trPr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Максимальная ширина колеса, мм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350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уровней скорости вращения колеса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 в сети, В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380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Рабочее давление, Бар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ниже 10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электродвигателя, кВт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ниже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0,8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зажимаемого диска (зажим снаружи), дюйм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12-22", 13-23", 14-24"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зажимаемого диска (внутренний зажим), дюйм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14-24", 15-25", 16-26"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5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№2 Таблицы 1): Автоматический шиномонтажный станок ГШС-515В или эквивалент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обслуживаемых дисков, дюйм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14"-56"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Технический паспорт либо иной документ, выданный заводом-изготовителем Продукции , подтверждающий его технические характеристики</w:t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Максимальный диаметр колеса, мм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2 300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Максимальная ширина колеса, мм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1 065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 в сети, В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380 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Макс. масса колеса, кг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1 500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электродвигателя, кВт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2,6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двигателя насоса, кВт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1,8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Усилие отрыва борта, кг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ниже 2 800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5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№3 Таблицы 1): Балансировочный станок SPUTNIK LUXE СБМК-60 Л или эквивалент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Макс. диаметр диска, дюйм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Технический паспорт либо иной документ, выданный заводом-изготовителем Продукции , подтверждающий его технические характеристики</w:t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Макс. диаметр колеса, мм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800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Макс. ширина диска, дюйм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Макс. масса колеса, кг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65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Точность, г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выше 1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Зажим колеса на валу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Быстросъемной гайкой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Наличие лазерного указателя 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LED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-подсветки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Измерение параметров диска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Ручное либо автоматическое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07" w:hRule="atLeast"/>
        </w:trPr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5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Наименование продукции (позиция №4 Таблицы 1): Балансировочный станок TRUCKER STANDARD СБМП-200 или эквивалент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Максимальная масса колеса, кг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200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Технический паспорт либо иной документ, выданный заводом-изготовителем Продукции , подтверждающий его технические характеристики</w:t>
            </w:r>
            <w:bookmarkStart w:id="30" w:name="_GoBack"/>
            <w:bookmarkEnd w:id="30"/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Максимальный диаметр колеса, мм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1 350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Точность, г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1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измерения грузовых колес, с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50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70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измерения легковых колес, с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12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60" w:after="60"/>
              <w:ind w:left="1069" w:hanging="103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5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191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Россия, Камчатский край, г. Петропавловск-Камчатский, Северо-Восточное шоссе, 42а.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1" w:name="_Toc229490663"/>
            <w:bookmarkStart w:id="32" w:name="_Toc143693885"/>
            <w:bookmarkStart w:id="33" w:name="_Toc141715138"/>
            <w:bookmarkStart w:id="34" w:name="_Toc133399015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---</w:t>
            </w:r>
            <w:bookmarkEnd w:id="31"/>
            <w:bookmarkEnd w:id="32"/>
            <w:bookmarkEnd w:id="33"/>
            <w:bookmarkEnd w:id="34"/>
          </w:p>
        </w:tc>
        <w:tc>
          <w:tcPr>
            <w:tcW w:w="167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ind w:right="31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162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упаковка</w:t>
            </w:r>
          </w:p>
        </w:tc>
        <w:tc>
          <w:tcPr>
            <w:tcW w:w="1916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40" w:after="0"/>
              <w:jc w:val="both"/>
              <w:rPr>
                <w:sz w:val="24"/>
                <w:szCs w:val="24"/>
                <w:lang w:val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Упаковка продукции должна обеспечивать его сохранность при транспортировке и хранении. В случае получения продукции в дефектной упаковке Покупатель имеет право не принимать такой товар и вернуть его Поставщику за счет Поставщика.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60" w:after="60"/>
              <w:ind w:left="1069" w:hanging="103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5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191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Товар, поставленный по Договору, не менее 12 (двенадцати) месяцев и начинает течь с даты подписания Сторонами Накладной ТОРГ-12/УПД. Гарантийный срок может быть продлен в соответствии с условиями Договора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условиям гарантийного и послегарантийного обслуживания</w:t>
            </w:r>
          </w:p>
        </w:tc>
        <w:tc>
          <w:tcPr>
            <w:tcW w:w="191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выявления дефектов, в том числе скрытых, в течение гарантийного срока поставленная продукция заменяется Поставщиком за свой счет.</w:t>
            </w:r>
          </w:p>
        </w:tc>
        <w:tc>
          <w:tcPr>
            <w:tcW w:w="21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3545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</w:t>
            </w:r>
          </w:p>
        </w:tc>
        <w:tc>
          <w:tcPr>
            <w:tcW w:w="1775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17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Вместе с продукцией поставщик обязан предоставить оригиналы следующих документов: Счёт, Счёт-фактура + Товарная накладная или УПД.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4.2.</w:t>
            </w:r>
          </w:p>
        </w:tc>
        <w:tc>
          <w:tcPr>
            <w:tcW w:w="1775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комплектации</w:t>
            </w:r>
          </w:p>
        </w:tc>
        <w:tc>
          <w:tcPr>
            <w:tcW w:w="17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Комплектация поставляемого Товара должна обеспечить возможность использования продукции по прямому назначению.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3545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1775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Доставка товара</w:t>
            </w:r>
          </w:p>
        </w:tc>
        <w:tc>
          <w:tcPr>
            <w:tcW w:w="17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Доставка продукции осуществляется до места поставки силами, средствами и за счет Поставщика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3545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1775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качеству и безопасности</w:t>
            </w:r>
          </w:p>
        </w:tc>
        <w:tc>
          <w:tcPr>
            <w:tcW w:w="17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и безопасность поставляемой продукции должно соответствовать действующим стандартам и условиям, утвержденными на данный вид продукции, оформленным в соответствии с законодательством Российской Федерации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3545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7.1.</w:t>
            </w:r>
          </w:p>
        </w:tc>
        <w:tc>
          <w:tcPr>
            <w:tcW w:w="1775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состоянию продукции</w:t>
            </w:r>
          </w:p>
        </w:tc>
        <w:tc>
          <w:tcPr>
            <w:tcW w:w="17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новая, не бывшая в употреблении. Продукция должна быть произведена не ранее 2025г. Не допускается поставка выставочных образцов.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8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Heading1"/>
        <w:numPr>
          <w:ilvl w:val="2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В составе заявки необходимо предоставить:</w:t>
        <w:tab/>
      </w:r>
    </w:p>
    <w:p>
      <w:pPr>
        <w:pStyle w:val="Heading1"/>
        <w:numPr>
          <w:ilvl w:val="0"/>
        </w:numPr>
        <w:spacing w:lineRule="auto" w:line="240"/>
        <w:ind w:left="0" w:hanging="0"/>
        <w:jc w:val="both"/>
        <w:rPr/>
      </w:pPr>
      <w:r>
        <w:rPr>
          <w:b w:val="false"/>
          <w:sz w:val="24"/>
          <w:szCs w:val="24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</w:t>
      </w:r>
    </w:p>
    <w:p>
      <w:pPr>
        <w:pStyle w:val="Heading1"/>
        <w:numPr>
          <w:ilvl w:val="0"/>
        </w:numPr>
        <w:spacing w:lineRule="auto" w:line="240"/>
        <w:ind w:left="284" w:hanging="0"/>
        <w:jc w:val="both"/>
        <w:rPr/>
      </w:pPr>
      <w:r>
        <w:rPr>
          <w:b w:val="false"/>
          <w:sz w:val="24"/>
          <w:szCs w:val="24"/>
        </w:rPr>
        <w:t>1. Техническое предложение, подготовленное в соответствии с настоящими техническими требованиями, по форме, предоставленной в Документации о закупке.</w:t>
      </w:r>
    </w:p>
    <w:p>
      <w:pPr>
        <w:pStyle w:val="Heading1"/>
        <w:numPr>
          <w:ilvl w:val="0"/>
        </w:numPr>
        <w:spacing w:lineRule="auto" w:line="240"/>
        <w:ind w:left="284" w:hanging="0"/>
        <w:jc w:val="both"/>
        <w:rPr/>
      </w:pPr>
      <w:r>
        <w:rPr>
          <w:b w:val="false"/>
          <w:sz w:val="24"/>
          <w:szCs w:val="24"/>
        </w:rPr>
        <w:t xml:space="preserve">2. Копию </w:t>
      </w:r>
      <w:r>
        <w:rPr>
          <w:b w:val="false"/>
          <w:sz w:val="24"/>
          <w:szCs w:val="24"/>
          <w:lang w:val="ru-RU"/>
        </w:rPr>
        <w:t xml:space="preserve">(скан) технического паспорта </w:t>
      </w:r>
      <w:r>
        <w:rPr>
          <w:b w:val="false"/>
          <w:sz w:val="24"/>
          <w:szCs w:val="24"/>
          <w:lang w:val="ru-RU"/>
        </w:rPr>
        <w:t>(</w:t>
      </w:r>
      <w:r>
        <w:rPr>
          <w:b w:val="false"/>
          <w:sz w:val="24"/>
          <w:szCs w:val="24"/>
          <w:lang w:val="ru-RU"/>
        </w:rPr>
        <w:t>паспорта изделия</w:t>
      </w:r>
      <w:r>
        <w:rPr>
          <w:b w:val="false"/>
          <w:sz w:val="24"/>
          <w:szCs w:val="24"/>
          <w:lang w:val="ru-RU"/>
        </w:rPr>
        <w:t xml:space="preserve">) 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>либо ино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>го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 xml:space="preserve"> документ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>а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>, выданн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>ого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 xml:space="preserve"> заводом-изготовителем Продукции, подтверждающ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>его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 xml:space="preserve"> его технические характеристики.</w:t>
      </w:r>
    </w:p>
    <w:p>
      <w:pPr>
        <w:pStyle w:val="Normal"/>
        <w:spacing w:lineRule="auto" w:line="240"/>
        <w:ind w:left="284" w:hanging="0"/>
        <w:jc w:val="both"/>
        <w:rPr>
          <w:rFonts w:ascii="Times New Roman" w:hAnsi="Times New Roman" w:eastAsia="Times New Roman" w:cs="Times New Roman"/>
          <w:b w:val="false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40"/>
        <w:ind w:left="284" w:hanging="0"/>
        <w:jc w:val="both"/>
        <w:rPr>
          <w:rFonts w:ascii="Times New Roman" w:hAnsi="Times New Roman" w:eastAsia="Times New Roman" w:cs="Times New Roman"/>
          <w:b w:val="false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Heading1"/>
        <w:numPr>
          <w:ilvl w:val="0"/>
          <w:numId w:val="10"/>
        </w:numPr>
        <w:spacing w:lineRule="auto" w:line="240"/>
        <w:rPr/>
      </w:pPr>
      <w:r>
        <w:rPr/>
        <w:t>Требования к документации по ценообразованию на этапе закупки</w:t>
      </w:r>
    </w:p>
    <w:p>
      <w:pPr>
        <w:pStyle w:val="ListParagraph"/>
        <w:numPr>
          <w:ilvl w:val="1"/>
          <w:numId w:val="11"/>
        </w:numPr>
        <w:spacing w:lineRule="auto" w:line="240"/>
        <w:rPr/>
      </w:pPr>
      <w:bookmarkStart w:id="35" w:name="_Toc196393729"/>
      <w:bookmarkStart w:id="36" w:name="_Toc169776720"/>
      <w:bookmarkStart w:id="37" w:name="_Toc169776257"/>
      <w:bookmarkEnd w:id="35"/>
      <w:bookmarkEnd w:id="36"/>
      <w:bookmarkEnd w:id="37"/>
      <w:r>
        <w:rPr>
          <w:bCs/>
          <w:iCs/>
          <w:lang w:eastAsia="x-none"/>
        </w:rPr>
        <w:t>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1"/>
          <w:numId w:val="11"/>
        </w:numPr>
        <w:spacing w:lineRule="auto" w:line="240"/>
        <w:rPr/>
      </w:pPr>
      <w:r>
        <w:rPr>
          <w:bCs/>
          <w:iCs/>
          <w:lang w:eastAsia="x-none"/>
        </w:rPr>
        <w:t>Дополнительные документы по ценообразованию в состав заявки не включаются.</w:t>
      </w:r>
    </w:p>
    <w:p>
      <w:pPr>
        <w:pStyle w:val="ListParagraph"/>
        <w:ind w:hanging="0"/>
        <w:rPr/>
      </w:pPr>
      <w:r>
        <w:rPr/>
      </w:r>
      <w:bookmarkStart w:id="38" w:name="_Toc196393729"/>
      <w:bookmarkStart w:id="39" w:name="_Toc169776720"/>
      <w:bookmarkStart w:id="40" w:name="_Toc169776257"/>
      <w:bookmarkStart w:id="41" w:name="_Toc196393729"/>
      <w:bookmarkStart w:id="42" w:name="_Toc169776720"/>
      <w:bookmarkStart w:id="43" w:name="_Toc169776257"/>
      <w:bookmarkEnd w:id="41"/>
      <w:bookmarkEnd w:id="42"/>
      <w:bookmarkEnd w:id="43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720" w:right="720" w:gutter="0" w:header="680" w:top="737" w:footer="0" w:bottom="72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69" w:hanging="1069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360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567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55" w:hanging="555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555" w:hanging="555"/>
      </w:pPr>
      <w:rPr/>
    </w:lvl>
    <w:lvl w:ilvl="2">
      <w:start w:val="1"/>
      <w:numFmt w:val="decimal"/>
      <w:suff w:val="space"/>
      <w:lvlText w:val="%1.5.%3"/>
      <w:lvlJc w:val="left"/>
      <w:pPr>
        <w:tabs>
          <w:tab w:val="num" w:pos="0"/>
        </w:tabs>
        <w:ind w:left="0" w:firstLine="737"/>
      </w:pPr>
      <w:rPr>
        <w:b w:val="fals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555" w:hanging="555"/>
      </w:pPr>
      <w:rPr/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555" w:hanging="555"/>
      </w:pPr>
      <w:rPr/>
    </w:lvl>
    <w:lvl w:ilvl="2">
      <w:start w:val="1"/>
      <w:numFmt w:val="decimal"/>
      <w:suff w:val="space"/>
      <w:lvlText w:val="%1.1.%3"/>
      <w:lvlJc w:val="left"/>
      <w:pPr>
        <w:tabs>
          <w:tab w:val="num" w:pos="0"/>
        </w:tabs>
        <w:ind w:left="0" w:hanging="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10"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555" w:hanging="555"/>
      </w:pPr>
      <w:rPr/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555" w:hanging="555"/>
      </w:pPr>
      <w:rPr/>
    </w:lvl>
    <w:lvl w:ilvl="2">
      <w:start w:val="1"/>
      <w:numFmt w:val="decimal"/>
      <w:suff w:val="space"/>
      <w:lvlText w:val="%1.2.%3"/>
      <w:lvlJc w:val="left"/>
      <w:pPr>
        <w:tabs>
          <w:tab w:val="num" w:pos="0"/>
        </w:tabs>
        <w:ind w:left="0" w:hanging="0"/>
      </w:pPr>
      <w:rPr>
        <w:i w:val="false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680" w:hanging="168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2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4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70f3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  <w:numId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c27d4"/>
    <w:pPr>
      <w:keepNext w:val="true"/>
      <w:numPr>
        <w:ilvl w:val="2"/>
        <w:numId w:val="9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c27d4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ind w:left="0" w:hanging="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tabs>
        <w:tab w:val="clear" w:pos="708"/>
        <w:tab w:val="left" w:pos="360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7" w:customStyle="1">
    <w:name w:val="Стиль3"/>
    <w:uiPriority w:val="99"/>
    <w:qFormat/>
    <w:rsid w:val="00351c10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DB79-04D3-45C7-AADE-2BACF7B3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Application>AlterOffice/3.4.0.9$Linux_X86_64 LibreOffice_project/b8daf9e823b1a5463a2f48435ddc2e8696e7d4fc</Application>
  <AppVersion>15.0000</AppVersion>
  <Pages>10</Pages>
  <Words>1251</Words>
  <Characters>8430</Characters>
  <CharactersWithSpaces>9371</CharactersWithSpaces>
  <Paragraphs>312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2025-03-06T05:04:00Z</dcterms:created>
  <dc:creator>Быстров Олег Геннадьевич</dc:creator>
  <dc:description/>
  <dc:language>ru-RU</dc:language>
  <cp:lastModifiedBy>sergeevavi@corp.gidroogk.com</cp:lastModifiedBy>
  <cp:lastPrinted>2026-05-12T03:09:00Z</cp:lastPrinted>
  <dcterms:modified xsi:type="dcterms:W3CDTF">2026-08-28T09:47:45Z</dcterms:modified>
  <cp:revision>46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