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styles.xml" ContentType="application/vnd.openxmlformats-officedocument.wordprocessingml.styles+xml"/>
  <Override PartName="/word/header9.xml" ContentType="application/vnd.openxmlformats-officedocument.wordprocessingml.header+xml"/>
  <Override PartName="/word/media/image4.wmf" ContentType="image/x-wmf"/>
  <Override PartName="/word/media/image1.png" ContentType="image/png"/>
  <Override PartName="/word/media/image6.wmf" ContentType="image/x-wmf"/>
  <Override PartName="/word/media/image5.wmf" ContentType="image/x-wmf"/>
  <Override PartName="/word/media/image2.wmf" ContentType="image/x-wmf"/>
  <Override PartName="/word/media/image3.wmf" ContentType="image/x-wmf"/>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3.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footer4.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left="0" w:right="0" w:hanging="0"/>
        <w:jc w:val="center"/>
        <w:rPr>
          <w:b/>
          <w:szCs w:val="28"/>
        </w:rPr>
      </w:pPr>
      <w:r>
        <w:rPr/>
        <w:drawing>
          <wp:inline distT="0" distB="0" distL="0" distR="0">
            <wp:extent cx="1536700" cy="5588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536700" cy="558800"/>
                    </a:xfrm>
                    <a:prstGeom prst="rect">
                      <a:avLst/>
                    </a:prstGeom>
                  </pic:spPr>
                </pic:pic>
              </a:graphicData>
            </a:graphic>
          </wp:inline>
        </w:drawing>
      </w:r>
    </w:p>
    <w:p>
      <w:pPr>
        <w:pStyle w:val="Normal"/>
        <w:spacing w:before="0" w:after="0"/>
        <w:jc w:val="center"/>
        <w:rPr>
          <w:b/>
          <w:sz w:val="28"/>
          <w:szCs w:val="28"/>
        </w:rPr>
      </w:pPr>
      <w:r>
        <w:rPr>
          <w:b/>
          <w:bCs/>
          <w:sz w:val="28"/>
          <w:szCs w:val="28"/>
        </w:rPr>
        <w:t>Акционерное Общество</w:t>
      </w:r>
    </w:p>
    <w:p>
      <w:pPr>
        <w:pStyle w:val="Normal"/>
        <w:spacing w:before="0" w:after="0"/>
        <w:jc w:val="center"/>
        <w:rPr>
          <w:b/>
          <w:sz w:val="28"/>
          <w:szCs w:val="28"/>
        </w:rPr>
      </w:pPr>
      <w:r>
        <w:rPr>
          <w:b/>
          <w:sz w:val="28"/>
          <w:szCs w:val="28"/>
        </w:rPr>
        <w:t xml:space="preserve">«Дальневосточная распределительная сетевая </w:t>
      </w:r>
      <w:r>
        <w:rPr>
          <w:sz w:val="28"/>
          <w:szCs w:val="28"/>
        </w:rPr>
        <w:t xml:space="preserve"> </w:t>
      </w:r>
      <w:r>
        <w:rPr>
          <w:b/>
          <w:sz w:val="28"/>
          <w:szCs w:val="28"/>
        </w:rPr>
        <w:t>компания</w:t>
      </w:r>
    </w:p>
    <w:p>
      <w:pPr>
        <w:pStyle w:val="Normal"/>
        <w:ind w:left="4395" w:firstLine="1134"/>
        <w:rPr>
          <w:szCs w:val="28"/>
        </w:rPr>
      </w:pPr>
      <w:r>
        <w:rPr>
          <w:szCs w:val="28"/>
        </w:rPr>
      </w:r>
    </w:p>
    <w:p>
      <w:pPr>
        <w:pStyle w:val="Normal"/>
        <w:ind w:left="5529" w:hanging="0"/>
        <w:rPr/>
      </w:pPr>
      <w:r>
        <w:rPr/>
        <w:t>«УТВЕРЖДАЮ»</w:t>
      </w:r>
    </w:p>
    <w:p>
      <w:pPr>
        <w:pStyle w:val="Normal"/>
        <w:ind w:left="5529" w:hanging="0"/>
        <w:rPr/>
      </w:pPr>
      <w:r>
        <w:rPr/>
        <w:t>Председатель закупочной комиссии</w:t>
      </w:r>
    </w:p>
    <w:p>
      <w:pPr>
        <w:pStyle w:val="Normal"/>
        <w:ind w:left="5529" w:hanging="0"/>
        <w:rPr/>
      </w:pPr>
      <w:r>
        <w:rPr/>
      </w:r>
    </w:p>
    <w:p>
      <w:pPr>
        <w:pStyle w:val="Normal"/>
        <w:ind w:left="5529" w:hanging="0"/>
        <w:rPr/>
      </w:pPr>
      <w:r>
        <w:rPr/>
        <w:t>_______________</w:t>
      </w:r>
    </w:p>
    <w:p>
      <w:pPr>
        <w:pStyle w:val="Normal"/>
        <w:ind w:left="5529" w:hanging="0"/>
        <w:rPr/>
      </w:pPr>
      <w:r>
        <w:rPr>
          <w:b/>
          <w:bCs/>
          <w:caps/>
        </w:rPr>
        <w:t>19</w:t>
      </w:r>
      <w:r>
        <w:rPr>
          <w:b/>
          <w:bCs/>
          <w:caps/>
        </w:rPr>
        <w:t>.08.2026</w:t>
      </w:r>
    </w:p>
    <w:p>
      <w:pPr>
        <w:pStyle w:val="Style30"/>
        <w:keepNext w:val="true"/>
        <w:ind w:left="4536" w:hanging="0"/>
        <w:rPr/>
      </w:pPr>
      <w:r>
        <w:rPr/>
      </w:r>
    </w:p>
    <w:p>
      <w:pPr>
        <w:pStyle w:val="Style30"/>
        <w:rPr/>
      </w:pPr>
      <w:r>
        <w:rPr/>
      </w:r>
    </w:p>
    <w:p>
      <w:pPr>
        <w:pStyle w:val="Style30"/>
        <w:rPr/>
      </w:pPr>
      <w:r>
        <w:rPr/>
      </w:r>
    </w:p>
    <w:p>
      <w:pPr>
        <w:pStyle w:val="Style30"/>
        <w:rPr/>
      </w:pPr>
      <w:r>
        <w:rPr/>
      </w:r>
    </w:p>
    <w:p>
      <w:pPr>
        <w:pStyle w:val="Style30"/>
        <w:rPr/>
      </w:pPr>
      <w:r>
        <w:rPr/>
      </w:r>
    </w:p>
    <w:p>
      <w:pPr>
        <w:pStyle w:val="Style30"/>
        <w:keepNext w:val="true"/>
        <w:numPr>
          <w:ilvl w:val="0"/>
          <w:numId w:val="0"/>
        </w:numPr>
        <w:ind w:left="0" w:hanging="0"/>
        <w:jc w:val="center"/>
        <w:outlineLvl w:val="2"/>
        <w:rPr>
          <w:b/>
          <w:bCs/>
          <w:caps/>
        </w:rPr>
      </w:pPr>
      <w:r>
        <w:rPr>
          <w:b/>
          <w:bCs/>
          <w:caps/>
        </w:rPr>
        <w:t>Документация о закупке</w:t>
      </w:r>
    </w:p>
    <w:p>
      <w:pPr>
        <w:pStyle w:val="Style30"/>
        <w:keepNext w:val="true"/>
        <w:spacing w:before="240" w:after="0"/>
        <w:jc w:val="center"/>
        <w:rPr>
          <w:rStyle w:val="Style8"/>
        </w:rPr>
      </w:pPr>
      <w:r>
        <w:rPr/>
        <w:t>Запрос предложений в электронной форме,</w:t>
        <w:br/>
        <w:t>участниками которого могут быть только субъекты МСП,</w:t>
        <w:br/>
        <w:t>на право заключения договора на </w:t>
      </w:r>
      <w:r>
        <w:rPr>
          <w:rStyle w:val="Style8"/>
          <w:b/>
          <w:bCs/>
          <w:caps w:val="false"/>
          <w:smallCaps w:val="false"/>
          <w:strike w:val="false"/>
          <w:dstrike w:val="false"/>
          <w:color w:val="222222"/>
          <w:spacing w:val="0"/>
          <w:sz w:val="26"/>
          <w:szCs w:val="26"/>
          <w:u w:val="none"/>
          <w:effect w:val="none"/>
          <w:shd w:fill="auto" w:val="clear"/>
        </w:rPr>
        <w:tab/>
        <w:t>ОКПД2 41.20.40 Выполнение работ по ремонту здания РПБ ПС-110 кВ Дамбуки структурного подразделения «Северные электрические сети» филиала "Амурские электрические сети"</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spacing w:before="240" w:after="0"/>
        <w:jc w:val="center"/>
        <w:rPr/>
      </w:pPr>
      <w:r>
        <w:rPr>
          <w:rStyle w:val="Style8"/>
          <w:b/>
          <w:bCs/>
          <w:caps w:val="false"/>
          <w:smallCaps w:val="false"/>
          <w:strike w:val="false"/>
          <w:dstrike w:val="false"/>
          <w:color w:val="222222"/>
          <w:spacing w:val="0"/>
          <w:sz w:val="26"/>
          <w:szCs w:val="26"/>
          <w:u w:val="none"/>
          <w:effect w:val="none"/>
          <w:shd w:fill="auto" w:val="clear"/>
        </w:rPr>
        <w:t>лот 311201-РЕМ ПРОД-2026-ДРСК-АЭС</w:t>
      </w:r>
    </w:p>
    <w:p>
      <w:pPr>
        <w:pStyle w:val="Style29"/>
        <w:numPr>
          <w:ilvl w:val="0"/>
          <w:numId w:val="0"/>
        </w:numPr>
        <w:ind w:left="0" w:hanging="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"УРОВЕНЬ_-,5,[РГ] Подпункт,4,[РГ] Пункт,3,[РГ] Подраздел,2,[РГ] Раздел,1,[РГ] Раздел,1,[РГ] Раздел,1,[РГ] Раздел,1,[РГ] Раздел,1,[РГ] Раздел,1,[РГ] Раздел,1,[РГ] Подраздел,2,[РГ] Подраздел,2,[РГ] Подраздел,2,[РГ] Подраздел,2,[РГ] Подраздел,2,[РГ] Подраздел,2,[РГ] Пункт,3,[РГ] Пункт,3,[РГ] Пункт,3,[РГ] Пункт,3,[РГ] Пункт,3,[РГ] Подпункт,4,[РГ] Подпункт,4,[РГ] Подпункт,4,[РГ] Подпункт,4,[РГ] Подпункт,4,УРОВЕНЬ_-,5,УРОВЕНЬ_-,5,УРОВЕНЬ_-,5,УРОВЕНЬ_-,5,УРОВЕНЬ_-,5"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30"/>
        <w:jc w:val="both"/>
        <w:rPr/>
      </w:pPr>
      <w:r>
        <w:rPr/>
      </w:r>
    </w:p>
    <w:p>
      <w:pPr>
        <w:pStyle w:val="Style30"/>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30"/>
        <w:numPr>
          <w:ilvl w:val="0"/>
          <w:numId w:val="8"/>
        </w:numPr>
        <w:spacing w:before="60" w:after="0"/>
        <w:ind w:left="284" w:hanging="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30"/>
        <w:numPr>
          <w:ilvl w:val="0"/>
          <w:numId w:val="8"/>
        </w:numPr>
        <w:spacing w:before="60" w:after="0"/>
        <w:ind w:left="284" w:hanging="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30"/>
        <w:numPr>
          <w:ilvl w:val="0"/>
          <w:numId w:val="8"/>
        </w:numPr>
        <w:spacing w:before="60" w:after="0"/>
        <w:ind w:left="284" w:hanging="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30"/>
        <w:numPr>
          <w:ilvl w:val="0"/>
          <w:numId w:val="8"/>
        </w:numPr>
        <w:spacing w:before="60" w:after="0"/>
        <w:ind w:left="284" w:hanging="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9"/>
        <w:numPr>
          <w:ilvl w:val="0"/>
          <w:numId w:val="0"/>
        </w:numPr>
        <w:ind w:left="0" w:hanging="0"/>
        <w:outlineLvl w:val="0"/>
        <w:rPr/>
      </w:pPr>
      <w:bookmarkStart w:id="0" w:name="_Toc228877668"/>
      <w:r>
        <w:rPr/>
        <w:t>Сокращения</w:t>
      </w:r>
      <w:bookmarkEnd w:id="0"/>
    </w:p>
    <w:p>
      <w:pPr>
        <w:pStyle w:val="Style30"/>
        <w:ind w:firstLine="567"/>
        <w:rPr/>
      </w:pPr>
      <w:r>
        <w:rPr>
          <w:b/>
          <w:bCs/>
        </w:rPr>
        <w:t>ГК РФ</w:t>
      </w:r>
      <w:r>
        <w:rPr/>
        <w:t xml:space="preserve"> – Гражданской кодекс Российской Федерации.</w:t>
      </w:r>
    </w:p>
    <w:p>
      <w:pPr>
        <w:pStyle w:val="Style30"/>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pPr>
      <w:r>
        <w:rPr>
          <w:b/>
          <w:bCs/>
        </w:rPr>
        <w:t>ЕАЭС</w:t>
      </w:r>
      <w:r>
        <w:rPr/>
        <w:t xml:space="preserve"> – Евразийский экономический союз.</w:t>
      </w:r>
    </w:p>
    <w:p>
      <w:pPr>
        <w:pStyle w:val="Style30"/>
        <w:ind w:firstLine="567"/>
        <w:rPr/>
      </w:pPr>
      <w:r>
        <w:rPr>
          <w:b/>
          <w:bCs/>
        </w:rPr>
        <w:t>ЕГРИП</w:t>
      </w:r>
      <w:r>
        <w:rPr/>
        <w:t xml:space="preserve"> – Единый государственный реестр индивидуальных предпринимателей.</w:t>
      </w:r>
    </w:p>
    <w:p>
      <w:pPr>
        <w:pStyle w:val="Style30"/>
        <w:ind w:firstLine="567"/>
        <w:rPr/>
      </w:pPr>
      <w:r>
        <w:rPr>
          <w:b/>
          <w:bCs/>
        </w:rPr>
        <w:t>ЕГРЮЛ</w:t>
      </w:r>
      <w:r>
        <w:rPr/>
        <w:t xml:space="preserve"> – Единый государственный реестр юридических лиц.</w:t>
      </w:r>
    </w:p>
    <w:p>
      <w:pPr>
        <w:pStyle w:val="Style30"/>
        <w:ind w:firstLine="567"/>
        <w:rPr/>
      </w:pPr>
      <w:r>
        <w:rPr>
          <w:b/>
          <w:bCs/>
        </w:rPr>
        <w:t>ЕИС</w:t>
      </w:r>
      <w:r>
        <w:rPr/>
        <w:t xml:space="preserve"> – Единая информационная система в сфере закупок.</w:t>
      </w:r>
    </w:p>
    <w:p>
      <w:pPr>
        <w:pStyle w:val="Style30"/>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0"/>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0"/>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0"/>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pPr>
      <w:r>
        <w:rPr>
          <w:b/>
          <w:bCs/>
        </w:rPr>
        <w:t>Извещение</w:t>
      </w:r>
      <w:r>
        <w:rPr/>
        <w:t xml:space="preserve"> – извещение о проведении настоящей закупки.</w:t>
      </w:r>
    </w:p>
    <w:p>
      <w:pPr>
        <w:pStyle w:val="Style30"/>
        <w:ind w:firstLine="567"/>
        <w:rPr/>
      </w:pPr>
      <w:r>
        <w:rPr>
          <w:b/>
          <w:bCs/>
        </w:rPr>
        <w:t>ИНН</w:t>
      </w:r>
      <w:r>
        <w:rPr/>
        <w:t xml:space="preserve"> – идентификационный номер налогоплательщика.</w:t>
      </w:r>
    </w:p>
    <w:p>
      <w:pPr>
        <w:pStyle w:val="Style30"/>
        <w:ind w:firstLine="567"/>
        <w:rPr/>
      </w:pPr>
      <w:r>
        <w:rPr>
          <w:b/>
          <w:bCs/>
        </w:rPr>
        <w:t>ИФНС</w:t>
      </w:r>
      <w:r>
        <w:rPr/>
        <w:t xml:space="preserve"> – инспекция Федеральной налоговой службы Российской Федерации.</w:t>
      </w:r>
    </w:p>
    <w:p>
      <w:pPr>
        <w:pStyle w:val="Style30"/>
        <w:ind w:firstLine="567"/>
        <w:rPr/>
      </w:pPr>
      <w:r>
        <w:rPr>
          <w:b/>
          <w:bCs/>
        </w:rPr>
        <w:t>МТР</w:t>
      </w:r>
      <w:r>
        <w:rPr/>
        <w:t xml:space="preserve"> – материально-технические ресурсы.</w:t>
      </w:r>
    </w:p>
    <w:p>
      <w:pPr>
        <w:pStyle w:val="Style30"/>
        <w:ind w:firstLine="567"/>
        <w:rPr/>
      </w:pPr>
      <w:r>
        <w:rPr>
          <w:b/>
          <w:bCs/>
        </w:rPr>
        <w:t>НДС</w:t>
      </w:r>
      <w:r>
        <w:rPr/>
        <w:t xml:space="preserve"> – налог на добавленную стоимость.</w:t>
      </w:r>
    </w:p>
    <w:p>
      <w:pPr>
        <w:pStyle w:val="Style30"/>
        <w:ind w:firstLine="567"/>
        <w:rPr/>
      </w:pPr>
      <w:r>
        <w:rPr>
          <w:b/>
          <w:bCs/>
        </w:rPr>
        <w:t>НМЦ</w:t>
      </w:r>
      <w:r>
        <w:rPr/>
        <w:t xml:space="preserve"> – начальная (максимальная) цена договора.</w:t>
      </w:r>
    </w:p>
    <w:p>
      <w:pPr>
        <w:pStyle w:val="Style30"/>
        <w:ind w:firstLine="567"/>
        <w:rPr/>
      </w:pPr>
      <w:r>
        <w:rPr>
          <w:b/>
          <w:bCs/>
        </w:rPr>
        <w:t>Оператор ЭП</w:t>
      </w:r>
      <w:r>
        <w:rPr/>
        <w:t xml:space="preserve"> – оператор электронной площадки.</w:t>
      </w:r>
    </w:p>
    <w:p>
      <w:pPr>
        <w:pStyle w:val="Style30"/>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0"/>
        <w:ind w:firstLine="567"/>
        <w:rPr/>
      </w:pPr>
      <w:r>
        <w:rPr>
          <w:b/>
          <w:bCs/>
        </w:rPr>
        <w:t>Положение о закупке</w:t>
      </w:r>
      <w:r>
        <w:rPr/>
        <w:t xml:space="preserve"> – Единое Положение о закупке продукции для нужд Группы РусГидро.</w:t>
      </w:r>
    </w:p>
    <w:p>
      <w:pPr>
        <w:pStyle w:val="Style30"/>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pPr>
      <w:r>
        <w:rPr/>
      </w:r>
    </w:p>
    <w:p>
      <w:pPr>
        <w:pStyle w:val="Style30"/>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0"/>
        <w:ind w:firstLine="567"/>
        <w:rPr/>
      </w:pPr>
      <w:r>
        <w:rPr>
          <w:b/>
          <w:bCs/>
        </w:rPr>
        <w:t>Субъект МСП</w:t>
      </w:r>
      <w:r>
        <w:rPr/>
        <w:t xml:space="preserve"> – субъект малого и среднего предпринимательства.</w:t>
      </w:r>
    </w:p>
    <w:p>
      <w:pPr>
        <w:pStyle w:val="Style30"/>
        <w:ind w:firstLine="567"/>
        <w:rPr/>
      </w:pPr>
      <w:r>
        <w:rPr>
          <w:b/>
          <w:bCs/>
        </w:rPr>
        <w:t>ЭП</w:t>
      </w:r>
      <w:r>
        <w:rPr/>
        <w:t xml:space="preserve"> – электронная площадка.</w:t>
      </w:r>
    </w:p>
    <w:p>
      <w:pPr>
        <w:pStyle w:val="Style29"/>
        <w:numPr>
          <w:ilvl w:val="0"/>
          <w:numId w:val="0"/>
        </w:numPr>
        <w:ind w:left="0" w:hanging="0"/>
        <w:outlineLvl w:val="0"/>
        <w:rPr/>
      </w:pPr>
      <w:bookmarkStart w:id="1" w:name="_Toc228877669"/>
      <w:r>
        <w:rPr/>
        <w:t>Термины и определения</w:t>
      </w:r>
      <w:bookmarkEnd w:id="1"/>
    </w:p>
    <w:p>
      <w:pPr>
        <w:pStyle w:val="Style30"/>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30"/>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0"/>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30"/>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0"/>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30"/>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0"/>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30"/>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4"/>
        <w:rPr/>
      </w:pPr>
      <w:bookmarkStart w:id="3" w:name="_Toc228877670"/>
      <w:bookmarkStart w:id="4" w:name="_Ref125359988"/>
      <w:r>
        <w:rPr/>
        <w:t>Основные сведения о закупке</w:t>
      </w:r>
      <w:bookmarkEnd w:id="3"/>
      <w:bookmarkEnd w:id="4"/>
    </w:p>
    <w:p>
      <w:pPr>
        <w:pStyle w:val="Style25"/>
        <w:rPr/>
      </w:pPr>
      <w:bookmarkStart w:id="5" w:name="_Toc228877671"/>
      <w:r>
        <w:rPr/>
        <w:t>Статус настоящего раздела</w:t>
      </w:r>
      <w:bookmarkEnd w:id="5"/>
    </w:p>
    <w:p>
      <w:pPr>
        <w:pStyle w:val="Style26"/>
        <w:rPr/>
      </w:pPr>
      <w:r>
        <w:rPr/>
        <w:t>В настоящем разделе содержатся основные сведения о предмете, способе и иных ключевых условиях проводимой закупки.</w:t>
      </w:r>
    </w:p>
    <w:p>
      <w:pPr>
        <w:pStyle w:val="Style26"/>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2</w:t>
      </w:r>
      <w:r>
        <w:rPr/>
        <w:fldChar w:fldCharType="end"/>
      </w:r>
      <w:r>
        <w:rPr/>
        <w:t>, в объеме, определенном частью 9 статьи 4 Закона 223-ФЗ, составляет Извещение о закупке.</w:t>
      </w:r>
    </w:p>
    <w:p>
      <w:pPr>
        <w:pStyle w:val="Style25"/>
        <w:spacing w:before="360" w:after="120"/>
        <w:rPr/>
      </w:pPr>
      <w:bookmarkStart w:id="6" w:name="_Toc228877672"/>
      <w:bookmarkStart w:id="7" w:name="_Ref132876309"/>
      <w:bookmarkStart w:id="8" w:name="_Ref127270076"/>
      <w:bookmarkStart w:id="9" w:name="_Ref125359973"/>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6"/>
        <w:gridCol w:w="2891"/>
        <w:gridCol w:w="5895"/>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891"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Наименование пункта</w:t>
            </w:r>
          </w:p>
        </w:tc>
        <w:tc>
          <w:tcPr>
            <w:tcW w:w="589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Содержание пункта</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Способ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Предмет Договора</w:t>
              <w:br/>
              <w:t>(в том числе номер лота):</w:t>
            </w:r>
          </w:p>
        </w:tc>
        <w:tc>
          <w:tcPr>
            <w:tcW w:w="5895" w:type="dxa"/>
            <w:tcBorders/>
          </w:tcPr>
          <w:p>
            <w:pPr>
              <w:pStyle w:val="Normal"/>
              <w:keepNext w:val="true"/>
              <w:widowControl w:val="false"/>
              <w:suppressAutoHyphens w:val="true"/>
              <w:spacing w:before="240" w:after="0"/>
              <w:jc w:val="left"/>
              <w:rPr/>
            </w:pPr>
            <w:r>
              <w:rPr>
                <w:rStyle w:val="Style8"/>
                <w:rFonts w:eastAsia="Calibri" w:cs=""/>
                <w:b/>
                <w:bCs/>
                <w:caps w:val="false"/>
                <w:smallCaps w:val="false"/>
                <w:strike w:val="false"/>
                <w:dstrike w:val="false"/>
                <w:color w:val="222222"/>
                <w:spacing w:val="0"/>
                <w:kern w:val="0"/>
                <w:sz w:val="24"/>
                <w:szCs w:val="24"/>
                <w:u w:val="none"/>
                <w:effect w:val="none"/>
                <w:shd w:fill="auto" w:val="clear"/>
                <w:lang w:eastAsia="en-US" w:bidi="ar-SA"/>
              </w:rPr>
              <w:t>ОКПД2 41.20.40 Выполнение работ по ремонту здания РПБ ПС-110 кВ Дамбуки структурного подразделения «Северные электрические сети» филиала "Амурские электрические сети" лот 311201-РЕМ ПРОД-2026-ДРСК-АЭС</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Описание</w:t>
              <w:br/>
              <w:t>предмета закупки: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4"/>
                  <w:szCs w:val="24"/>
                  <w:lang w:val="ru-RU" w:eastAsia="en-US" w:bidi="ar-SA"/>
                </w:rPr>
                <w:t>Технических требованиях (Приложении № 1)</w:t>
              </w:r>
            </w:hyperlink>
            <w:r>
              <w:rPr>
                <w:rFonts w:eastAsia="Calibri" w:cs=""/>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Многолотовая закупка:</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Нет.</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Наименование и адрес ЭП, на которой проводится закупка:</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Электронная торговая площадка: Электронная (торговая) площадка: </w:t>
            </w:r>
            <w:hyperlink r:id="rId3">
              <w:r>
                <w:rPr>
                  <w:rStyle w:val="Hyperlink"/>
                  <w:rFonts w:eastAsia="Calibri" w:cs=""/>
                  <w:kern w:val="0"/>
                  <w:sz w:val="24"/>
                  <w:szCs w:val="24"/>
                  <w:lang w:val="ru-RU" w:eastAsia="en-US" w:bidi="ar-SA"/>
                </w:rPr>
                <w:t>https://tender.lot-online.ru</w:t>
              </w:r>
            </w:hyperlink>
          </w:p>
          <w:p>
            <w:pPr>
              <w:pStyle w:val="Normal"/>
              <w:widowControl w:val="false"/>
              <w:suppressAutoHyphens w:val="true"/>
              <w:spacing w:before="0" w:after="0"/>
              <w:jc w:val="left"/>
              <w:rPr>
                <w:bCs/>
                <w:sz w:val="24"/>
                <w:szCs w:val="24"/>
                <w:highlight w:val="none"/>
                <w:shd w:fill="auto" w:val="clear"/>
              </w:rPr>
            </w:pPr>
            <w:r>
              <w:rPr>
                <w:bCs/>
                <w:sz w:val="24"/>
                <w:szCs w:val="24"/>
                <w:shd w:fill="auto" w:val="clear"/>
              </w:rPr>
            </w:r>
          </w:p>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Регламент РАД, в соответствии с которым проводится закупка, размещен по адресу:</w:t>
            </w:r>
          </w:p>
          <w:p>
            <w:pPr>
              <w:pStyle w:val="Style30"/>
              <w:widowControl w:val="false"/>
              <w:suppressAutoHyphens w:val="true"/>
              <w:spacing w:before="60" w:after="60"/>
              <w:rPr/>
            </w:pPr>
            <w:hyperlink r:id="rId4" w:tgtFrame="https://tender.lot-online.ru/app/EtpDocList/page">
              <w:r>
                <w:rPr>
                  <w:rStyle w:val="Hyperlink"/>
                  <w:rFonts w:eastAsia="Calibri" w:cs=""/>
                  <w:kern w:val="0"/>
                  <w:sz w:val="24"/>
                  <w:szCs w:val="24"/>
                  <w:lang w:val="ru-RU" w:eastAsia="en-US" w:bidi="ar-SA"/>
                </w:rPr>
                <w:t>https://tender.lot-online.ru/app/EtpDocList/page</w:t>
              </w:r>
            </w:hyperlink>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Участники: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4"/>
                <w:szCs w:val="24"/>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4"/>
                  <w:szCs w:val="24"/>
                  <w:lang w:val="ru-RU" w:eastAsia="en-US" w:bidi="ar-SA"/>
                </w:rPr>
                <w:t>Проекта Договора (Приложение № 2)</w:t>
              </w:r>
            </w:hyperlink>
            <w:r>
              <w:rPr>
                <w:rFonts w:eastAsia="Calibri" w:cs=""/>
                <w:kern w:val="0"/>
                <w:sz w:val="24"/>
                <w:szCs w:val="24"/>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Заказчик:</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i w:val="false"/>
                <w:sz w:val="24"/>
                <w:szCs w:val="24"/>
                <w:shd w:fill="auto" w:val="clear"/>
              </w:rPr>
              <w:t>Контактный телефон: (4162) 397-</w:t>
            </w:r>
            <w:r>
              <w:rPr>
                <w:rStyle w:val="Style18"/>
                <w:b/>
                <w:sz w:val="24"/>
                <w:szCs w:val="24"/>
                <w:shd w:fill="auto" w:val="clear"/>
              </w:rPr>
              <w:t>307</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sz w:val="24"/>
                <w:szCs w:val="24"/>
                <w:shd w:fill="auto" w:val="clear"/>
              </w:rPr>
              <w:t>Контактный телефон: (4162) 397-307</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Представитель Организатора:</w:t>
            </w:r>
          </w:p>
        </w:tc>
        <w:tc>
          <w:tcPr>
            <w:tcW w:w="5895" w:type="dxa"/>
            <w:tcBorders/>
          </w:tcPr>
          <w:p>
            <w:pPr>
              <w:pStyle w:val="Style30"/>
              <w:widowControl w:val="false"/>
              <w:suppressAutoHyphens w:val="true"/>
              <w:spacing w:before="60" w:after="60"/>
              <w:rPr/>
            </w:pPr>
            <w:r>
              <w:rPr>
                <w:rStyle w:val="Style8"/>
                <w:b w:val="false"/>
                <w:i w:val="false"/>
                <w:iCs w:val="false"/>
                <w:sz w:val="24"/>
                <w:szCs w:val="24"/>
                <w:shd w:fill="auto" w:val="clear"/>
                <w:lang w:val="ru-RU"/>
              </w:rPr>
              <w:t>Контактное лицо: Игнатова Татьяна Анатольевна Контактный телефон: 8 (4162) 397-307</w:t>
            </w:r>
          </w:p>
          <w:p>
            <w:pPr>
              <w:pStyle w:val="Style30"/>
              <w:widowControl w:val="false"/>
              <w:suppressAutoHyphens w:val="true"/>
              <w:spacing w:before="60" w:after="60"/>
              <w:rPr/>
            </w:pPr>
            <w:r>
              <w:rPr>
                <w:rStyle w:val="Style8"/>
                <w:i w:val="false"/>
                <w:iCs w:val="false"/>
                <w:sz w:val="24"/>
                <w:szCs w:val="24"/>
                <w:shd w:fill="auto" w:val="clear"/>
              </w:rPr>
              <w:t xml:space="preserve">Адрес электронной почты: </w:t>
            </w:r>
            <w:hyperlink r:id="rId5">
              <w:r>
                <w:rPr>
                  <w:rStyle w:val="Hyperlink"/>
                  <w:i w:val="false"/>
                  <w:iCs w:val="false"/>
                  <w:sz w:val="24"/>
                  <w:szCs w:val="24"/>
                  <w:shd w:fill="auto" w:val="clear"/>
                </w:rPr>
                <w:t>ignato</w:t>
              </w:r>
              <w:r>
                <w:rPr>
                  <w:rStyle w:val="Hyperlink"/>
                  <w:sz w:val="24"/>
                  <w:szCs w:val="24"/>
                </w:rPr>
                <w:t>va-ta@drsk.ru</w:t>
              </w:r>
            </w:hyperlink>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размещения Извещения о проведении закупки:</w:t>
            </w:r>
          </w:p>
        </w:tc>
        <w:tc>
          <w:tcPr>
            <w:tcW w:w="5895" w:type="dxa"/>
            <w:tcBorders/>
          </w:tcPr>
          <w:p>
            <w:pPr>
              <w:pStyle w:val="Style30"/>
              <w:widowControl w:val="false"/>
              <w:suppressAutoHyphens w:val="true"/>
              <w:spacing w:before="60" w:after="60"/>
              <w:rPr/>
            </w:pPr>
            <w:r>
              <w:rPr>
                <w:rStyle w:val="Style8"/>
                <w:rFonts w:eastAsia="Calibri" w:cs=""/>
                <w:b w:val="false"/>
                <w:bCs w:val="false"/>
                <w:i w:val="false"/>
                <w:iCs w:val="false"/>
                <w:kern w:val="0"/>
                <w:sz w:val="24"/>
                <w:szCs w:val="24"/>
                <w:shd w:fill="auto" w:val="clear"/>
                <w:lang w:val="ru-RU" w:eastAsia="en-US" w:bidi="ar-SA"/>
              </w:rPr>
              <w:t>1</w:t>
            </w:r>
            <w:r>
              <w:rPr>
                <w:rStyle w:val="Style8"/>
                <w:rFonts w:eastAsia="Calibri" w:cs=""/>
                <w:b w:val="false"/>
                <w:bCs w:val="false"/>
                <w:i w:val="false"/>
                <w:iCs w:val="false"/>
                <w:kern w:val="0"/>
                <w:sz w:val="24"/>
                <w:szCs w:val="24"/>
                <w:shd w:fill="auto" w:val="clear"/>
                <w:lang w:val="ru-RU" w:eastAsia="en-US" w:bidi="ar-SA"/>
              </w:rPr>
              <w:t>8</w:t>
            </w:r>
            <w:r>
              <w:rPr>
                <w:rStyle w:val="Style8"/>
                <w:rFonts w:eastAsia="Calibri" w:cs=""/>
                <w:b w:val="false"/>
                <w:bCs w:val="false"/>
                <w:i w:val="false"/>
                <w:iCs w:val="false"/>
                <w:kern w:val="0"/>
                <w:sz w:val="24"/>
                <w:szCs w:val="24"/>
                <w:shd w:fill="auto" w:val="clear"/>
                <w:lang w:val="ru-RU" w:eastAsia="en-US" w:bidi="ar-SA"/>
              </w:rPr>
              <w:t>.08.26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Начальная (максимальная) цена договора (цена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НМЦ составляет10 595 498,91 руб., без учета НДС.</w:t>
            </w:r>
          </w:p>
          <w:p>
            <w:pPr>
              <w:pStyle w:val="Style30"/>
              <w:widowControl w:val="false"/>
              <w:suppressAutoHyphens w:val="true"/>
              <w:spacing w:before="60" w:after="60"/>
              <w:rPr/>
            </w:pPr>
            <w:r>
              <w:rPr>
                <w:rFonts w:eastAsia="Calibri" w:cs=""/>
                <w:kern w:val="0"/>
                <w:sz w:val="24"/>
                <w:szCs w:val="24"/>
                <w:lang w:val="ru-RU" w:eastAsia="en-US" w:bidi="ar-SA"/>
              </w:rPr>
              <w:t xml:space="preserve">Обоснование НМЦ представлено в </w:t>
            </w:r>
            <w:hyperlink w:anchor="Прил09_ОбоснованиеНМЦ">
              <w:r>
                <w:rPr>
                  <w:rStyle w:val="Style11"/>
                  <w:rFonts w:eastAsia="Calibri" w:cs=""/>
                  <w:kern w:val="0"/>
                  <w:sz w:val="24"/>
                  <w:szCs w:val="24"/>
                  <w:lang w:val="ru-RU" w:eastAsia="en-US" w:bidi="ar-SA"/>
                </w:rPr>
                <w:t>Приложении № 9</w:t>
              </w:r>
            </w:hyperlink>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Обеспечение заявки на участие в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требуется.</w:t>
            </w:r>
          </w:p>
          <w:p>
            <w:pPr>
              <w:pStyle w:val="Style33"/>
              <w:widowControl w:val="false"/>
              <w:suppressAutoHyphens w:val="true"/>
              <w:spacing w:before="60" w:after="60"/>
              <w:rPr>
                <w:rStyle w:val="Style8"/>
                <w:rFonts w:ascii="Times New Roman" w:hAnsi="Times New Roman" w:eastAsia="Calibri" w:cs=""/>
                <w:i w:val="false"/>
                <w:i w:val="false"/>
                <w:iCs w:val="false"/>
                <w:kern w:val="0"/>
                <w:sz w:val="24"/>
                <w:szCs w:val="24"/>
                <w:shd w:fill="auto" w:val="clear"/>
                <w:lang w:val="ru-RU" w:eastAsia="en-US" w:bidi="ar-SA"/>
              </w:rPr>
            </w:pPr>
            <w:r>
              <w:rPr>
                <w:rFonts w:eastAsia="Calibri" w:cs=""/>
                <w:i w:val="false"/>
                <w:iCs w:val="false"/>
                <w:kern w:val="0"/>
                <w:sz w:val="24"/>
                <w:szCs w:val="24"/>
                <w:shd w:fill="auto" w:val="clear"/>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Требования</w:t>
              <w:br/>
              <w:t>к описанию продукции: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Применение законодательства о национальном режиме: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Национальный режим предоставляется.</w:t>
            </w:r>
          </w:p>
          <w:p>
            <w:pPr>
              <w:pStyle w:val="Style33"/>
              <w:keepNext w:val="true"/>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p>
            <w:pPr>
              <w:pStyle w:val="Style30"/>
              <w:widowControl w:val="false"/>
              <w:suppressAutoHyphens w:val="true"/>
              <w:spacing w:before="60" w:after="60"/>
              <w:rPr/>
            </w:pPr>
            <w:r>
              <w:rPr>
                <w:rFonts w:eastAsia="Calibri" w:cs=""/>
                <w:kern w:val="0"/>
                <w:sz w:val="24"/>
                <w:szCs w:val="24"/>
                <w:lang w:val="ru-RU" w:eastAsia="en-US" w:bidi="ar-SA"/>
              </w:rPr>
              <w:t>Национальный режим не предоставляется. Заказчик исполняет нормы в части минимальной обязательной доли закупок товаров российского происхождения. Подробные требования к стране происхождения товара изложены в Технических требованиях (</w:t>
            </w:r>
            <w:hyperlink w:anchor="Прил01_ТехТребования">
              <w:r>
                <w:rPr>
                  <w:rStyle w:val="Style11"/>
                  <w:rFonts w:eastAsia="Calibri" w:cs=""/>
                  <w:kern w:val="0"/>
                  <w:sz w:val="24"/>
                  <w:szCs w:val="24"/>
                  <w:lang w:val="ru-RU" w:eastAsia="en-US" w:bidi="ar-SA"/>
                </w:rPr>
                <w:t>Приложение № 1</w:t>
              </w:r>
            </w:hyperlink>
            <w:r>
              <w:rPr>
                <w:rFonts w:eastAsia="Calibri" w:cs=""/>
                <w:kern w:val="0"/>
                <w:sz w:val="24"/>
                <w:szCs w:val="24"/>
                <w:lang w:val="ru-RU" w:eastAsia="en-US" w:bidi="ar-SA"/>
              </w:rPr>
              <w:t>), а также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в части указания сведений, которые подтверждают страну происхождения товара.</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и порядок</w:t>
              <w:br/>
              <w:t>подачи заявок:</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Заявки подаются посредством функционала ЭП, по адресу ЭП, указанному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Заявка должна состоять из двух частей и ценового предложения.</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начала; дата и время окончания срока подачи заявок:</w:t>
            </w:r>
          </w:p>
        </w:tc>
        <w:tc>
          <w:tcPr>
            <w:tcW w:w="5895" w:type="dxa"/>
            <w:tcBorders/>
          </w:tcPr>
          <w:p>
            <w:pPr>
              <w:pStyle w:val="Style30"/>
              <w:widowControl w:val="false"/>
              <w:suppressAutoHyphens w:val="true"/>
              <w:spacing w:before="60" w:after="60"/>
              <w:rPr>
                <w:sz w:val="24"/>
                <w:szCs w:val="24"/>
              </w:rPr>
            </w:pPr>
            <w:r>
              <w:rPr>
                <w:sz w:val="24"/>
                <w:szCs w:val="24"/>
              </w:rPr>
              <w:t>Дата начала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1</w:t>
            </w:r>
            <w:r>
              <w:rPr>
                <w:rFonts w:eastAsia="Calibri" w:cs=""/>
                <w:kern w:val="0"/>
                <w:sz w:val="24"/>
                <w:szCs w:val="24"/>
                <w:lang w:val="ru-RU" w:eastAsia="en-US" w:bidi="ar-SA"/>
              </w:rPr>
              <w:t>9</w:t>
            </w:r>
            <w:r>
              <w:rPr>
                <w:rFonts w:eastAsia="Calibri" w:cs=""/>
                <w:kern w:val="0"/>
                <w:sz w:val="24"/>
                <w:szCs w:val="24"/>
                <w:lang w:val="ru-RU" w:eastAsia="en-US" w:bidi="ar-SA"/>
              </w:rPr>
              <w:t>.08.2026</w:t>
            </w:r>
          </w:p>
          <w:p>
            <w:pPr>
              <w:pStyle w:val="Style30"/>
              <w:widowControl w:val="false"/>
              <w:suppressAutoHyphens w:val="true"/>
              <w:spacing w:before="60" w:after="60"/>
              <w:rPr>
                <w:sz w:val="24"/>
                <w:szCs w:val="24"/>
              </w:rPr>
            </w:pPr>
            <w:r>
              <w:rPr>
                <w:sz w:val="24"/>
                <w:szCs w:val="24"/>
              </w:rPr>
            </w:r>
          </w:p>
          <w:p>
            <w:pPr>
              <w:pStyle w:val="Style30"/>
              <w:widowControl w:val="false"/>
              <w:suppressAutoHyphens w:val="true"/>
              <w:spacing w:before="60" w:after="60"/>
              <w:rPr>
                <w:sz w:val="24"/>
                <w:szCs w:val="24"/>
              </w:rPr>
            </w:pPr>
            <w:r>
              <w:rPr>
                <w:rFonts w:eastAsia="Calibri" w:cs=""/>
                <w:kern w:val="0"/>
                <w:sz w:val="24"/>
                <w:szCs w:val="24"/>
                <w:lang w:val="ru-RU" w:eastAsia="en-US" w:bidi="ar-SA"/>
              </w:rPr>
              <w:t>Дата и время окончания срока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2</w:t>
            </w:r>
            <w:r>
              <w:rPr>
                <w:rFonts w:eastAsia="Calibri" w:cs=""/>
                <w:kern w:val="0"/>
                <w:sz w:val="24"/>
                <w:szCs w:val="24"/>
                <w:lang w:val="ru-RU" w:eastAsia="en-US" w:bidi="ar-SA"/>
              </w:rPr>
              <w:t>8</w:t>
            </w:r>
            <w:r>
              <w:rPr>
                <w:rFonts w:eastAsia="Calibri" w:cs=""/>
                <w:kern w:val="0"/>
                <w:sz w:val="24"/>
                <w:szCs w:val="24"/>
                <w:lang w:val="ru-RU" w:eastAsia="en-US" w:bidi="ar-SA"/>
              </w:rPr>
              <w:t>.08.2026 г. в 09 ч. 00 мин.</w:t>
            </w:r>
          </w:p>
          <w:p>
            <w:pPr>
              <w:pStyle w:val="Style30"/>
              <w:widowControl w:val="false"/>
              <w:suppressAutoHyphens w:val="true"/>
              <w:spacing w:before="60" w:after="60"/>
              <w:rPr>
                <w:sz w:val="24"/>
                <w:szCs w:val="24"/>
              </w:rPr>
            </w:pPr>
            <w:r>
              <w:rPr>
                <w:sz w:val="24"/>
                <w:szCs w:val="24"/>
              </w:rPr>
              <w:t>(по московскому времени).</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предоставления Участникам разъяснений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и время окончания срока предоставления разъяснений:</w:t>
            </w:r>
          </w:p>
          <w:p>
            <w:pPr>
              <w:pStyle w:val="Style30"/>
              <w:widowControl w:val="false"/>
              <w:suppressAutoHyphens w:val="true"/>
              <w:spacing w:before="60" w:after="60"/>
              <w:rPr>
                <w:sz w:val="24"/>
                <w:szCs w:val="24"/>
              </w:rPr>
            </w:pPr>
            <w:r>
              <w:rPr>
                <w:rFonts w:eastAsia="Calibri" w:cs=""/>
                <w:kern w:val="0"/>
                <w:sz w:val="24"/>
                <w:szCs w:val="24"/>
                <w:lang w:val="ru-RU" w:eastAsia="en-US" w:bidi="ar-SA"/>
              </w:rPr>
              <w:t>2</w:t>
            </w:r>
            <w:r>
              <w:rPr>
                <w:rFonts w:eastAsia="Calibri" w:cs=""/>
                <w:kern w:val="0"/>
                <w:sz w:val="24"/>
                <w:szCs w:val="24"/>
                <w:lang w:val="ru-RU" w:eastAsia="en-US" w:bidi="ar-SA"/>
              </w:rPr>
              <w:t>8</w:t>
            </w:r>
            <w:r>
              <w:rPr>
                <w:rFonts w:eastAsia="Calibri" w:cs=""/>
                <w:kern w:val="0"/>
                <w:sz w:val="24"/>
                <w:szCs w:val="24"/>
                <w:lang w:val="ru-RU" w:eastAsia="en-US" w:bidi="ar-SA"/>
              </w:rPr>
              <w:t>.08.2026 г. в 09 ч. 00 мин.</w:t>
            </w:r>
          </w:p>
          <w:p>
            <w:pPr>
              <w:pStyle w:val="Style30"/>
              <w:widowControl w:val="false"/>
              <w:suppressAutoHyphens w:val="true"/>
              <w:spacing w:before="60" w:after="60"/>
              <w:rPr>
                <w:sz w:val="24"/>
                <w:szCs w:val="24"/>
              </w:rPr>
            </w:pPr>
            <w:r>
              <w:rPr>
                <w:sz w:val="24"/>
                <w:szCs w:val="24"/>
              </w:rPr>
              <w:t>(по московскому времени).</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_Ref125360779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2.17</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открытия</w:t>
              <w:br/>
              <w:t>доступа к заявкам:</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t>2.5</w:t>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первых частей заявок:</w:t>
            </w:r>
          </w:p>
        </w:tc>
        <w:tc>
          <w:tcPr>
            <w:tcW w:w="5895" w:type="dxa"/>
            <w:tcBorders/>
          </w:tcPr>
          <w:p>
            <w:pPr>
              <w:pStyle w:val="Style30"/>
              <w:widowControl w:val="false"/>
              <w:suppressAutoHyphens w:val="true"/>
              <w:spacing w:before="60" w:after="60"/>
              <w:rPr>
                <w:sz w:val="24"/>
                <w:szCs w:val="24"/>
              </w:rPr>
            </w:pPr>
            <w:r>
              <w:rPr>
                <w:rStyle w:val="Style8"/>
                <w:rFonts w:eastAsia="Calibri" w:cs=""/>
                <w:i w:val="false"/>
                <w:iCs w:val="false"/>
                <w:kern w:val="0"/>
                <w:sz w:val="24"/>
                <w:szCs w:val="24"/>
                <w:shd w:fill="auto" w:val="clear"/>
                <w:lang w:val="ru-RU" w:eastAsia="en-US" w:bidi="ar-SA"/>
              </w:rPr>
              <w:t>07</w:t>
            </w:r>
            <w:r>
              <w:rPr>
                <w:rStyle w:val="Style8"/>
                <w:rFonts w:eastAsia="Calibri" w:cs=""/>
                <w:i w:val="false"/>
                <w:iCs w:val="false"/>
                <w:kern w:val="0"/>
                <w:sz w:val="24"/>
                <w:szCs w:val="24"/>
                <w:shd w:fill="auto" w:val="clear"/>
                <w:lang w:val="ru-RU" w:eastAsia="en-US" w:bidi="ar-SA"/>
              </w:rPr>
              <w:t>.09.2026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направления Оператором ЭП вторых частей заявок и ценовых предложений в адрес Организатора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вторых частей заявок и ценовых предложений:</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21</w:t>
            </w:r>
            <w:r>
              <w:rPr>
                <w:rStyle w:val="Style8"/>
                <w:rFonts w:eastAsia="Calibri" w:cs=""/>
                <w:i w:val="false"/>
                <w:iCs w:val="false"/>
                <w:kern w:val="0"/>
                <w:sz w:val="24"/>
                <w:szCs w:val="24"/>
                <w:shd w:fill="auto" w:val="clear"/>
                <w:lang w:val="ru-RU" w:eastAsia="en-US" w:bidi="ar-SA"/>
              </w:rPr>
              <w:t>.09.2026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подведения</w:t>
              <w:br/>
              <w:t>итогов закупки:</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21</w:t>
            </w:r>
            <w:r>
              <w:rPr>
                <w:rStyle w:val="Style8"/>
                <w:rFonts w:eastAsia="Calibri" w:cs=""/>
                <w:i w:val="false"/>
                <w:iCs w:val="false"/>
                <w:kern w:val="0"/>
                <w:sz w:val="24"/>
                <w:szCs w:val="24"/>
                <w:shd w:fill="auto" w:val="clear"/>
                <w:lang w:val="ru-RU" w:eastAsia="en-US" w:bidi="ar-SA"/>
              </w:rPr>
              <w:t>.09.2026</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Порядок подведения итогов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Количество победителей закупки (в рамках одного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Один победитель.</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подачи документов в отношении цепочки собственников, включая конечных бенефициаров:</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pPr>
            <w:r>
              <w:rPr>
                <w:rStyle w:val="Style8"/>
                <w:sz w:val="24"/>
                <w:szCs w:val="24"/>
                <w:shd w:fill="auto" w:val="clear"/>
                <w:lang w:val="ru-RU"/>
              </w:rPr>
              <w:t>Корпоративный сайт ПАО</w:t>
            </w:r>
            <w:r>
              <w:rPr>
                <w:rStyle w:val="Style8"/>
                <w:sz w:val="24"/>
                <w:szCs w:val="24"/>
                <w:shd w:fill="auto" w:val="clear"/>
                <w:lang w:val="en-US"/>
              </w:rPr>
              <w:t> </w:t>
            </w:r>
            <w:r>
              <w:rPr>
                <w:rStyle w:val="Style8"/>
                <w:sz w:val="24"/>
                <w:szCs w:val="24"/>
                <w:shd w:fill="auto" w:val="clear"/>
                <w:lang w:val="ru-RU"/>
              </w:rPr>
              <w:t>«РусГидро», через специально созданную учетную запись (подробный порядок содержится в разделе</w:t>
            </w:r>
            <w:r>
              <w:rPr>
                <w:rStyle w:val="Style8"/>
                <w:sz w:val="24"/>
                <w:szCs w:val="24"/>
                <w:shd w:fill="auto" w:val="clear"/>
                <w:lang w:val="en-US"/>
              </w:rPr>
              <w:t> </w:t>
            </w:r>
            <w:r>
              <w:rPr>
                <w:rStyle w:val="Style8"/>
                <w:sz w:val="24"/>
                <w:szCs w:val="24"/>
                <w:shd w:fill="auto" w:val="clear"/>
                <w:lang w:val="en-US"/>
              </w:rPr>
              <w:fldChar w:fldCharType="begin"/>
            </w:r>
            <w:r>
              <w:rPr>
                <w:rStyle w:val="Style8"/>
                <w:sz w:val="24"/>
                <w:shd w:fill="auto" w:val="clear"/>
                <w:szCs w:val="24"/>
                <w:lang w:val="en-US"/>
              </w:rPr>
              <w:instrText xml:space="preserve"> REF _Ref126142429 \r \h </w:instrText>
            </w:r>
            <w:r>
              <w:rPr>
                <w:rStyle w:val="Style8"/>
                <w:sz w:val="24"/>
                <w:shd w:fill="auto" w:val="clear"/>
                <w:szCs w:val="24"/>
                <w:lang w:val="en-US"/>
              </w:rPr>
              <w:fldChar w:fldCharType="separate"/>
            </w:r>
            <w:r>
              <w:rPr>
                <w:rStyle w:val="Style8"/>
                <w:sz w:val="24"/>
                <w:shd w:fill="auto" w:val="clear"/>
                <w:szCs w:val="24"/>
                <w:lang w:val="en-US"/>
              </w:rPr>
            </w:r>
            <w:r>
              <w:rPr>
                <w:rStyle w:val="Style8"/>
                <w:sz w:val="24"/>
                <w:shd w:fill="auto" w:val="clear"/>
                <w:szCs w:val="24"/>
                <w:lang w:val="en-US"/>
              </w:rPr>
              <w:fldChar w:fldCharType="end"/>
            </w:r>
            <w:r>
              <w:rPr>
                <w:rStyle w:val="Style8"/>
                <w:sz w:val="24"/>
                <w:szCs w:val="24"/>
                <w:shd w:fill="auto" w:val="clear"/>
                <w:lang w:val="ru-RU"/>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Некритичные пункты Проекта договора:</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sz w:val="24"/>
                <w:szCs w:val="24"/>
              </w:rPr>
            </w:pPr>
            <w:r>
              <w:rPr>
                <w:sz w:val="24"/>
                <w:szCs w:val="24"/>
              </w:rPr>
              <w:t>Корпоративный сайт ПАО</w:t>
            </w:r>
            <w:r>
              <w:rPr>
                <w:sz w:val="24"/>
                <w:szCs w:val="24"/>
                <w:lang w:val="en-US"/>
              </w:rPr>
              <w:t> </w:t>
            </w:r>
            <w:r>
              <w:rPr>
                <w:sz w:val="24"/>
                <w:szCs w:val="24"/>
              </w:rPr>
              <w:t>«РусГидро», через специально созданную учетную запись (подробный порядок содержится в разделе</w:t>
            </w:r>
            <w:r>
              <w:rPr>
                <w:sz w:val="24"/>
                <w:szCs w:val="24"/>
                <w:lang w:val="en-US"/>
              </w:rPr>
              <w:t> </w:t>
            </w:r>
            <w:r>
              <w:rPr>
                <w:sz w:val="24"/>
                <w:szCs w:val="24"/>
                <w:lang w:val="en-US"/>
              </w:rPr>
              <w:fldChar w:fldCharType="begin"/>
            </w:r>
            <w:r>
              <w:rPr>
                <w:sz w:val="24"/>
                <w:szCs w:val="24"/>
                <w:lang w:val="en-US"/>
              </w:rPr>
              <w:instrText xml:space="preserve"> REF _Ref126142429 \r \h </w:instrText>
            </w:r>
            <w:r>
              <w:rPr>
                <w:sz w:val="24"/>
                <w:szCs w:val="24"/>
                <w:lang w:val="en-US"/>
              </w:rPr>
              <w:fldChar w:fldCharType="separate"/>
            </w:r>
            <w:r>
              <w:rPr>
                <w:sz w:val="24"/>
                <w:szCs w:val="24"/>
                <w:lang w:val="en-US"/>
              </w:rPr>
            </w:r>
            <w:r>
              <w:rPr>
                <w:sz w:val="24"/>
                <w:szCs w:val="24"/>
                <w:lang w:val="en-US"/>
              </w:rPr>
              <w:fldChar w:fldCharType="end"/>
            </w:r>
            <w:r>
              <w:rPr>
                <w:sz w:val="24"/>
                <w:szCs w:val="24"/>
              </w:rPr>
              <w:t>)</w:t>
            </w:r>
          </w:p>
        </w:tc>
      </w:tr>
      <w:tr>
        <w:trPr/>
        <w:tc>
          <w:tcPr>
            <w:tcW w:w="1126" w:type="dxa"/>
            <w:tcBorders/>
          </w:tcPr>
          <w:p>
            <w:pPr>
              <w:pStyle w:val="Style26"/>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highlight w:val="none"/>
                <w:shd w:fill="auto" w:val="clear"/>
                <w:lang w:val="ru-RU" w:eastAsia="en-US" w:bidi="ar-SA"/>
              </w:rPr>
            </w:pPr>
            <w:r>
              <w:rPr>
                <w:rFonts w:eastAsia="Calibri" w:cs=""/>
                <w:kern w:val="0"/>
                <w:sz w:val="24"/>
                <w:szCs w:val="24"/>
                <w:shd w:fill="auto" w:val="clear"/>
                <w:lang w:val="ru-RU" w:eastAsia="en-US" w:bidi="ar-SA"/>
              </w:rPr>
              <w:t>Обеспечение</w:t>
              <w:br/>
              <w:t>исполнения Договора:</w:t>
            </w:r>
          </w:p>
        </w:tc>
        <w:tc>
          <w:tcPr>
            <w:tcW w:w="5895" w:type="dxa"/>
            <w:tcBorders/>
          </w:tcPr>
          <w:p>
            <w:pPr>
              <w:pStyle w:val="Style33"/>
              <w:widowControl w:val="false"/>
              <w:suppressAutoHyphens w:val="true"/>
              <w:spacing w:before="60" w:after="60"/>
              <w:rPr>
                <w:rFonts w:ascii="Times New Roman" w:hAnsi="Times New Roman" w:eastAsia="Calibri" w:cs=""/>
                <w:color w:val="auto"/>
                <w:kern w:val="0"/>
                <w:sz w:val="24"/>
                <w:szCs w:val="24"/>
                <w:highlight w:val="none"/>
                <w:shd w:fill="auto" w:val="clear"/>
                <w:lang w:val="ru-RU" w:eastAsia="en-US" w:bidi="ar-SA"/>
              </w:rPr>
            </w:pPr>
            <w:r>
              <w:rPr>
                <w:rFonts w:eastAsia="Calibri" w:cs=""/>
                <w:color w:val="000000"/>
                <w:kern w:val="0"/>
                <w:sz w:val="24"/>
                <w:szCs w:val="24"/>
                <w:shd w:fill="auto" w:val="clear"/>
                <w:lang w:val="ru-RU" w:eastAsia="en-US" w:bidi="ar-SA"/>
              </w:rPr>
              <w:t>Не требуется.</w:t>
            </w:r>
          </w:p>
        </w:tc>
      </w:tr>
    </w:tbl>
    <w:p>
      <w:pPr>
        <w:pStyle w:val="Style24"/>
        <w:rPr/>
      </w:pPr>
      <w:bookmarkStart w:id="58" w:name="_Toc228877673"/>
      <w:bookmarkStart w:id="59" w:name="_Ref125360337"/>
      <w:bookmarkStart w:id="60" w:name="_Ref125360073"/>
      <w:r>
        <w:rPr/>
        <w:t>Общие положения</w:t>
      </w:r>
      <w:bookmarkEnd w:id="58"/>
      <w:bookmarkEnd w:id="59"/>
      <w:bookmarkEnd w:id="60"/>
    </w:p>
    <w:p>
      <w:pPr>
        <w:pStyle w:val="Style25"/>
        <w:rPr/>
      </w:pPr>
      <w:bookmarkStart w:id="61" w:name="_Toc228877674"/>
      <w:r>
        <w:rPr/>
        <w:t>Общие сведения о закупке</w:t>
      </w:r>
      <w:bookmarkEnd w:id="61"/>
    </w:p>
    <w:p>
      <w:pPr>
        <w:pStyle w:val="Style26"/>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2</w:t>
      </w:r>
      <w:r>
        <w:rPr/>
        <w:fldChar w:fldCharType="end"/>
      </w:r>
      <w:r>
        <w:rPr/>
        <w:t>, к участию в закупке на право заключения договора, предмет которого указан в том же подразделе.</w:t>
      </w:r>
    </w:p>
    <w:p>
      <w:pPr>
        <w:pStyle w:val="Style26"/>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r>
      <w:r>
        <w:rPr/>
        <w:fldChar w:fldCharType="end"/>
      </w:r>
      <w:r>
        <w:rPr/>
        <w:t xml:space="preserve"> Документации о закупке.</w:t>
      </w:r>
    </w:p>
    <w:p>
      <w:pPr>
        <w:pStyle w:val="Style26"/>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r>
      <w:r>
        <w:rPr/>
        <w:fldChar w:fldCharType="end"/>
      </w:r>
      <w:r>
        <w:rPr/>
        <w:t xml:space="preserve">, </w:t>
      </w:r>
      <w:r>
        <w:rPr/>
        <w:fldChar w:fldCharType="begin"/>
      </w:r>
      <w:r>
        <w:rPr/>
        <w:instrText xml:space="preserve"> REF _Ref126142429 \r \h </w:instrText>
      </w:r>
      <w:r>
        <w:rPr/>
        <w:fldChar w:fldCharType="separate"/>
      </w:r>
      <w:r>
        <w:rPr/>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5"/>
        <w:rPr/>
      </w:pPr>
      <w:bookmarkStart w:id="62" w:name="_Toc228877675"/>
      <w:r>
        <w:rPr/>
        <w:t>Правовой статус документов</w:t>
      </w:r>
      <w:bookmarkEnd w:id="62"/>
    </w:p>
    <w:p>
      <w:pPr>
        <w:pStyle w:val="Style26"/>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2.9</w:t>
      </w:r>
      <w:r>
        <w:rPr/>
        <w:fldChar w:fldCharType="end"/>
      </w:r>
      <w:bookmarkEnd w:id="63"/>
      <w:r>
        <w:rPr/>
        <w:t>.</w:t>
      </w:r>
    </w:p>
    <w:p>
      <w:pPr>
        <w:pStyle w:val="Style26"/>
        <w:rPr/>
      </w:pPr>
      <w:r>
        <w:rPr/>
        <w:t>Заключенный по результатам закупки Договор, в том числе, фиксирует все достигнутые сторонами договоренности.</w:t>
      </w:r>
    </w:p>
    <w:p>
      <w:pPr>
        <w:pStyle w:val="Style26"/>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rPr/>
      </w:pPr>
      <w:r>
        <w:rPr/>
        <w:t>Иные документы Организатора и Участников не определяют права и обязанности сторон в связи с данной закупкой.</w:t>
      </w:r>
    </w:p>
    <w:p>
      <w:pPr>
        <w:pStyle w:val="Style26"/>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pPr>
      <w:bookmarkStart w:id="64" w:name="_Toc228877676"/>
      <w:bookmarkStart w:id="65" w:name="_Ref125363536"/>
      <w:r>
        <w:rPr/>
        <w:t>Обжалование</w:t>
      </w:r>
      <w:bookmarkEnd w:id="64"/>
      <w:bookmarkEnd w:id="65"/>
    </w:p>
    <w:p>
      <w:pPr>
        <w:pStyle w:val="Style26"/>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pPr>
      <w:r>
        <w:rPr/>
        <w:t>признать заявление Участника необоснованным.</w:t>
      </w:r>
    </w:p>
    <w:p>
      <w:pPr>
        <w:pStyle w:val="Style26"/>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6"/>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301278"/>
      <w:bookmarkStart w:id="67" w:name="_Hlk219296876"/>
      <w:r>
        <w:rPr/>
        <w:t>Красноярского края</w:t>
      </w:r>
      <w:bookmarkEnd w:id="66"/>
      <w:bookmarkEnd w:id="67"/>
      <w:r>
        <w:rPr/>
        <w:t>.</w:t>
      </w:r>
    </w:p>
    <w:p>
      <w:pPr>
        <w:pStyle w:val="Style30"/>
        <w:ind w:left="1134" w:hanging="0"/>
        <w:rPr/>
      </w:pPr>
      <w:r>
        <w:rPr/>
        <w:t>Закупочная комиссия определяется в соответствии с Положением о закупке.</w:t>
      </w:r>
    </w:p>
    <w:p>
      <w:pPr>
        <w:pStyle w:val="Style25"/>
        <w:rPr/>
      </w:pPr>
      <w:bookmarkStart w:id="68" w:name="_Toc228877677"/>
      <w:r>
        <w:rPr/>
        <w:t>Особые положения при проведении закупки с использованием ЭП</w:t>
      </w:r>
      <w:bookmarkEnd w:id="68"/>
    </w:p>
    <w:p>
      <w:pPr>
        <w:pStyle w:val="Style26"/>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6"/>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rPr/>
      </w:pPr>
      <w:r>
        <w:rPr/>
        <w:t>Правила проведения закупки в том числе определяются Регламентом ЭП.</w:t>
      </w:r>
    </w:p>
    <w:p>
      <w:pPr>
        <w:pStyle w:val="Style26"/>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6"/>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5"/>
        <w:rPr/>
      </w:pPr>
      <w:bookmarkStart w:id="69" w:name="_Toc228877678"/>
      <w:r>
        <w:rPr/>
        <w:t>Прочие положения</w:t>
      </w:r>
      <w:bookmarkEnd w:id="69"/>
    </w:p>
    <w:p>
      <w:pPr>
        <w:pStyle w:val="Style26"/>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6"/>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pPr>
      <w:bookmarkStart w:id="70" w:name="_Toc228877679"/>
      <w:bookmarkStart w:id="71" w:name="_Ref125361210"/>
      <w:r>
        <w:rPr/>
        <w:t>Требования к Участникам</w:t>
      </w:r>
      <w:bookmarkEnd w:id="70"/>
      <w:bookmarkEnd w:id="71"/>
    </w:p>
    <w:p>
      <w:pPr>
        <w:pStyle w:val="Style25"/>
        <w:rPr/>
      </w:pPr>
      <w:bookmarkStart w:id="72" w:name="_Toc228877680"/>
      <w:bookmarkStart w:id="73" w:name="_Ref127524530"/>
      <w:r>
        <w:rPr/>
        <w:t>Общие требования к Участникам</w:t>
      </w:r>
      <w:bookmarkEnd w:id="72"/>
      <w:bookmarkEnd w:id="73"/>
    </w:p>
    <w:p>
      <w:pPr>
        <w:pStyle w:val="Style26"/>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6"/>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6"/>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7"/>
        <w:rPr/>
      </w:pPr>
      <w:r>
        <w:rPr/>
        <w:t>обязательные требования (подраздел </w:t>
      </w:r>
      <w:r>
        <w:rPr/>
        <w:fldChar w:fldCharType="begin"/>
      </w:r>
      <w:r>
        <w:rPr/>
        <w:instrText xml:space="preserve"> REF _Ref125361435 \r \h </w:instrText>
      </w:r>
      <w:r>
        <w:rPr/>
        <w:fldChar w:fldCharType="separate"/>
      </w:r>
      <w:r>
        <w:rPr/>
        <w:t>2</w:t>
      </w:r>
      <w:r>
        <w:rPr/>
        <w:fldChar w:fldCharType="end"/>
      </w:r>
      <w:r>
        <w:rPr/>
        <w:t>) – Участники должны им соответствовать;</w:t>
      </w:r>
    </w:p>
    <w:p>
      <w:pPr>
        <w:pStyle w:val="Style27"/>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3</w:t>
      </w:r>
      <w:r>
        <w:rPr/>
        <w:fldChar w:fldCharType="end"/>
      </w:r>
      <w:r>
        <w:rPr/>
        <w:t>).</w:t>
      </w:r>
    </w:p>
    <w:p>
      <w:pPr>
        <w:pStyle w:val="Style26"/>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2</w:t>
      </w:r>
      <w:r>
        <w:rPr/>
        <w:fldChar w:fldCharType="end"/>
      </w:r>
      <w:r>
        <w:rPr/>
        <w:t>).</w:t>
      </w:r>
    </w:p>
    <w:p>
      <w:pPr>
        <w:pStyle w:val="Style26"/>
        <w:rPr/>
      </w:pPr>
      <w:bookmarkStart w:id="75" w:name="_Ref125361976"/>
      <w:bookmarkStart w:id="76" w:name="_Ref125361969"/>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5"/>
        <w:rPr/>
      </w:pPr>
      <w:bookmarkStart w:id="78" w:name="_Toc228877681"/>
      <w:bookmarkStart w:id="79" w:name="_Ref125361702"/>
      <w:bookmarkStart w:id="80" w:name="_Ref125361976_Копия_1"/>
      <w:bookmarkStart w:id="81" w:name="_Ref125361969_Копия_1"/>
      <w:bookmarkStart w:id="82" w:name="_Toc224743801"/>
      <w:bookmarkStart w:id="83" w:name="_Toc224743800"/>
      <w:bookmarkStart w:id="84" w:name="_Toc224743799"/>
      <w:bookmarkStart w:id="85" w:name="_Toc224743798"/>
      <w:bookmarkStart w:id="86" w:name="_Toc224743797"/>
      <w:bookmarkStart w:id="87" w:name="_Toc224743796"/>
      <w:bookmarkStart w:id="88" w:name="_Toc224743795"/>
      <w:bookmarkStart w:id="89" w:name="_Toc224743794"/>
      <w:bookmarkStart w:id="90" w:name="_Toc224743793"/>
      <w:bookmarkStart w:id="91" w:name="_Toc224743792"/>
      <w:bookmarkStart w:id="92" w:name="_Toc224743791"/>
      <w:bookmarkStart w:id="93" w:name="_Toc224743790"/>
      <w:bookmarkStart w:id="94" w:name="_Toc224743789"/>
      <w:bookmarkStart w:id="95" w:name="_Toc224743788"/>
      <w:bookmarkStart w:id="96" w:name="_Toc224743787"/>
      <w:bookmarkStart w:id="97" w:name="_Toc224743786"/>
      <w:bookmarkStart w:id="98" w:name="_Toc224743785"/>
      <w:bookmarkStart w:id="99" w:name="_Toc224743784"/>
      <w:bookmarkStart w:id="100" w:name="_Toc224743783"/>
      <w:bookmarkStart w:id="101" w:name="_Toc224743782"/>
      <w:bookmarkStart w:id="102" w:name="_Toc22474378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6"/>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предусмотрены рассмотрение и оценка заявок Участников с учетом привлекаемых субподрядчиков.</w:t>
      </w:r>
    </w:p>
    <w:p>
      <w:pPr>
        <w:pStyle w:val="Style26"/>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6"/>
        <w:keepNext w:val="true"/>
        <w:rPr/>
      </w:pPr>
      <w:r>
        <w:rPr/>
        <w:t>Генеральный подрядчик:</w:t>
      </w:r>
    </w:p>
    <w:p>
      <w:pPr>
        <w:pStyle w:val="Style27"/>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в рамках специальных требований (подраздел </w:t>
      </w:r>
      <w:r>
        <w:rPr/>
        <w:fldChar w:fldCharType="begin"/>
      </w:r>
      <w:r>
        <w:rPr/>
        <w:instrText xml:space="preserve"> REF _Ref125709153 \r \h </w:instrText>
      </w:r>
      <w:r>
        <w:rPr/>
        <w:fldChar w:fldCharType="separate"/>
      </w:r>
      <w:r>
        <w:rPr/>
        <w:t>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keepNext w:val="true"/>
        <w:rPr/>
      </w:pPr>
      <w:r>
        <w:rPr/>
        <w:t>Каждый субподрядчик из привлекаемых Генеральным подрядчиком должен отвечать:</w:t>
      </w:r>
    </w:p>
    <w:p>
      <w:pPr>
        <w:pStyle w:val="Style27"/>
        <w:rPr/>
      </w:pPr>
      <w:r>
        <w:rPr/>
        <w:t>обязательным требованиям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специальным требованиям (подраздел </w:t>
      </w:r>
      <w:r>
        <w:rPr/>
        <w:fldChar w:fldCharType="begin"/>
      </w:r>
      <w:r>
        <w:rPr/>
        <w:instrText xml:space="preserve"> REF _Ref125709153 \r \h </w:instrText>
      </w:r>
      <w:r>
        <w:rPr/>
        <w:fldChar w:fldCharType="separate"/>
      </w:r>
      <w:r>
        <w:rPr/>
        <w:t>3</w:t>
      </w:r>
      <w:r>
        <w:rPr/>
        <w:fldChar w:fldCharType="end"/>
      </w:r>
      <w:r>
        <w:rPr/>
        <w:t>) (в случае их установления), за исключением требования о наличии членства в саморегулируемых организациях.</w:t>
      </w:r>
    </w:p>
    <w:p>
      <w:pPr>
        <w:pStyle w:val="Style30"/>
        <w:ind w:left="1134" w:hanging="0"/>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6"/>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6"/>
          <w:footerReference w:type="defaul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pPr>
      <w:r>
        <w:rPr/>
        <w:t>Если подразделом </w:t>
      </w:r>
      <w:r>
        <w:rPr/>
        <w:fldChar w:fldCharType="begin"/>
      </w:r>
      <w:r>
        <w:rPr/>
        <w:instrText xml:space="preserve"> REF _Ref125359973 \r \h </w:instrText>
      </w:r>
      <w:r>
        <w:rPr/>
        <w:fldChar w:fldCharType="separate"/>
      </w:r>
      <w:r>
        <w:rPr/>
        <w:t>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105" w:name="_Toc228877682"/>
      <w:bookmarkStart w:id="106" w:name="_Ref125367974"/>
      <w:bookmarkStart w:id="107" w:name="_Ref125367107"/>
      <w:bookmarkStart w:id="108" w:name="_Ref125367098"/>
      <w:bookmarkStart w:id="109" w:name="_Ref125361211"/>
      <w:r>
        <w:rPr/>
        <w:t>Порядок проведения закупки</w:t>
      </w:r>
      <w:bookmarkEnd w:id="105"/>
      <w:bookmarkEnd w:id="106"/>
      <w:bookmarkEnd w:id="107"/>
      <w:bookmarkEnd w:id="108"/>
      <w:bookmarkEnd w:id="109"/>
    </w:p>
    <w:p>
      <w:pPr>
        <w:pStyle w:val="Style25"/>
        <w:rPr/>
      </w:pPr>
      <w:bookmarkStart w:id="110" w:name="_Toc228877683"/>
      <w:bookmarkStart w:id="111" w:name="_Ref126141932"/>
      <w:r>
        <w:rPr/>
        <w:t>Общий порядок проведения закупки</w:t>
      </w:r>
      <w:bookmarkEnd w:id="110"/>
      <w:bookmarkEnd w:id="111"/>
    </w:p>
    <w:p>
      <w:pPr>
        <w:pStyle w:val="Style26"/>
        <w:keepNext w:val="true"/>
        <w:spacing w:before="120" w:after="12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30"/>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30"/>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112" w:name="_Toc228877684"/>
      <w:bookmarkStart w:id="113" w:name="_Ref130286532"/>
      <w:r>
        <w:rPr/>
        <w:t>Официальное размещение Извещения и Документации о закупке</w:t>
      </w:r>
      <w:bookmarkEnd w:id="112"/>
      <w:bookmarkEnd w:id="113"/>
    </w:p>
    <w:p>
      <w:pPr>
        <w:pStyle w:val="Style26"/>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6"/>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pPr>
      <w:bookmarkStart w:id="115" w:name="_Toc228877685"/>
      <w:bookmarkStart w:id="116" w:name="_Ref130394681"/>
      <w:bookmarkStart w:id="117" w:name="_Ref130281199"/>
      <w:r>
        <w:rPr/>
        <w:t>Подготовка заявки</w:t>
      </w:r>
      <w:bookmarkEnd w:id="115"/>
      <w:bookmarkEnd w:id="116"/>
      <w:bookmarkEnd w:id="117"/>
    </w:p>
    <w:p>
      <w:pPr>
        <w:pStyle w:val="Style26"/>
        <w:rPr/>
      </w:pPr>
      <w:r>
        <w:rPr/>
        <w:t>Участник должен подготовить заявку с учетом требований Документации о закупке.</w:t>
      </w:r>
    </w:p>
    <w:p>
      <w:pPr>
        <w:pStyle w:val="Style26"/>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6"/>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6"/>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6"/>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6"/>
        <w:rPr/>
      </w:pPr>
      <w:bookmarkStart w:id="119" w:name="_Ref125365866"/>
      <w:bookmarkStart w:id="120"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6"/>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6"/>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rPr/>
      </w:pPr>
      <w:bookmarkStart w:id="121" w:name="_Ref125370708"/>
      <w:bookmarkStart w:id="122"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2</w:t>
      </w:r>
      <w:r>
        <w:rPr/>
        <w:fldChar w:fldCharType="end"/>
      </w:r>
      <w:r>
        <w:rPr/>
        <w:t>), в противном случае заявка будет отклонена.</w:t>
      </w:r>
    </w:p>
    <w:p>
      <w:pPr>
        <w:pStyle w:val="Style26"/>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6"/>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6"/>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pPr>
      <w:r>
        <w:rPr/>
        <w:t>внутренние противоречия между различными частями и (или) документами заявки, в том числе по тексту внутри одного документа;</w:t>
      </w:r>
    </w:p>
    <w:p>
      <w:pPr>
        <w:pStyle w:val="Style27"/>
        <w:rPr/>
      </w:pPr>
      <w:bookmarkStart w:id="123" w:name="_Ref125714384"/>
      <w:bookmarkStart w:id="124" w:name="_Ref125370398"/>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6"/>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pPr>
      <w:r>
        <w:rPr/>
        <w:t>полномочий таких органов / лиц на оформление этих документов;</w:t>
      </w:r>
    </w:p>
    <w:p>
      <w:pPr>
        <w:pStyle w:val="Style27"/>
        <w:rPr/>
      </w:pPr>
      <w:r>
        <w:rPr/>
        <w:t>формы, объема и содержания этих документов.</w:t>
      </w:r>
    </w:p>
    <w:p>
      <w:pPr>
        <w:pStyle w:val="Style26"/>
        <w:keepNext w:val="true"/>
        <w:rPr/>
      </w:pPr>
      <w:r>
        <w:rPr/>
        <w:t>Участник должен подготовить заявку с соблюдением следующих условий:</w:t>
      </w:r>
    </w:p>
    <w:p>
      <w:pPr>
        <w:pStyle w:val="Style27"/>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7"/>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pPr>
      <w:r>
        <w:rPr/>
        <w:t>все файлы не должны иметь защиты от их открытия, изменения, копирования их содержимого или их печати;</w:t>
      </w:r>
    </w:p>
    <w:p>
      <w:pPr>
        <w:pStyle w:val="Style27"/>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pPr>
      <w:r>
        <w:rPr/>
        <w:t>если какой-либо документ представлен в нечитаемом виде, данный документ считается непредставленным.</w:t>
      </w:r>
    </w:p>
    <w:p>
      <w:pPr>
        <w:pStyle w:val="Style26"/>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pPr>
      <w:bookmarkStart w:id="125" w:name="_Ref125366672"/>
      <w:bookmarkStart w:id="126" w:name="_Ref125362071"/>
      <w:bookmarkStart w:id="127" w:name="_Ref125361260"/>
      <w:bookmarkStart w:id="128" w:name="_Toc228877686"/>
      <w:bookmarkStart w:id="129" w:name="_Ref130394802"/>
      <w:bookmarkStart w:id="130" w:name="_Ref130394785"/>
      <w:bookmarkStart w:id="131" w:name="_Ref130394205"/>
      <w:r>
        <w:rPr/>
        <w:t>Разъяснение Документации о закупке</w:t>
      </w:r>
      <w:bookmarkEnd w:id="125"/>
      <w:bookmarkEnd w:id="126"/>
      <w:bookmarkEnd w:id="127"/>
      <w:bookmarkEnd w:id="128"/>
      <w:bookmarkEnd w:id="129"/>
      <w:bookmarkEnd w:id="130"/>
      <w:bookmarkEnd w:id="131"/>
    </w:p>
    <w:p>
      <w:pPr>
        <w:pStyle w:val="Style26"/>
        <w:rPr/>
      </w:pPr>
      <w:r>
        <w:rPr/>
        <w:t>Участники вправе обратиться к Организатору за разъяснениями Документации о закупке.</w:t>
      </w:r>
    </w:p>
    <w:p>
      <w:pPr>
        <w:pStyle w:val="Style26"/>
        <w:rPr/>
      </w:pPr>
      <w:r>
        <w:rPr/>
        <w:t>Запросы подаются в соответствии с Регламентами и инструкциями Оператора ЭП, опубликованными на сайте соответствующей ЭП.</w:t>
      </w:r>
    </w:p>
    <w:p>
      <w:pPr>
        <w:pStyle w:val="Style26"/>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pPr>
      <w:bookmarkStart w:id="132" w:name="_Toc228877687"/>
      <w:bookmarkStart w:id="133" w:name="_Ref125364404"/>
      <w:bookmarkStart w:id="134" w:name="_Ref125363891"/>
      <w:bookmarkStart w:id="135" w:name="_Ref125362076"/>
      <w:r>
        <w:rPr/>
        <w:t>Изменения Извещения и (или) Документации о закупке</w:t>
      </w:r>
      <w:bookmarkEnd w:id="132"/>
      <w:bookmarkEnd w:id="133"/>
      <w:bookmarkEnd w:id="134"/>
      <w:bookmarkEnd w:id="135"/>
    </w:p>
    <w:p>
      <w:pPr>
        <w:pStyle w:val="Style26"/>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7"/>
        <w:rPr/>
      </w:pPr>
      <w:r>
        <w:rPr/>
        <w:t>рассмотрения первых частей заявок;</w:t>
      </w:r>
    </w:p>
    <w:p>
      <w:pPr>
        <w:pStyle w:val="Style27"/>
        <w:rPr/>
      </w:pPr>
      <w:r>
        <w:rPr/>
        <w:t>рассмотрения вторых частей заявок и ценовых предложений;</w:t>
      </w:r>
    </w:p>
    <w:p>
      <w:pPr>
        <w:pStyle w:val="Style27"/>
        <w:rPr/>
      </w:pPr>
      <w:r>
        <w:rPr/>
        <w:t>подведения итогов закупки;</w:t>
      </w:r>
    </w:p>
    <w:p>
      <w:pPr>
        <w:pStyle w:val="Style30"/>
        <w:ind w:left="1134" w:hanging="0"/>
        <w:rPr/>
      </w:pPr>
      <w:bookmarkStart w:id="136" w:name="_Ref125550844"/>
      <w:r>
        <w:rPr/>
        <w:t>в пределах срока действия заявок и с уведомлением Участников, подавших заявки.</w:t>
      </w:r>
      <w:bookmarkEnd w:id="136"/>
    </w:p>
    <w:p>
      <w:pPr>
        <w:pStyle w:val="Style26"/>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6"/>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pPr>
      <w:bookmarkStart w:id="137" w:name="_Toc228877688"/>
      <w:bookmarkStart w:id="138" w:name="_Ref125362119"/>
      <w:r>
        <w:rPr/>
        <w:t>Подача заявок и их прием</w:t>
      </w:r>
      <w:bookmarkEnd w:id="137"/>
      <w:bookmarkEnd w:id="138"/>
    </w:p>
    <w:p>
      <w:pPr>
        <w:pStyle w:val="Style26"/>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6"/>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6"/>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5"/>
        <w:rPr/>
      </w:pPr>
      <w:bookmarkStart w:id="140" w:name="_Toc228877689"/>
      <w:bookmarkStart w:id="141" w:name="_Ref125365136"/>
      <w:bookmarkStart w:id="142" w:name="_Ref125363819"/>
      <w:bookmarkStart w:id="143" w:name="_Ref125362192"/>
      <w:bookmarkStart w:id="144" w:name="_Ref125362130"/>
      <w:r>
        <w:rPr/>
        <w:t>Изменение и отзыв заявок</w:t>
      </w:r>
      <w:bookmarkEnd w:id="140"/>
      <w:bookmarkEnd w:id="141"/>
      <w:bookmarkEnd w:id="142"/>
      <w:bookmarkEnd w:id="143"/>
      <w:bookmarkEnd w:id="144"/>
    </w:p>
    <w:p>
      <w:pPr>
        <w:pStyle w:val="Style26"/>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6</w:t>
      </w:r>
      <w:r>
        <w:rPr/>
        <w:fldChar w:fldCharType="end"/>
      </w:r>
      <w:r>
        <w:rPr/>
        <w:t>.</w:t>
      </w:r>
    </w:p>
    <w:p>
      <w:pPr>
        <w:pStyle w:val="Style26"/>
        <w:rPr/>
      </w:pPr>
      <w:r>
        <w:rPr/>
        <w:t>Изменения и отзыв заявки осуществляется посредством функционала ЭП (подробный порядок определяется Регламентом ЭП).</w:t>
      </w:r>
    </w:p>
    <w:p>
      <w:pPr>
        <w:pStyle w:val="Style25"/>
        <w:rPr/>
      </w:pPr>
      <w:bookmarkStart w:id="145" w:name="_Toc228877690"/>
      <w:bookmarkStart w:id="146" w:name="_Ref132816188"/>
      <w:r>
        <w:rPr/>
        <w:t>Открытие доступа к первым частям заявок</w:t>
      </w:r>
      <w:bookmarkEnd w:id="145"/>
      <w:bookmarkEnd w:id="146"/>
    </w:p>
    <w:p>
      <w:pPr>
        <w:pStyle w:val="Style26"/>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bookmarkEnd w:id="147"/>
    </w:p>
    <w:p>
      <w:pPr>
        <w:pStyle w:val="Style26"/>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5"/>
        <w:rPr/>
      </w:pPr>
      <w:bookmarkStart w:id="149" w:name="_Toc228877691"/>
      <w:bookmarkStart w:id="150" w:name="_Ref125366689"/>
      <w:bookmarkStart w:id="151" w:name="_Ref125362364"/>
      <w:r>
        <w:rPr/>
        <w:t>Рассмотрение первых частей заявок (отборочная стадия)</w:t>
      </w:r>
      <w:bookmarkEnd w:id="149"/>
      <w:bookmarkEnd w:id="150"/>
      <w:bookmarkEnd w:id="151"/>
    </w:p>
    <w:p>
      <w:pPr>
        <w:pStyle w:val="Style26"/>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6"/>
        <w:rPr/>
      </w:pPr>
      <w:r>
        <w:rPr/>
        <w:t>Рассмотрение первых частей заявок проводится на основании представленных в составе заявки документов и сведений.</w:t>
      </w:r>
    </w:p>
    <w:p>
      <w:pPr>
        <w:pStyle w:val="Style26"/>
        <w:keepNext w:val="true"/>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7"/>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7"/>
        <w:rPr/>
      </w:pPr>
      <w:r>
        <w:rPr/>
        <w:t>несоответствие предлагаемой продукции требованиям Документации о закупке, в том числе порядка описания такой продукции;</w:t>
      </w:r>
    </w:p>
    <w:p>
      <w:pPr>
        <w:pStyle w:val="Style27"/>
        <w:rPr/>
      </w:pPr>
      <w:r>
        <w:rPr/>
        <w:t>несоответствие предлагаемых договорных условий требованиям Документации о закупке;</w:t>
      </w:r>
    </w:p>
    <w:p>
      <w:pPr>
        <w:pStyle w:val="Style27"/>
        <w:rPr/>
      </w:pPr>
      <w:r>
        <w:rPr/>
        <w:t>наличие в документах первой части заявки сведений об Участники и (или) о его ценовом предложении.</w:t>
      </w:r>
    </w:p>
    <w:p>
      <w:pPr>
        <w:pStyle w:val="Style26"/>
        <w:keepNext w:val="true"/>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идентификационные номера, присваиваемые Оператором ЭП;</w:t>
      </w:r>
    </w:p>
    <w:p>
      <w:pPr>
        <w:pStyle w:val="Style27"/>
        <w:keepNext w:val="true"/>
        <w:rPr/>
      </w:pPr>
      <w:r>
        <w:rPr/>
        <w:t>результаты рассмотрения первых частей заявок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первых частей заявок;</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3" w:name="_Toc228877692"/>
      <w:bookmarkStart w:id="154" w:name="_Ref132801184"/>
      <w:r>
        <w:rPr/>
        <w:t>Открытие доступа ко вторым частям заявок и ценовым предложениям</w:t>
      </w:r>
      <w:bookmarkEnd w:id="153"/>
      <w:bookmarkEnd w:id="154"/>
    </w:p>
    <w:p>
      <w:pPr>
        <w:pStyle w:val="Style26"/>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5"/>
        <w:rPr/>
      </w:pPr>
      <w:bookmarkStart w:id="155" w:name="_Toc228877693"/>
      <w:bookmarkStart w:id="156"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6"/>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6"/>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7"/>
        <w:rPr/>
      </w:pPr>
      <w:r>
        <w:rPr/>
        <w:t>в результате суммирования единичных расценок;</w:t>
      </w:r>
    </w:p>
    <w:p>
      <w:pPr>
        <w:pStyle w:val="Style27"/>
        <w:rPr/>
      </w:pPr>
      <w:r>
        <w:rPr/>
        <w:t>в итогах умножения единичных расценок на объем продукции;</w:t>
      </w:r>
    </w:p>
    <w:p>
      <w:pPr>
        <w:pStyle w:val="Style27"/>
        <w:rPr/>
      </w:pPr>
      <w:r>
        <w:rPr/>
        <w:t>в вычислении суммы НДС и итоговой стоимости заявки с учетом НДС);</w:t>
      </w:r>
    </w:p>
    <w:p>
      <w:pPr>
        <w:pStyle w:val="Style27"/>
        <w:rPr/>
      </w:pPr>
      <w:r>
        <w:rPr/>
        <w:t>иных внутренних противоречий в составе заявки,</w:t>
      </w:r>
    </w:p>
    <w:p>
      <w:pPr>
        <w:pStyle w:val="Style30"/>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7"/>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11.4</w:t>
      </w:r>
      <w:r>
        <w:rPr/>
        <w:fldChar w:fldCharType="end"/>
      </w:r>
      <w:r>
        <w:rPr/>
        <w:t>);</w:t>
      </w:r>
    </w:p>
    <w:p>
      <w:pPr>
        <w:pStyle w:val="Style27"/>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7"/>
        <w:rPr/>
      </w:pPr>
      <w:r>
        <w:rPr/>
        <w:t>несоответствие Участников требованиям Документации о закупке;</w:t>
      </w:r>
    </w:p>
    <w:p>
      <w:pPr>
        <w:pStyle w:val="Style27"/>
        <w:rPr/>
      </w:pPr>
      <w:r>
        <w:rPr/>
        <w:t>несоответствие привлекаемых субподрядчиков (соисполнителей) требованиям Документации о закупке;</w:t>
      </w:r>
    </w:p>
    <w:p>
      <w:pPr>
        <w:pStyle w:val="Style27"/>
        <w:rPr/>
      </w:pPr>
      <w:r>
        <w:rPr/>
        <w:t>превышение ценового предложения над установленным размером НМЦ.</w:t>
      </w:r>
    </w:p>
    <w:p>
      <w:pPr>
        <w:pStyle w:val="Style26"/>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7"/>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7"/>
        <w:keepNext w:val="true"/>
        <w:rPr/>
      </w:pPr>
      <w:r>
        <w:rPr/>
        <w:t>результаты рассмотрения вторых частей заявок и ценовых предложений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9" w:name="_Toc228877694"/>
      <w:bookmarkStart w:id="160" w:name="_Ref125362610"/>
      <w:bookmarkStart w:id="161" w:name="_Ref125362464"/>
      <w:bookmarkStart w:id="162" w:name="_Ref125362425"/>
      <w:bookmarkStart w:id="163" w:name="_Ref125362381"/>
      <w:r>
        <w:rPr/>
        <w:t>Дополнительные запросы разъяснений заявок</w:t>
      </w:r>
      <w:bookmarkEnd w:id="159"/>
      <w:bookmarkEnd w:id="160"/>
      <w:bookmarkEnd w:id="161"/>
      <w:bookmarkEnd w:id="162"/>
      <w:bookmarkEnd w:id="163"/>
    </w:p>
    <w:p>
      <w:pPr>
        <w:pStyle w:val="Style26"/>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7"/>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8"/>
        <w:numPr>
          <w:ilvl w:val="0"/>
          <w:numId w:val="0"/>
        </w:numPr>
        <w:ind w:left="0" w:hanging="0"/>
        <w:rPr/>
      </w:pPr>
      <w:r>
        <w:rPr/>
        <w:t>соответствия Участника требованиям Документации о закупке;</w:t>
      </w:r>
    </w:p>
    <w:p>
      <w:pPr>
        <w:pStyle w:val="Style28"/>
        <w:numPr>
          <w:ilvl w:val="0"/>
          <w:numId w:val="0"/>
        </w:numPr>
        <w:ind w:left="0" w:hanging="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8"/>
        <w:numPr>
          <w:ilvl w:val="0"/>
          <w:numId w:val="0"/>
        </w:numPr>
        <w:ind w:left="0" w:hanging="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14</w:t>
      </w:r>
      <w:r>
        <w:rPr/>
        <w:fldChar w:fldCharType="end"/>
      </w:r>
      <w:r>
        <w:rPr/>
        <w:t>), договорных условий и расчета цены Договора;</w:t>
      </w:r>
    </w:p>
    <w:p>
      <w:pPr>
        <w:pStyle w:val="Style27"/>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7"/>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6"/>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12.1б)</w:t>
      </w:r>
      <w:r>
        <w:rPr/>
        <w:fldChar w:fldCharType="end"/>
      </w:r>
      <w:r>
        <w:rPr/>
        <w:t>).</w:t>
      </w:r>
    </w:p>
    <w:p>
      <w:pPr>
        <w:pStyle w:val="Style26"/>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9.4</w:t>
      </w:r>
      <w:r>
        <w:rPr/>
        <w:fldChar w:fldCharType="end"/>
      </w:r>
      <w:r>
        <w:rPr/>
        <w:t xml:space="preserve">, </w:t>
      </w:r>
      <w:r>
        <w:rPr/>
        <w:fldChar w:fldCharType="begin"/>
      </w:r>
      <w:r>
        <w:rPr/>
        <w:instrText xml:space="preserve"> REF _Ref132793926 \r \h </w:instrText>
      </w:r>
      <w:r>
        <w:rPr/>
        <w:fldChar w:fldCharType="separate"/>
      </w:r>
      <w:r>
        <w:rPr/>
        <w:t>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12.1</w:t>
      </w:r>
      <w:r>
        <w:rPr/>
        <w:fldChar w:fldCharType="end"/>
      </w:r>
      <w:r>
        <w:rPr/>
        <w:t>.</w:t>
      </w:r>
    </w:p>
    <w:p>
      <w:pPr>
        <w:pStyle w:val="Style26"/>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9.4</w:t>
      </w:r>
      <w:r>
        <w:rPr/>
        <w:fldChar w:fldCharType="end"/>
      </w:r>
      <w:r>
        <w:rPr/>
        <w:t xml:space="preserve">, </w:t>
      </w:r>
      <w:r>
        <w:rPr/>
        <w:fldChar w:fldCharType="begin"/>
      </w:r>
      <w:r>
        <w:rPr/>
        <w:instrText xml:space="preserve"> REF _Ref132793926 \r \h </w:instrText>
      </w:r>
      <w:r>
        <w:rPr/>
        <w:fldChar w:fldCharType="separate"/>
      </w:r>
      <w:r>
        <w:rPr/>
        <w:t>11.5</w:t>
      </w:r>
      <w:r>
        <w:rPr/>
        <w:fldChar w:fldCharType="end"/>
      </w:r>
      <w:r>
        <w:rPr/>
        <w:t>.</w:t>
      </w:r>
    </w:p>
    <w:p>
      <w:pPr>
        <w:pStyle w:val="Style25"/>
        <w:rPr/>
      </w:pPr>
      <w:bookmarkStart w:id="167" w:name="_Toc228877695"/>
      <w:bookmarkStart w:id="168" w:name="_Ref125369308"/>
      <w:bookmarkStart w:id="169" w:name="_Ref125369041"/>
      <w:bookmarkStart w:id="170" w:name="_Ref125366534"/>
      <w:bookmarkStart w:id="171" w:name="_Ref125365519"/>
      <w:bookmarkStart w:id="172" w:name="_Ref125365335"/>
      <w:bookmarkStart w:id="173" w:name="_Ref125362626"/>
      <w:r>
        <w:rPr/>
        <w:t>Оценка и сопоставление заявок</w:t>
      </w:r>
      <w:bookmarkEnd w:id="167"/>
      <w:bookmarkEnd w:id="168"/>
      <w:bookmarkEnd w:id="169"/>
      <w:bookmarkEnd w:id="170"/>
      <w:bookmarkEnd w:id="171"/>
      <w:bookmarkEnd w:id="172"/>
      <w:bookmarkEnd w:id="173"/>
    </w:p>
    <w:p>
      <w:pPr>
        <w:pStyle w:val="Style26"/>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6"/>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6"/>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6"/>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14</w:t>
      </w:r>
      <w:r>
        <w:rPr/>
        <w:fldChar w:fldCharType="end"/>
      </w:r>
      <w:r>
        <w:rPr/>
        <w:t>).</w:t>
      </w:r>
    </w:p>
    <w:p>
      <w:pPr>
        <w:pStyle w:val="Style26"/>
        <w:rPr/>
      </w:pPr>
      <w:r>
        <w:rPr/>
        <w:t>Результаты оценки и сопоставления заявок указываются в итоговом протоколе по результатам закупки.</w:t>
      </w:r>
    </w:p>
    <w:p>
      <w:pPr>
        <w:pStyle w:val="Style25"/>
        <w:rPr/>
      </w:pPr>
      <w:bookmarkStart w:id="174" w:name="_Ref130458671"/>
      <w:bookmarkStart w:id="175" w:name="_Ref125370507"/>
      <w:bookmarkStart w:id="176" w:name="_Ref125369991"/>
      <w:bookmarkStart w:id="177" w:name="_Ref125366064"/>
      <w:bookmarkStart w:id="178" w:name="_Ref130985951"/>
      <w:bookmarkStart w:id="179" w:name="_Toc228877696"/>
      <w:bookmarkStart w:id="180" w:name="_Ref132816300"/>
      <w:bookmarkStart w:id="181" w:name="_Ref186219943"/>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6"/>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rPr/>
      </w:pPr>
      <w:bookmarkStart w:id="182" w:name="_Ref207817837"/>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bookmarkEnd w:id="182"/>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rPr/>
      </w:pPr>
      <w:bookmarkStart w:id="183" w:name="_Ref195007400"/>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11</w:t>
      </w:r>
      <w:r>
        <w:rPr/>
        <w:fldChar w:fldCharType="end"/>
      </w:r>
      <w:r>
        <w:rPr/>
        <w:t>).</w:t>
      </w:r>
      <w:bookmarkEnd w:id="183"/>
    </w:p>
    <w:p>
      <w:pPr>
        <w:pStyle w:val="Style26"/>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14.2</w:t>
      </w:r>
      <w:r>
        <w:rPr/>
        <w:fldChar w:fldCharType="end"/>
      </w:r>
      <w:r>
        <w:rPr/>
        <w:t> – </w:t>
      </w:r>
      <w:r>
        <w:rPr/>
        <w:fldChar w:fldCharType="begin"/>
      </w:r>
      <w:r>
        <w:rPr/>
        <w:instrText xml:space="preserve"> REF _Ref195007400 \r \h </w:instrText>
      </w:r>
      <w:r>
        <w:rPr/>
        <w:fldChar w:fldCharType="separate"/>
      </w:r>
      <w:r>
        <w:rPr/>
        <w:t>14.5</w:t>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6"/>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7"/>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5"/>
        <w:rPr/>
      </w:pPr>
      <w:bookmarkStart w:id="184" w:name="_Toc228877698"/>
      <w:bookmarkStart w:id="185" w:name="_Ref125367242"/>
      <w:bookmarkStart w:id="186" w:name="_Ref125366091"/>
      <w:bookmarkStart w:id="187" w:name="_Ref125362658"/>
      <w:r>
        <w:rPr/>
        <w:t>Подведение итогов закупки (определение Победителя)</w:t>
      </w:r>
      <w:bookmarkEnd w:id="184"/>
      <w:bookmarkEnd w:id="185"/>
      <w:bookmarkEnd w:id="186"/>
      <w:bookmarkEnd w:id="187"/>
    </w:p>
    <w:p>
      <w:pPr>
        <w:pStyle w:val="Style26"/>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7"/>
        <w:keepNext w:val="true"/>
        <w:rPr/>
      </w:pPr>
      <w:r>
        <w:rPr/>
        <w:t>результаты рассмотрения заявок с указанием, в том числе:</w:t>
      </w:r>
    </w:p>
    <w:p>
      <w:pPr>
        <w:pStyle w:val="Style28"/>
        <w:numPr>
          <w:ilvl w:val="0"/>
          <w:numId w:val="0"/>
        </w:numPr>
        <w:ind w:left="0" w:hanging="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numPr>
          <w:ilvl w:val="0"/>
          <w:numId w:val="0"/>
        </w:numPr>
        <w:ind w:left="0" w:hanging="0"/>
        <w:rPr/>
      </w:pPr>
      <w:r>
        <w:rPr/>
        <w:t>количества заявок, которые были отклонены;</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7"/>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pPr>
      <w:r>
        <w:rPr/>
        <w:t>причины, по которым закупка признана несостоявшейся (в случае ее признания таковой),</w:t>
      </w:r>
    </w:p>
    <w:p>
      <w:pPr>
        <w:pStyle w:val="Style30"/>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6"/>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pPr>
      <w:bookmarkStart w:id="189" w:name="_Toc228877699"/>
      <w:bookmarkStart w:id="190" w:name="_Ref125366796"/>
      <w:bookmarkStart w:id="191" w:name="_Ref125366631"/>
      <w:bookmarkStart w:id="192" w:name="_Ref125365570"/>
      <w:bookmarkStart w:id="193" w:name="_Ref125365305"/>
      <w:bookmarkStart w:id="194" w:name="_Ref125364187"/>
      <w:bookmarkStart w:id="195" w:name="_Ref125364149"/>
      <w:r>
        <w:rPr/>
        <w:t>Признание закупки несостоявшейся</w:t>
      </w:r>
      <w:bookmarkEnd w:id="189"/>
      <w:bookmarkEnd w:id="190"/>
      <w:bookmarkEnd w:id="191"/>
      <w:bookmarkEnd w:id="192"/>
      <w:bookmarkEnd w:id="193"/>
      <w:bookmarkEnd w:id="194"/>
      <w:bookmarkEnd w:id="195"/>
    </w:p>
    <w:p>
      <w:pPr>
        <w:pStyle w:val="Style26"/>
        <w:keepNext w:val="true"/>
        <w:rPr/>
      </w:pPr>
      <w:bookmarkStart w:id="196" w:name="_Ref214290552"/>
      <w:r>
        <w:rPr/>
        <w:t>Закупка признается несостоявшейся в следующих случаях:</w:t>
      </w:r>
      <w:bookmarkEnd w:id="196"/>
    </w:p>
    <w:p>
      <w:pPr>
        <w:pStyle w:val="Style27"/>
        <w:rPr/>
      </w:pPr>
      <w:r>
        <w:rPr/>
        <w:t>если по окончанию срока подачи заявок поступило менее 2 (двух) заявок (с учетом возможных отзывов заявок);</w:t>
      </w:r>
    </w:p>
    <w:p>
      <w:pPr>
        <w:pStyle w:val="Style27"/>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7"/>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3</w:t>
      </w:r>
      <w:r>
        <w:rPr/>
        <w:fldChar w:fldCharType="end"/>
      </w:r>
      <w:r>
        <w:rPr/>
        <w:t>).</w:t>
      </w:r>
    </w:p>
    <w:p>
      <w:pPr>
        <w:pStyle w:val="Style26"/>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rPr/>
      </w:pPr>
      <w:r>
        <w:rPr/>
        <w:t>В случае признания закупки несостоявшейся (с учетом условий, предусмотренных Положением о закупке):</w:t>
      </w:r>
    </w:p>
    <w:p>
      <w:pPr>
        <w:pStyle w:val="Style27"/>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7"/>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left="2127" w:hanging="426"/>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left="1701" w:hanging="0"/>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left="2127" w:hanging="426"/>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7"/>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16.1</w:t>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7"/>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5"/>
        <w:rPr/>
      </w:pPr>
      <w:bookmarkStart w:id="200" w:name="_Toc228877700"/>
      <w:bookmarkStart w:id="201" w:name="_Ref132816141"/>
      <w:bookmarkStart w:id="202" w:name="_Ref132816134"/>
      <w:bookmarkStart w:id="203" w:name="_Ref126141962"/>
      <w:bookmarkStart w:id="204" w:name="_Toc224743824"/>
      <w:bookmarkStart w:id="205" w:name="_Toc224743823"/>
      <w:bookmarkStart w:id="206" w:name="_Toc224743822"/>
      <w:bookmarkStart w:id="207" w:name="_Toc224743821"/>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6"/>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pPr>
      <w:bookmarkStart w:id="208" w:name="_Toc228877701"/>
      <w:bookmarkStart w:id="209" w:name="_Ref130455226"/>
      <w:r>
        <w:rPr/>
        <w:t>Особенности проведения закупки с необходимостью обеспечения заявки</w:t>
      </w:r>
      <w:bookmarkEnd w:id="208"/>
      <w:bookmarkEnd w:id="209"/>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предусмотрена обязанность Участников предоставить обеспечение заявки на участие в закупке.</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2</w:t>
      </w:r>
      <w:r>
        <w:rPr/>
        <w:fldChar w:fldCharType="end"/>
      </w:r>
      <w:r>
        <w:rPr/>
        <w:t>. Выбор формы (способа) обеспечения из числа предусмотренных осуществляется Участниками самостоятельно.</w:t>
      </w:r>
    </w:p>
    <w:p>
      <w:pPr>
        <w:pStyle w:val="Style26"/>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6"/>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pPr>
      <w:r>
        <w:rPr/>
        <w:t>независимая гарантия должна быть безотзывной и безусловной (гарантия по первому требованию);</w:t>
      </w:r>
    </w:p>
    <w:p>
      <w:pPr>
        <w:pStyle w:val="Style27"/>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7"/>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18.8л)</w:t>
      </w:r>
      <w:r>
        <w:rPr/>
        <w:fldChar w:fldCharType="end"/>
      </w:r>
      <w:r>
        <w:rPr/>
        <w:t>);</w:t>
      </w:r>
    </w:p>
    <w:p>
      <w:pPr>
        <w:pStyle w:val="Style27"/>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p>
    <w:p>
      <w:pPr>
        <w:pStyle w:val="Style27"/>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18.14</w:t>
      </w:r>
      <w:r>
        <w:rPr/>
        <w:fldChar w:fldCharType="end"/>
      </w:r>
      <w:r>
        <w:rPr/>
        <w:t>);</w:t>
      </w:r>
    </w:p>
    <w:p>
      <w:pPr>
        <w:pStyle w:val="Style27"/>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7"/>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6"/>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rPr/>
      </w:pPr>
      <w:r>
        <w:rPr/>
        <w:t>При многолотовой закупке (подраздел </w:t>
      </w:r>
      <w:r>
        <w:rPr/>
        <w:fldChar w:fldCharType="begin"/>
      </w:r>
      <w:r>
        <w:rPr/>
        <w:instrText xml:space="preserve"> REF _Ref149317181 \n \h </w:instrText>
      </w:r>
      <w:r>
        <w:rPr/>
        <w:fldChar w:fldCharType="separate"/>
      </w:r>
      <w:r>
        <w:rPr/>
        <w:t>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rPr/>
      </w:pPr>
      <w:r>
        <w:rPr/>
        <w:t>Подать заявку (принять участие в закупке) могут только Участники, предоставившие надлежащее обеспечение их заявок.</w:t>
      </w:r>
    </w:p>
    <w:p>
      <w:pPr>
        <w:pStyle w:val="Style26"/>
        <w:rPr/>
      </w:pPr>
      <w:r>
        <w:rPr/>
        <w:t>Требование об обеспечении заявки в равной мере распространяется на всех Участников.</w:t>
      </w:r>
    </w:p>
    <w:p>
      <w:pPr>
        <w:pStyle w:val="Style26"/>
        <w:keepNext w:val="true"/>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7"/>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2</w:t>
      </w:r>
      <w:r>
        <w:rPr/>
        <w:fldChar w:fldCharType="end"/>
      </w:r>
      <w:r>
        <w:rPr/>
        <w:t>;</w:t>
      </w:r>
    </w:p>
    <w:p>
      <w:pPr>
        <w:pStyle w:val="Style27"/>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6"/>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pPr>
      <w:r>
        <w:rPr/>
        <w:t>принятия решения об отказе от проведения закупки – всем Участникам, подавшим заявки к моменту принятия такого решения;</w:t>
      </w:r>
    </w:p>
    <w:p>
      <w:pPr>
        <w:pStyle w:val="Style27"/>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pPr>
      <w:r>
        <w:rPr/>
        <w:t>официального размещения итогового протокола по результатам закупки – всем Участникам, кроме Победителя;</w:t>
      </w:r>
    </w:p>
    <w:p>
      <w:pPr>
        <w:pStyle w:val="Style27"/>
        <w:rPr/>
      </w:pPr>
      <w:r>
        <w:rPr/>
        <w:t>заключения Договора по результатам закупки – Победителю, с которым заключен Договор;</w:t>
      </w:r>
    </w:p>
    <w:p>
      <w:pPr>
        <w:pStyle w:val="Style27"/>
        <w:rPr/>
      </w:pPr>
      <w:r>
        <w:rPr/>
        <w:t>признания закупки несостоявшейся – Участнику, которому обеспечение не было возвращено по иным основаниям.</w:t>
      </w:r>
    </w:p>
    <w:p>
      <w:pPr>
        <w:pStyle w:val="Style26"/>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3</w:t>
      </w:r>
      <w:r>
        <w:rPr/>
        <w:fldChar w:fldCharType="end"/>
      </w:r>
      <w:r>
        <w:rPr/>
        <w:t>) – на время рассмотрения жалобы.</w:t>
      </w:r>
    </w:p>
    <w:p>
      <w:pPr>
        <w:pStyle w:val="Style25"/>
        <w:rPr/>
      </w:pPr>
      <w:bookmarkStart w:id="212" w:name="_Ref130225422"/>
      <w:bookmarkStart w:id="213" w:name="_Toc228877702"/>
      <w:bookmarkStart w:id="214" w:name="_Ref149317181"/>
      <w:r>
        <w:rPr/>
        <w:t>Особенности проведения многолотовой закупки</w:t>
      </w:r>
      <w:bookmarkEnd w:id="212"/>
      <w:bookmarkEnd w:id="213"/>
      <w:bookmarkEnd w:id="214"/>
    </w:p>
    <w:p>
      <w:pPr>
        <w:pStyle w:val="Style26"/>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предусмотрено проведение многолотовой закупки.</w:t>
      </w:r>
    </w:p>
    <w:p>
      <w:pPr>
        <w:pStyle w:val="Style26"/>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6"/>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rPr/>
      </w:pPr>
      <w:r>
        <w:rPr/>
        <w:t>В случае подачи заявки на несколько лотов дополнительно должны быть соблюдены следующие требования:</w:t>
      </w:r>
    </w:p>
    <w:p>
      <w:pPr>
        <w:pStyle w:val="Style27"/>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7"/>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6"/>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33"/>
        <w:keepNext w:val="true"/>
        <w:rPr/>
      </w:pPr>
      <w:r>
        <w:rPr/>
      </w:r>
    </w:p>
    <w:p>
      <w:pPr>
        <w:pStyle w:val="Style24"/>
        <w:rPr/>
      </w:pPr>
      <w:bookmarkStart w:id="215" w:name="_Ref125367087"/>
      <w:bookmarkStart w:id="216" w:name="_Ref125367083"/>
      <w:bookmarkStart w:id="217" w:name="_Ref125366769"/>
      <w:bookmarkStart w:id="218" w:name="_Ref125363439"/>
      <w:bookmarkStart w:id="219" w:name="_Ref125362671"/>
      <w:bookmarkStart w:id="220" w:name="_Ref125361212"/>
      <w:bookmarkStart w:id="221" w:name="_Toc228877704"/>
      <w:bookmarkStart w:id="222" w:name="_Ref130224037"/>
      <w:bookmarkStart w:id="223" w:name="_Ref126142429"/>
      <w:r>
        <w:rPr/>
        <w:t>Порядок заключения Договора</w:t>
      </w:r>
      <w:bookmarkEnd w:id="215"/>
      <w:bookmarkEnd w:id="216"/>
      <w:bookmarkEnd w:id="217"/>
      <w:bookmarkEnd w:id="218"/>
      <w:bookmarkEnd w:id="219"/>
      <w:bookmarkEnd w:id="220"/>
      <w:bookmarkEnd w:id="221"/>
      <w:bookmarkEnd w:id="222"/>
      <w:bookmarkEnd w:id="223"/>
    </w:p>
    <w:p>
      <w:pPr>
        <w:pStyle w:val="Style25"/>
        <w:rPr/>
      </w:pPr>
      <w:bookmarkStart w:id="224" w:name="_Toc228877705"/>
      <w:r>
        <w:rPr/>
        <w:t>Общие положения</w:t>
      </w:r>
      <w:bookmarkEnd w:id="224"/>
    </w:p>
    <w:p>
      <w:pPr>
        <w:pStyle w:val="Style26"/>
        <w:rPr/>
      </w:pPr>
      <w:r>
        <w:rPr/>
        <w:t>Нормы настоящего раздела </w:t>
      </w:r>
      <w:r>
        <w:rPr/>
        <w:fldChar w:fldCharType="begin"/>
      </w:r>
      <w:r>
        <w:rPr/>
        <w:instrText xml:space="preserve"> REF _Ref126142429 \r \h </w:instrText>
      </w:r>
      <w:r>
        <w:rPr/>
        <w:fldChar w:fldCharType="separate"/>
      </w:r>
      <w:r>
        <w:rPr/>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pPr>
      <w:bookmarkStart w:id="225" w:name="_Ref125368755"/>
      <w:bookmarkStart w:id="226" w:name="_Ref125366947"/>
      <w:bookmarkStart w:id="227" w:name="_Toc228877706"/>
      <w:bookmarkStart w:id="228" w:name="_Ref138341423"/>
      <w:r>
        <w:rPr/>
        <w:t>Заключение Договора</w:t>
      </w:r>
      <w:bookmarkEnd w:id="225"/>
      <w:bookmarkEnd w:id="226"/>
      <w:bookmarkEnd w:id="227"/>
      <w:bookmarkEnd w:id="228"/>
    </w:p>
    <w:p>
      <w:pPr>
        <w:pStyle w:val="Style26"/>
        <w:rPr/>
      </w:pPr>
      <w:bookmarkStart w:id="229" w:name="_Ref130293821"/>
      <w:bookmarkStart w:id="230"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6"/>
        <w:rPr/>
      </w:pPr>
      <w:r>
        <w:rPr/>
        <w:t>Договор не может быть заключен, если это запрещено законодательством о национальном режиме.</w:t>
      </w:r>
    </w:p>
    <w:p>
      <w:pPr>
        <w:pStyle w:val="Style26"/>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6"/>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6"/>
        <w:keepNext w:val="true"/>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7"/>
        <w:keepNext w:val="true"/>
        <w:rPr/>
      </w:pPr>
      <w:r>
        <w:rPr/>
        <w:t>для юридического лица:</w:t>
      </w:r>
    </w:p>
    <w:p>
      <w:pPr>
        <w:pStyle w:val="Style28"/>
        <w:numPr>
          <w:ilvl w:val="0"/>
          <w:numId w:val="0"/>
        </w:numPr>
        <w:ind w:left="0" w:hanging="0"/>
        <w:rPr/>
      </w:pPr>
      <w:r>
        <w:rPr/>
        <w:t>копия устава в действующей редакции с отметкой ИФНС либо копия нотариально заверенного устава (с отметкой нотариуса);</w:t>
      </w:r>
    </w:p>
    <w:p>
      <w:pPr>
        <w:pStyle w:val="Style28"/>
        <w:numPr>
          <w:ilvl w:val="0"/>
          <w:numId w:val="0"/>
        </w:numPr>
        <w:ind w:left="0" w:hanging="0"/>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8"/>
        <w:numPr>
          <w:ilvl w:val="0"/>
          <w:numId w:val="0"/>
        </w:numPr>
        <w:ind w:left="0" w:hanging="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pPr>
      <w:r>
        <w:rPr/>
        <w:t>для физического лица: нотариально заверенная копия всех страниц документа, удостоверяющего личность (паспорта).</w:t>
      </w:r>
    </w:p>
    <w:p>
      <w:pPr>
        <w:pStyle w:val="Style26"/>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7"/>
        <w:rPr/>
      </w:pPr>
      <w:r>
        <w:rPr/>
        <w:t>итоговый протокол по результатам закупки;</w:t>
      </w:r>
    </w:p>
    <w:p>
      <w:pPr>
        <w:pStyle w:val="Style27"/>
        <w:rPr/>
      </w:pPr>
      <w:r>
        <w:rPr/>
        <w:t>Извещение и Документация о закупке со всеми изменениями;</w:t>
      </w:r>
    </w:p>
    <w:p>
      <w:pPr>
        <w:pStyle w:val="Style27"/>
        <w:rPr/>
      </w:pPr>
      <w:r>
        <w:rPr/>
        <w:t>заявка Победителя со всеми дополнениями и разъяснениями.</w:t>
      </w:r>
    </w:p>
    <w:p>
      <w:pPr>
        <w:pStyle w:val="Style26"/>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rPr/>
      </w:pPr>
      <w:r>
        <w:rPr/>
        <w:t>В течение установленного в пункте </w:t>
      </w:r>
      <w:r>
        <w:rPr/>
        <w:fldChar w:fldCharType="begin"/>
      </w:r>
      <w:r>
        <w:rPr/>
        <w:instrText xml:space="preserve"> REF _Ref130293821 \r \h </w:instrText>
      </w:r>
      <w:r>
        <w:rPr/>
        <w:fldChar w:fldCharType="separate"/>
      </w:r>
      <w:r>
        <w:rPr/>
        <w:t>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6"/>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6"/>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pPr>
      <w:bookmarkStart w:id="238" w:name="_Toc228877707"/>
      <w:bookmarkStart w:id="239" w:name="_Ref125367068"/>
      <w:r>
        <w:rPr/>
        <w:t>Уклонение Победителя от заключения Договора</w:t>
      </w:r>
      <w:bookmarkEnd w:id="238"/>
      <w:bookmarkEnd w:id="239"/>
    </w:p>
    <w:p>
      <w:pPr>
        <w:pStyle w:val="Style26"/>
        <w:keepNext w:val="true"/>
        <w:rPr/>
      </w:pPr>
      <w:r>
        <w:rPr/>
        <w:t>Если Победитель закупки:</w:t>
      </w:r>
    </w:p>
    <w:p>
      <w:pPr>
        <w:pStyle w:val="Style27"/>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2.1</w:t>
      </w:r>
      <w:r>
        <w:rPr/>
        <w:fldChar w:fldCharType="end"/>
      </w:r>
      <w:r>
        <w:rPr/>
        <w:t>);</w:t>
      </w:r>
    </w:p>
    <w:p>
      <w:pPr>
        <w:pStyle w:val="Style27"/>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2.9</w:t>
      </w:r>
      <w:r>
        <w:rPr/>
        <w:fldChar w:fldCharType="end"/>
      </w:r>
      <w:r>
        <w:rPr/>
        <w:t>;</w:t>
      </w:r>
    </w:p>
    <w:p>
      <w:pPr>
        <w:pStyle w:val="Style27"/>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7"/>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7"/>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7"/>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pPr>
      <w:r>
        <w:rPr/>
        <w:t>не выполнит другие условия, прямо предусмотренные Документацией о закупке,</w:t>
      </w:r>
    </w:p>
    <w:p>
      <w:pPr>
        <w:pStyle w:val="Style30"/>
        <w:ind w:left="1134" w:hanging="0"/>
        <w:rPr/>
      </w:pPr>
      <w:r>
        <w:rPr/>
        <w:t>то он (по истечению установленных в подразделе </w:t>
      </w:r>
      <w:r>
        <w:rPr/>
        <w:fldChar w:fldCharType="begin"/>
      </w:r>
      <w:r>
        <w:rPr/>
        <w:instrText xml:space="preserve"> REF _Ref138341423 \r \h </w:instrText>
      </w:r>
      <w:r>
        <w:rPr/>
        <w:fldChar w:fldCharType="separate"/>
      </w:r>
      <w:r>
        <w:rPr/>
        <w:t>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pPr>
      <w:bookmarkStart w:id="240" w:name="_Toc228877708"/>
      <w:bookmarkStart w:id="241" w:name="Прил01_ТехТребования"/>
      <w:bookmarkStart w:id="242" w:name="_Ref125370843"/>
      <w:bookmarkStart w:id="243" w:name="_Ref125370750"/>
      <w:bookmarkStart w:id="244" w:name="_Ref125370746"/>
      <w:bookmarkStart w:id="245" w:name="_Ref125370741"/>
      <w:bookmarkStart w:id="246" w:name="_Ref125370732"/>
      <w:bookmarkStart w:id="247" w:name="_Ref125364201"/>
      <w:bookmarkStart w:id="248" w:name="_Ref125364088"/>
      <w:bookmarkStart w:id="249" w:name="_Ref125363752"/>
      <w:bookmarkStart w:id="250" w:name="_Ref125363600"/>
      <w:bookmarkStart w:id="251" w:name="_Ref125363034"/>
      <w:bookmarkStart w:id="252" w:name="_Ref125363023"/>
      <w:bookmarkStart w:id="253" w:name="_Ref125363016"/>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5"/>
        <w:rPr/>
      </w:pPr>
      <w:bookmarkStart w:id="254" w:name="_Toc228877709"/>
      <w:r>
        <w:rPr/>
        <w:t>Пояснения к Техническим требованиям</w:t>
      </w:r>
      <w:bookmarkEnd w:id="254"/>
    </w:p>
    <w:p>
      <w:pPr>
        <w:pStyle w:val="Style26"/>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pPr>
      <w:bookmarkStart w:id="255" w:name="_Toc228877710"/>
      <w:bookmarkStart w:id="256" w:name="Прил02_ПроектДоговора"/>
      <w:bookmarkStart w:id="257" w:name="_Ref125370754"/>
      <w:bookmarkStart w:id="258" w:name="_Ref125364206"/>
      <w:bookmarkStart w:id="259" w:name="_Ref125364081"/>
      <w:bookmarkStart w:id="260" w:name="_Ref125363759"/>
      <w:bookmarkStart w:id="261" w:name="_Ref125363605"/>
      <w:bookmarkStart w:id="262" w:name="_Ref125363040"/>
      <w:bookmarkStart w:id="263" w:name="_Ref125361746"/>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5"/>
        <w:rPr/>
      </w:pPr>
      <w:bookmarkStart w:id="264" w:name="_Toc228877711"/>
      <w:r>
        <w:rPr/>
        <w:t>Пояснения к Проекту договора</w:t>
      </w:r>
      <w:bookmarkEnd w:id="264"/>
    </w:p>
    <w:p>
      <w:pPr>
        <w:pStyle w:val="Style26"/>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2</w:t>
      </w:r>
      <w:r>
        <w:rPr/>
        <w:fldChar w:fldCharType="end"/>
      </w:r>
      <w:r>
        <w:rPr/>
        <w:t xml:space="preserve"> как «Некритичные пункты Проекта договора».</w:t>
      </w:r>
    </w:p>
    <w:p>
      <w:pPr>
        <w:pStyle w:val="Style26"/>
        <w:rPr/>
      </w:pPr>
      <w:r>
        <w:rPr/>
        <w:t>В соответствии с пунктом </w:t>
      </w:r>
      <w:r>
        <w:rPr/>
        <w:fldChar w:fldCharType="begin"/>
      </w:r>
      <w:r>
        <w:rPr/>
        <w:instrText xml:space="preserve"> REF _Ref49437111 \r \h </w:instrText>
      </w:r>
      <w:r>
        <w:rPr/>
        <w:fldChar w:fldCharType="separate"/>
      </w:r>
      <w:r>
        <w:rPr/>
        <w:t>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05pt;height:50.8pt;mso-wrap-distance-right:0pt" filled="f" o:ole="">
            <v:imagedata r:id="rId13" o:title=""/>
          </v:shape>
          <o:OLEObject Type="Embed" ProgID="Word.Document.12" ShapeID="ole_rId12" DrawAspect="Icon" ObjectID="_983389516" r:id="rId12"/>
        </w:object>
      </w:r>
    </w:p>
    <w:p>
      <w:pPr>
        <w:pStyle w:val="Style24"/>
        <w:rPr/>
      </w:pPr>
      <w:bookmarkStart w:id="266" w:name="_Toc228877712"/>
      <w:bookmarkStart w:id="267" w:name="Прил03_ТребованияУчастникам"/>
      <w:bookmarkStart w:id="268" w:name="_Ref125370013"/>
      <w:bookmarkStart w:id="269" w:name="_Ref125365476"/>
      <w:bookmarkStart w:id="270" w:name="_Ref125361908"/>
      <w:bookmarkStart w:id="271" w:name="_Ref125361494"/>
      <w:r>
        <w:rPr/>
        <w:t>Приложение № 3 – Требования к Участникам</w:t>
      </w:r>
      <w:bookmarkEnd w:id="266"/>
      <w:bookmarkEnd w:id="267"/>
      <w:bookmarkEnd w:id="268"/>
      <w:bookmarkEnd w:id="269"/>
      <w:bookmarkEnd w:id="270"/>
      <w:bookmarkEnd w:id="271"/>
    </w:p>
    <w:p>
      <w:pPr>
        <w:pStyle w:val="Style25"/>
        <w:rPr/>
      </w:pPr>
      <w:bookmarkStart w:id="272" w:name="_Toc228877713"/>
      <w:r>
        <w:rPr/>
        <w:t>Пояснения к требованиям к Участникам</w:t>
      </w:r>
      <w:bookmarkEnd w:id="272"/>
    </w:p>
    <w:p>
      <w:pPr>
        <w:pStyle w:val="Style26"/>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5"/>
        <w:spacing w:before="360" w:after="120"/>
        <w:rPr/>
      </w:pPr>
      <w:bookmarkStart w:id="274" w:name="_Toc228877714"/>
      <w:bookmarkStart w:id="275" w:name="_Ref125370071"/>
      <w:bookmarkStart w:id="276" w:name="_Ref125370064"/>
      <w:bookmarkStart w:id="277" w:name="_Ref125370058"/>
      <w:bookmarkStart w:id="278" w:name="_Ref125369088"/>
      <w:bookmarkStart w:id="279" w:name="_Ref125368895"/>
      <w:bookmarkStart w:id="280" w:name="_Ref125368812"/>
      <w:bookmarkStart w:id="281" w:name="_Ref125366879"/>
      <w:bookmarkStart w:id="282" w:name="_Ref125361926"/>
      <w:bookmarkStart w:id="283" w:name="_Ref125361846"/>
      <w:bookmarkStart w:id="284" w:name="_Ref125361832"/>
      <w:bookmarkStart w:id="285" w:name="_Ref125361617"/>
      <w:bookmarkStart w:id="286" w:name="_Ref125361590"/>
      <w:bookmarkStart w:id="287" w:name="_Ref125361435"/>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0"/>
              <w:widowControl w:val="false"/>
              <w:numPr>
                <w:ilvl w:val="0"/>
                <w:numId w:val="14"/>
              </w:numPr>
              <w:suppressAutoHyphens w:val="true"/>
              <w:spacing w:before="60" w:after="60"/>
              <w:ind w:left="568"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pPr>
      <w:bookmarkStart w:id="298" w:name="_Toc228877715"/>
      <w:bookmarkStart w:id="299" w:name="_Ref125709888"/>
      <w:bookmarkStart w:id="300" w:name="_Ref125709401"/>
      <w:bookmarkStart w:id="301" w:name="_Ref125709250"/>
      <w:bookmarkStart w:id="302" w:name="_Ref125709153"/>
      <w:bookmarkStart w:id="303" w:name="_Ref125370079"/>
      <w:bookmarkStart w:id="304" w:name="_Ref125369099"/>
      <w:bookmarkStart w:id="305" w:name="_Ref125368916"/>
      <w:bookmarkStart w:id="306" w:name="_Ref125368901"/>
      <w:bookmarkStart w:id="307" w:name="_Ref125368818"/>
      <w:bookmarkStart w:id="308" w:name="_Ref125367539"/>
      <w:bookmarkStart w:id="309" w:name="_Ref125367521"/>
      <w:bookmarkStart w:id="310" w:name="_Ref125365459"/>
      <w:bookmarkStart w:id="311" w:name="_Ref125361937"/>
      <w:bookmarkStart w:id="312" w:name="_Ref125361869"/>
      <w:bookmarkStart w:id="313" w:name="_Ref125361671"/>
      <w:bookmarkStart w:id="314" w:name="_Ref125361633"/>
      <w:bookmarkStart w:id="315" w:name="_Ref125361442"/>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Normal"/>
              <w:widowControl w:val="false"/>
              <w:tabs>
                <w:tab w:val="clear" w:pos="708"/>
                <w:tab w:val="left" w:pos="426" w:leader="none"/>
              </w:tabs>
              <w:spacing w:before="120" w:after="0"/>
              <w:ind w:left="74" w:hanging="0"/>
              <w:jc w:val="both"/>
              <w:rPr>
                <w:rStyle w:val="Style18"/>
                <w:b w:val="false"/>
                <w:sz w:val="22"/>
                <w:szCs w:val="22"/>
              </w:rPr>
            </w:pPr>
            <w:r>
              <w:rPr>
                <w:rFonts w:eastAsia="Calibri"/>
                <w:i/>
                <w:sz w:val="22"/>
                <w:szCs w:val="22"/>
              </w:rPr>
              <w:t>В соответствии со ст. 55.8 Градостроительного кодекса РФ от 29.12.2004 № 190-ФЗ: Участник закупки должен быть (в течение срока действия заявки на участие в закупке) членом саморегулируемой организации, основанной на членст</w:t>
            </w:r>
            <w:r>
              <w:rPr>
                <w:rFonts w:eastAsia="Calibri"/>
                <w:i/>
                <w:sz w:val="22"/>
                <w:szCs w:val="22"/>
                <w:shd w:fill="auto" w:val="clear"/>
              </w:rPr>
              <w:t>ве лиц:</w:t>
            </w:r>
          </w:p>
          <w:p>
            <w:pPr>
              <w:pStyle w:val="Normal"/>
              <w:widowControl w:val="false"/>
              <w:tabs>
                <w:tab w:val="clear" w:pos="708"/>
                <w:tab w:val="left" w:pos="426" w:leader="none"/>
              </w:tabs>
              <w:spacing w:before="120" w:after="0"/>
              <w:ind w:left="74" w:hanging="0"/>
              <w:jc w:val="both"/>
              <w:rPr/>
            </w:pPr>
            <w:r>
              <w:rPr>
                <w:rStyle w:val="Style18"/>
                <w:rFonts w:eastAsia="Calibri"/>
                <w:b w:val="false"/>
                <w:sz w:val="22"/>
                <w:szCs w:val="22"/>
                <w:shd w:fill="auto" w:val="clear"/>
              </w:rPr>
              <w:t xml:space="preserve">- </w:t>
            </w:r>
            <w:r>
              <w:rPr>
                <w:rStyle w:val="Style18"/>
                <w:rFonts w:eastAsia="Calibri"/>
                <w:b w:val="false"/>
                <w:i/>
                <w:sz w:val="22"/>
                <w:szCs w:val="22"/>
                <w:shd w:fill="auto" w:val="clear"/>
              </w:rPr>
              <w:t>выполняющих инженерные изыскания</w:t>
            </w:r>
            <w:r>
              <w:rPr>
                <w:rStyle w:val="FootnoteReference"/>
                <w:rFonts w:eastAsia="Calibri"/>
                <w:b w:val="false"/>
                <w:sz w:val="22"/>
                <w:szCs w:val="22"/>
                <w:shd w:fill="auto" w:val="clear"/>
                <w:vertAlign w:val="superscript"/>
              </w:rPr>
              <w:footnoteReference w:id="13"/>
            </w:r>
            <w:r>
              <w:rPr>
                <w:rStyle w:val="Style18"/>
                <w:rFonts w:eastAsia="Calibri"/>
                <w:b w:val="false"/>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shd w:fill="auto" w:val="clear"/>
              </w:rPr>
              <w:t>осуществляющих п</w:t>
            </w:r>
            <w:r>
              <w:rPr>
                <w:i/>
                <w:sz w:val="22"/>
                <w:szCs w:val="22"/>
              </w:rPr>
              <w:t>одготовку проектной документации</w:t>
            </w:r>
            <w:r>
              <w:rPr>
                <w:rStyle w:val="FootnoteReference"/>
                <w:i/>
                <w:sz w:val="22"/>
                <w:szCs w:val="22"/>
                <w:vertAlign w:val="superscript"/>
              </w:rPr>
              <w:footnoteReference w:id="14"/>
            </w:r>
            <w:r>
              <w:rPr>
                <w:i/>
                <w:sz w:val="22"/>
                <w:szCs w:val="22"/>
              </w:rPr>
              <w:t>,</w:t>
            </w:r>
          </w:p>
          <w:p>
            <w:pPr>
              <w:pStyle w:val="Normal"/>
              <w:widowControl w:val="false"/>
              <w:tabs>
                <w:tab w:val="clear" w:pos="708"/>
                <w:tab w:val="left" w:pos="358" w:leader="none"/>
                <w:tab w:val="left" w:pos="426" w:leader="none"/>
              </w:tabs>
              <w:spacing w:before="60" w:after="60"/>
              <w:ind w:left="74" w:hanging="0"/>
              <w:jc w:val="both"/>
              <w:rPr>
                <w:i/>
                <w:i/>
                <w:sz w:val="22"/>
                <w:szCs w:val="22"/>
              </w:rPr>
            </w:pPr>
            <w:r>
              <w:rPr>
                <w:rFonts w:eastAsia="Calibri"/>
                <w:i/>
                <w:sz w:val="22"/>
                <w:szCs w:val="22"/>
              </w:rPr>
              <w:t xml:space="preserve">и иметь право выполнять работы в отношении объектов капитального строительства </w:t>
            </w:r>
            <w:r>
              <w:rPr>
                <w:i/>
                <w:sz w:val="22"/>
                <w:szCs w:val="22"/>
              </w:rPr>
              <w:t>(кроме особо опасных, технически сложных и уникальных объектов, объектов использования атомной энергии).</w:t>
            </w:r>
          </w:p>
          <w:p>
            <w:pPr>
              <w:pStyle w:val="Normal"/>
              <w:widowControl w:val="false"/>
              <w:tabs>
                <w:tab w:val="clear" w:pos="708"/>
                <w:tab w:val="left" w:pos="358" w:leader="none"/>
                <w:tab w:val="left" w:pos="426" w:leader="none"/>
              </w:tabs>
              <w:spacing w:before="60" w:after="60"/>
              <w:ind w:left="74" w:hanging="0"/>
              <w:jc w:val="both"/>
              <w:rPr>
                <w:i/>
                <w:i/>
                <w:sz w:val="22"/>
                <w:szCs w:val="22"/>
              </w:rPr>
            </w:pPr>
            <w:r>
              <w:rPr>
                <w:i/>
                <w:sz w:val="22"/>
                <w:szCs w:val="22"/>
              </w:rPr>
              <w:t>При этом:</w:t>
            </w:r>
          </w:p>
          <w:p>
            <w:pPr>
              <w:pStyle w:val="Normal"/>
              <w:widowControl w:val="false"/>
              <w:tabs>
                <w:tab w:val="clear" w:pos="708"/>
                <w:tab w:val="left" w:pos="358" w:leader="none"/>
                <w:tab w:val="left" w:pos="426" w:leader="none"/>
              </w:tabs>
              <w:spacing w:before="60" w:after="60"/>
              <w:ind w:left="74" w:hanging="0"/>
              <w:jc w:val="both"/>
              <w:rPr>
                <w:u w:val="single"/>
              </w:rPr>
            </w:pPr>
            <w:r>
              <w:rPr>
                <w:i/>
                <w:sz w:val="22"/>
                <w:szCs w:val="22"/>
                <w:u w:val="single"/>
              </w:rPr>
              <w:t>в отношении выполнения инженерных изысканий:</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w:t>
            </w:r>
            <w:r>
              <w:rPr>
                <w:rFonts w:eastAsia="Times New Roman"/>
                <w:i/>
                <w:sz w:val="22"/>
                <w:szCs w:val="22"/>
                <w:shd w:fill="auto" w:val="clear"/>
              </w:rPr>
              <w:t xml:space="preserve">имости (с учетом НДС) выполнения </w:t>
            </w:r>
            <w:r>
              <w:rPr>
                <w:rStyle w:val="Style18"/>
                <w:rFonts w:eastAsia="Calibri"/>
                <w:b w:val="false"/>
                <w:iCs/>
                <w:sz w:val="20"/>
                <w:szCs w:val="20"/>
                <w:shd w:fill="auto" w:val="clear"/>
              </w:rPr>
              <w:t>инженерных изысканий</w:t>
            </w:r>
            <w:r>
              <w:rPr>
                <w:rFonts w:eastAsia="Times New Roman"/>
                <w:i/>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pPr>
            <w:r>
              <w:rPr>
                <w:i/>
                <w:sz w:val="22"/>
                <w:szCs w:val="22"/>
                <w:shd w:fill="auto" w:val="clear"/>
              </w:rPr>
              <w:t>уровень</w:t>
            </w:r>
            <w:r>
              <w:rPr>
                <w:rFonts w:eastAsia="Times New Roman"/>
                <w:i/>
                <w:sz w:val="22"/>
                <w:szCs w:val="22"/>
                <w:shd w:fill="auto" w:val="clear"/>
              </w:rPr>
              <w:t xml:space="preserve">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w:t>
            </w:r>
            <w:r>
              <w:rPr>
                <w:i/>
                <w:sz w:val="22"/>
                <w:szCs w:val="22"/>
                <w:shd w:fill="auto" w:val="clear"/>
              </w:rPr>
              <w:t>выполнения инженерных изысканий</w:t>
            </w:r>
            <w:r>
              <w:rPr>
                <w:rStyle w:val="Style18"/>
                <w:rFonts w:eastAsia="Times New Roman"/>
                <w:b w:val="false"/>
                <w:i/>
                <w:iCs/>
                <w:sz w:val="22"/>
                <w:szCs w:val="22"/>
                <w:shd w:fill="auto" w:val="clear"/>
              </w:rPr>
              <w:t>.</w:t>
            </w:r>
          </w:p>
          <w:p>
            <w:pPr>
              <w:pStyle w:val="Normal"/>
              <w:widowControl w:val="false"/>
              <w:numPr>
                <w:ilvl w:val="0"/>
                <w:numId w:val="0"/>
              </w:numPr>
              <w:tabs>
                <w:tab w:val="clear" w:pos="708"/>
                <w:tab w:val="left" w:pos="358" w:leader="none"/>
                <w:tab w:val="left" w:pos="426" w:leader="none"/>
              </w:tabs>
              <w:spacing w:before="60" w:after="60"/>
              <w:ind w:left="74" w:hanging="0"/>
              <w:jc w:val="both"/>
              <w:rPr>
                <w:u w:val="single"/>
              </w:rPr>
            </w:pPr>
            <w:r>
              <w:rPr>
                <w:i/>
                <w:sz w:val="22"/>
                <w:szCs w:val="22"/>
                <w:u w:val="single"/>
              </w:rPr>
              <w:t>в отношении подготовки проектной документации:</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w:t>
            </w:r>
            <w:r>
              <w:rPr>
                <w:rFonts w:eastAsia="Times New Roman"/>
                <w:i/>
                <w:sz w:val="22"/>
                <w:szCs w:val="22"/>
                <w:shd w:fill="auto" w:val="clear"/>
              </w:rPr>
              <w:t xml:space="preserve">имости (с учетом НДС) выполнения работ </w:t>
            </w:r>
            <w:r>
              <w:rPr>
                <w:rStyle w:val="Style18"/>
                <w:rFonts w:eastAsia="Calibri"/>
                <w:b w:val="false"/>
                <w:iCs/>
                <w:sz w:val="20"/>
                <w:szCs w:val="20"/>
                <w:shd w:fill="auto" w:val="clear"/>
              </w:rPr>
              <w:t xml:space="preserve"> по подготовке проектной документации</w:t>
            </w:r>
            <w:r>
              <w:rPr>
                <w:rFonts w:eastAsia="Times New Roman"/>
                <w:i/>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pPr>
            <w:r>
              <w:rPr>
                <w:rStyle w:val="Style18"/>
                <w:rFonts w:eastAsia="Times New Roman"/>
                <w:b w:val="false"/>
                <w:i/>
                <w:iCs/>
                <w:sz w:val="22"/>
                <w:szCs w:val="22"/>
                <w:shd w:fill="auto" w:val="clear"/>
              </w:rPr>
              <w:t xml:space="preserve">уровень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выполнения работ </w:t>
            </w:r>
            <w:r>
              <w:rPr>
                <w:rStyle w:val="Style18"/>
                <w:rFonts w:eastAsia="Calibri"/>
                <w:b w:val="false"/>
                <w:iCs/>
                <w:sz w:val="20"/>
                <w:szCs w:val="20"/>
                <w:shd w:fill="auto" w:val="clear"/>
              </w:rPr>
              <w:t xml:space="preserve"> по </w:t>
            </w:r>
            <w:r>
              <w:rPr>
                <w:rStyle w:val="Style18"/>
                <w:rFonts w:eastAsia="Times New Roman"/>
                <w:b w:val="false"/>
                <w:i/>
                <w:iCs/>
                <w:sz w:val="22"/>
                <w:szCs w:val="22"/>
                <w:shd w:fill="auto" w:val="clear"/>
              </w:rPr>
              <w:t>подготовке проектной документации.</w:t>
            </w:r>
          </w:p>
        </w:tc>
        <w:tc>
          <w:tcPr>
            <w:tcW w:w="8327" w:type="dxa"/>
            <w:tcBorders/>
          </w:tcPr>
          <w:p>
            <w:pPr>
              <w:pStyle w:val="Normal"/>
              <w:widowControl w:val="false"/>
              <w:tabs>
                <w:tab w:val="clear" w:pos="708"/>
                <w:tab w:val="left" w:pos="426" w:leader="none"/>
              </w:tabs>
              <w:spacing w:before="60" w:after="0"/>
              <w:jc w:val="both"/>
              <w:rPr>
                <w:rFonts w:eastAsia="Calibri"/>
                <w:i/>
                <w:i/>
                <w:sz w:val="22"/>
                <w:szCs w:val="22"/>
              </w:rPr>
            </w:pPr>
            <w:r>
              <w:rPr>
                <w:rFonts w:eastAsia="Calibri"/>
                <w:i/>
                <w:sz w:val="22"/>
                <w:szCs w:val="22"/>
              </w:rPr>
              <w:t>Предоставление документов не требуется.</w:t>
            </w:r>
          </w:p>
          <w:p>
            <w:pPr>
              <w:pStyle w:val="Normal"/>
              <w:widowControl w:val="false"/>
              <w:tabs>
                <w:tab w:val="clear" w:pos="708"/>
                <w:tab w:val="left" w:pos="426" w:leader="none"/>
              </w:tabs>
              <w:spacing w:before="60" w:after="0"/>
              <w:jc w:val="both"/>
              <w:rPr>
                <w:rFonts w:eastAsia="Calibri"/>
                <w:i/>
                <w:i/>
                <w:iCs/>
                <w:sz w:val="22"/>
                <w:szCs w:val="22"/>
              </w:rPr>
            </w:pPr>
            <w:r>
              <w:rPr>
                <w:rFonts w:eastAsia="Calibri"/>
                <w:i/>
                <w:iCs/>
                <w:sz w:val="22"/>
                <w:szCs w:val="22"/>
              </w:rPr>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общедоступному ресурсу</w:t>
            </w:r>
            <w:r>
              <w:rPr>
                <w:rFonts w:eastAsia="Calibri"/>
              </w:rPr>
              <w:t>:</w:t>
            </w:r>
          </w:p>
          <w:p>
            <w:pPr>
              <w:pStyle w:val="Normal"/>
              <w:widowControl w:val="false"/>
              <w:numPr>
                <w:ilvl w:val="0"/>
                <w:numId w:val="6"/>
              </w:numPr>
              <w:tabs>
                <w:tab w:val="clear" w:pos="708"/>
                <w:tab w:val="left" w:pos="320" w:leader="none"/>
              </w:tabs>
              <w:suppressAutoHyphens w:val="true"/>
              <w:bidi w:val="0"/>
              <w:spacing w:before="60" w:after="0"/>
              <w:ind w:left="227" w:right="340" w:hanging="113"/>
              <w:jc w:val="both"/>
              <w:rPr/>
            </w:pPr>
            <w:r>
              <w:rPr>
                <w:rFonts w:eastAsia="Calibri"/>
                <w:i/>
                <w:iCs/>
                <w:sz w:val="22"/>
                <w:szCs w:val="22"/>
              </w:rPr>
              <w:t>Национальное объединение изыскателей и проектировщиков НОПРИЗ - сервис «Единый реестр членов СРО» (</w:t>
            </w:r>
            <w:hyperlink r:id="rId18">
              <w:r>
                <w:rPr>
                  <w:rStyle w:val="Hyperlink"/>
                  <w:rFonts w:eastAsia="Calibri"/>
                  <w:i/>
                  <w:iCs/>
                  <w:sz w:val="22"/>
                  <w:szCs w:val="22"/>
                </w:rPr>
                <w:t>http://nopriz.ru/nreesters/elektronnyy-reestr/</w:t>
              </w:r>
            </w:hyperlink>
            <w:r>
              <w:rPr>
                <w:rFonts w:eastAsia="Calibri"/>
                <w:i/>
                <w:iCs/>
                <w:sz w:val="22"/>
                <w:szCs w:val="22"/>
              </w:rPr>
              <w:t>).</w:t>
            </w:r>
          </w:p>
          <w:p>
            <w:pPr>
              <w:pStyle w:val="ListParagraph"/>
              <w:widowControl w:val="false"/>
              <w:numPr>
                <w:ilvl w:val="0"/>
                <w:numId w:val="0"/>
              </w:numPr>
              <w:tabs>
                <w:tab w:val="clear" w:pos="708"/>
                <w:tab w:val="left" w:pos="282" w:leader="none"/>
              </w:tabs>
              <w:spacing w:before="60" w:after="0"/>
              <w:ind w:left="282" w:hanging="0"/>
              <w:contextualSpacing w:val="false"/>
              <w:jc w:val="both"/>
              <w:rPr>
                <w:rFonts w:eastAsia="Calibri"/>
                <w:b w:val="false"/>
                <w:iCs/>
                <w:sz w:val="22"/>
                <w:szCs w:val="22"/>
              </w:rPr>
            </w:pPr>
            <w:r>
              <w:rPr>
                <w:rFonts w:eastAsia="Calibri"/>
                <w:b w:val="false"/>
                <w:iCs/>
                <w:sz w:val="22"/>
                <w:szCs w:val="22"/>
              </w:rPr>
            </w:r>
          </w:p>
          <w:p>
            <w:pPr>
              <w:pStyle w:val="ListParagraph"/>
              <w:widowControl w:val="false"/>
              <w:numPr>
                <w:ilvl w:val="0"/>
                <w:numId w:val="0"/>
              </w:numPr>
              <w:tabs>
                <w:tab w:val="clear" w:pos="708"/>
                <w:tab w:val="left" w:pos="282" w:leader="none"/>
              </w:tabs>
              <w:spacing w:before="60" w:after="0"/>
              <w:ind w:left="282" w:hanging="0"/>
              <w:contextualSpacing w:val="false"/>
              <w:jc w:val="both"/>
              <w:rPr>
                <w:b w:val="false"/>
                <w:iCs/>
                <w:sz w:val="22"/>
                <w:szCs w:val="22"/>
              </w:rPr>
            </w:pPr>
            <w:r>
              <w:rPr>
                <w:b w:val="false"/>
                <w:iCs/>
                <w:sz w:val="22"/>
                <w:szCs w:val="22"/>
              </w:rPr>
            </w:r>
          </w:p>
        </w:tc>
      </w:tr>
    </w:tbl>
    <w:p>
      <w:pPr>
        <w:pStyle w:val="Style25"/>
        <w:spacing w:before="360" w:after="120"/>
        <w:rPr/>
      </w:pPr>
      <w:bookmarkStart w:id="316" w:name="_Toc228877716"/>
      <w:bookmarkStart w:id="317" w:name="_Ref125709973"/>
      <w:bookmarkStart w:id="318" w:name="_Ref125709777"/>
      <w:bookmarkStart w:id="319" w:name="_Ref125370209"/>
      <w:bookmarkStart w:id="320" w:name="_Ref125370180"/>
      <w:bookmarkStart w:id="321" w:name="_Ref125370173"/>
      <w:bookmarkStart w:id="322" w:name="_Ref125369117"/>
      <w:bookmarkStart w:id="323" w:name="_Ref125362031"/>
      <w:bookmarkStart w:id="324" w:name="_Ref125361823"/>
      <w:bookmarkStart w:id="325" w:name="_Toc224743850"/>
      <w:bookmarkStart w:id="326" w:name="_Toc224743846"/>
      <w:bookmarkStart w:id="327" w:name="_Toc224743841"/>
      <w:bookmarkEnd w:id="325"/>
      <w:bookmarkEnd w:id="326"/>
      <w:bookmarkEnd w:id="327"/>
      <w:r>
        <w:rPr/>
        <w:t>Дополнительные требования к Генеральным подрядчикам</w:t>
      </w:r>
      <w:bookmarkEnd w:id="316"/>
      <w:bookmarkEnd w:id="317"/>
      <w:bookmarkEnd w:id="318"/>
      <w:bookmarkEnd w:id="319"/>
      <w:bookmarkEnd w:id="320"/>
      <w:bookmarkEnd w:id="321"/>
      <w:bookmarkEnd w:id="322"/>
      <w:bookmarkEnd w:id="323"/>
      <w:bookmarkEnd w:id="32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8" w:name="_Ref125370187"/>
            <w:bookmarkStart w:id="329" w:name="_Ref125370187"/>
            <w:bookmarkEnd w:id="32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0" w:name="_Ref125370193"/>
            <w:bookmarkStart w:id="331" w:name="_Ref125370193"/>
            <w:bookmarkEnd w:id="331"/>
          </w:p>
        </w:tc>
        <w:tc>
          <w:tcPr>
            <w:tcW w:w="5671"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553847"/>
            <w:bookmarkStart w:id="333" w:name="_Ref125553847"/>
            <w:bookmarkEnd w:id="33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334" w:name="_Toc228877717"/>
      <w:bookmarkStart w:id="335" w:name="Прил04_ФормыЗаявки"/>
      <w:bookmarkEnd w:id="335"/>
      <w:r>
        <w:rPr/>
        <w:t>Приложение № 4 – Образцы форм документов, включаемых в состав заявки</w:t>
      </w:r>
      <w:bookmarkEnd w:id="334"/>
    </w:p>
    <w:p>
      <w:pPr>
        <w:pStyle w:val="Style25"/>
        <w:rPr/>
      </w:pPr>
      <w:bookmarkStart w:id="336" w:name="_Toc228877718"/>
      <w:r>
        <w:rPr/>
        <w:t>Пояснения к Образцам форм документов, включаемых в состав заявки</w:t>
      </w:r>
      <w:bookmarkEnd w:id="336"/>
    </w:p>
    <w:p>
      <w:pPr>
        <w:pStyle w:val="Style26"/>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4"/>
        <w:rPr/>
      </w:pPr>
      <w:bookmarkStart w:id="337" w:name="_Toc228877719"/>
      <w:bookmarkStart w:id="338" w:name="Прил05_ФормыПобедителя"/>
      <w:bookmarkEnd w:id="338"/>
      <w:r>
        <w:rPr/>
        <w:t>Приложение № 5 – Образцы форм документов, предоставляемых Победителем</w:t>
      </w:r>
      <w:bookmarkEnd w:id="337"/>
    </w:p>
    <w:p>
      <w:pPr>
        <w:pStyle w:val="Style25"/>
        <w:rPr/>
      </w:pPr>
      <w:bookmarkStart w:id="339" w:name="_Toc228877720"/>
      <w:r>
        <w:rPr/>
        <w:t>Пояснения к Образцам форм документов, предоставляемых Победителем</w:t>
      </w:r>
      <w:bookmarkEnd w:id="339"/>
    </w:p>
    <w:p>
      <w:pPr>
        <w:pStyle w:val="Style26"/>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2</w:t>
      </w:r>
      <w:r>
        <w:rPr/>
        <w:fldChar w:fldCharType="end"/>
      </w:r>
      <w:r>
        <w:rPr/>
        <w:t xml:space="preserve">, </w:t>
      </w:r>
      <w:r>
        <w:rPr/>
        <w:fldChar w:fldCharType="begin"/>
      </w:r>
      <w:r>
        <w:rPr/>
        <w:instrText xml:space="preserve"> REF _Ref130395475 \r \h </w:instrText>
      </w:r>
      <w:r>
        <w:rPr/>
        <w:fldChar w:fldCharType="separate"/>
      </w:r>
      <w:r>
        <w:rPr/>
        <w:t>3</w:t>
      </w:r>
      <w:r>
        <w:rPr/>
        <w:fldChar w:fldCharType="end"/>
      </w:r>
      <w:r>
        <w:rPr/>
        <w:t>.</w:t>
      </w:r>
    </w:p>
    <w:p>
      <w:pPr>
        <w:pStyle w:val="Style25"/>
        <w:rPr/>
      </w:pPr>
      <w:bookmarkStart w:id="340" w:name="_Toc228877721"/>
      <w:bookmarkStart w:id="341" w:name="_Ref130395470"/>
      <w:r>
        <w:rPr/>
        <w:t>Форма справки «Сведения о цепочке собственников, включая бенефициаров (в том числе конечных)»</w:t>
      </w:r>
      <w:bookmarkEnd w:id="340"/>
      <w:bookmarkEnd w:id="341"/>
    </w:p>
    <w:p>
      <w:pPr>
        <w:pStyle w:val="Style26"/>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2" w:name="_MON_1805621314"/>
    </w:p>
    <w:p>
      <w:pPr>
        <w:pStyle w:val="Style30"/>
        <w:jc w:val="center"/>
        <w:rPr/>
      </w:pPr>
      <w:bookmarkEnd w:id="342"/>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8.4pt;mso-wrap-distance-right:0pt" filled="f" o:ole="">
            <v:imagedata r:id="rId24" o:title=""/>
          </v:shape>
          <o:OLEObject Type="Embed" ProgID="Word.Document.12" ShapeID="ole_rId23" DrawAspect="Icon" ObjectID="_410827247" r:id="rId23"/>
        </w:object>
      </w:r>
    </w:p>
    <w:p>
      <w:pPr>
        <w:pStyle w:val="Style25"/>
        <w:rPr/>
      </w:pPr>
      <w:bookmarkStart w:id="343" w:name="_Toc228877722"/>
      <w:bookmarkStart w:id="344" w:name="_Ref130395475"/>
      <w:r>
        <w:rPr/>
        <w:t>Форма «Заверение об обстоятельствах»</w:t>
      </w:r>
      <w:bookmarkEnd w:id="343"/>
      <w:bookmarkEnd w:id="344"/>
    </w:p>
    <w:p>
      <w:pPr>
        <w:pStyle w:val="Style26"/>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6"/>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5" w:name="_MON_1741074184"/>
    </w:p>
    <w:p>
      <w:pPr>
        <w:pStyle w:val="Style30"/>
        <w:spacing w:before="120" w:after="120"/>
        <w:jc w:val="center"/>
        <w:rPr/>
      </w:pPr>
      <w:bookmarkEnd w:id="345"/>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05pt;height:52.05pt;mso-wrap-distance-right:0pt;mso-wrap-distance-bottom:6pt" filled="f" o:ole="">
            <v:imagedata r:id="rId26" o:title=""/>
          </v:shape>
          <o:OLEObject Type="Embed" ProgID="Word.Document.12" ShapeID="ole_rId25" DrawAspect="Icon" ObjectID="_1340422172" r:id="rId25"/>
        </w:object>
      </w:r>
    </w:p>
    <w:p>
      <w:pPr>
        <w:pStyle w:val="Style24"/>
        <w:rPr/>
      </w:pPr>
      <w:bookmarkStart w:id="346" w:name="_Ref125362900"/>
      <w:bookmarkStart w:id="347" w:name="_Ref125362865"/>
      <w:bookmarkStart w:id="348" w:name="_Toc228877723"/>
      <w:bookmarkStart w:id="349" w:name="Прил06_СоставЗаявки"/>
      <w:bookmarkEnd w:id="349"/>
      <w:r>
        <w:rPr/>
        <w:t>Приложение № 6 – Состав заявки</w:t>
      </w:r>
      <w:bookmarkEnd w:id="346"/>
      <w:bookmarkEnd w:id="347"/>
      <w:bookmarkEnd w:id="348"/>
    </w:p>
    <w:p>
      <w:pPr>
        <w:pStyle w:val="Style25"/>
        <w:rPr/>
      </w:pPr>
      <w:bookmarkStart w:id="350" w:name="_Toc228877724"/>
      <w:r>
        <w:rPr/>
        <w:t>Состав заявки</w:t>
      </w:r>
      <w:bookmarkEnd w:id="350"/>
    </w:p>
    <w:p>
      <w:pPr>
        <w:pStyle w:val="Style26"/>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2888537"/>
            <w:bookmarkStart w:id="352" w:name="_Ref132888537"/>
            <w:bookmarkEnd w:id="352"/>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0389408"/>
            <w:bookmarkStart w:id="354" w:name="_Ref130389408"/>
            <w:bookmarkEnd w:id="354"/>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0389413"/>
            <w:bookmarkStart w:id="356" w:name="_Ref130389413"/>
            <w:bookmarkEnd w:id="356"/>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19"/>
            <w:bookmarkStart w:id="358" w:name="_Ref130389419"/>
            <w:bookmarkEnd w:id="358"/>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pPr>
      <w:bookmarkStart w:id="359" w:name="_Toc228877725"/>
      <w:bookmarkStart w:id="360" w:name="_Ref125365264"/>
      <w:bookmarkStart w:id="361" w:name="Прил07_ОтборочныеКритерии"/>
      <w:bookmarkEnd w:id="361"/>
      <w:r>
        <w:rPr/>
        <w:t>Приложение № 7 – Отборочные критерии рассмотрения заявок</w:t>
      </w:r>
      <w:bookmarkEnd w:id="359"/>
      <w:bookmarkEnd w:id="360"/>
    </w:p>
    <w:p>
      <w:pPr>
        <w:pStyle w:val="Style25"/>
        <w:spacing w:before="360" w:after="120"/>
        <w:rPr>
          <w:rStyle w:val="Style8"/>
          <w:i w:val="false"/>
          <w:i w:val="false"/>
          <w:iCs w:val="false"/>
          <w:shd w:fill="auto" w:val="clear"/>
        </w:rPr>
      </w:pPr>
      <w:bookmarkStart w:id="362" w:name="_Toc228877726"/>
      <w:r>
        <w:rPr>
          <w:rStyle w:val="Style8"/>
          <w:i w:val="false"/>
          <w:iCs w:val="false"/>
          <w:shd w:fill="auto" w:val="clear"/>
        </w:rPr>
        <w:t>Отборочные критерии рассмотрения первых частей заявок</w:t>
      </w:r>
      <w:bookmarkEnd w:id="362"/>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3" w:name="_Hlk132891087"/>
      <w:bookmarkStart w:id="364" w:name="_Toc228877728"/>
      <w:r>
        <w:rPr>
          <w:rStyle w:val="Style8"/>
          <w:i w:val="false"/>
          <w:iCs w:val="false"/>
          <w:shd w:fill="auto" w:val="clear"/>
        </w:rPr>
        <w:t>Отборочные критерии рассмотрения вторых частей заявок</w:t>
      </w:r>
      <w:bookmarkEnd w:id="363"/>
      <w:bookmarkEnd w:id="36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5" w:name="_Ref132890414"/>
            <w:bookmarkStart w:id="366" w:name="_Ref132890414"/>
            <w:bookmarkEnd w:id="366"/>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18</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7" w:name="_Toc228877729"/>
      <w:r>
        <w:rPr>
          <w:rStyle w:val="Style8"/>
          <w:i w:val="false"/>
          <w:iCs w:val="false"/>
          <w:shd w:fill="auto" w:val="clear"/>
        </w:rPr>
        <w:t>Отборочные критерии рассмотрения ценовых предложений</w:t>
      </w:r>
      <w:bookmarkEnd w:id="36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30"/>
              <w:widowControl w:val="false"/>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5"/>
        <w:rPr>
          <w:rStyle w:val="Style8"/>
          <w:i w:val="false"/>
          <w:i w:val="false"/>
          <w:iCs w:val="false"/>
          <w:shd w:fill="auto" w:val="clear"/>
        </w:rPr>
      </w:pPr>
      <w:bookmarkStart w:id="368" w:name="_Toc228877730"/>
      <w:r>
        <w:rPr>
          <w:rStyle w:val="Style8"/>
          <w:i w:val="false"/>
          <w:iCs w:val="false"/>
          <w:shd w:fill="auto" w:val="clear"/>
        </w:rPr>
        <w:t>Дополнительные критерии проверки заявок на соответствие условиям Документации о закупке</w:t>
      </w:r>
      <w:bookmarkEnd w:id="368"/>
    </w:p>
    <w:p>
      <w:pPr>
        <w:pStyle w:val="Style30"/>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0"/>
        <w:keepNext w:val="true"/>
        <w:tabs>
          <w:tab w:val="clear" w:pos="708"/>
          <w:tab w:val="left" w:pos="851" w:leader="none"/>
        </w:tabs>
        <w:spacing w:before="240" w:after="0"/>
        <w:rPr>
          <w:b/>
          <w:bCs/>
        </w:rPr>
      </w:pPr>
      <w:r>
        <w:rPr>
          <w:b/>
          <w:bCs/>
        </w:rPr>
        <w:t>* Направления оценки заявок:</w:t>
      </w:r>
    </w:p>
    <w:p>
      <w:pPr>
        <w:pStyle w:val="Style30"/>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left="1701" w:hanging="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left="1701" w:hanging="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0"/>
        <w:tabs>
          <w:tab w:val="clear" w:pos="708"/>
          <w:tab w:val="left" w:pos="1134" w:leader="none"/>
        </w:tabs>
        <w:ind w:left="1701" w:hanging="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3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pPr>
      <w:bookmarkStart w:id="369" w:name="_Toc228877731"/>
      <w:bookmarkStart w:id="370" w:name="_Ref125369438"/>
      <w:bookmarkStart w:id="371" w:name="_Ref125369021"/>
      <w:bookmarkStart w:id="372" w:name="_Ref125368331"/>
      <w:bookmarkStart w:id="373" w:name="_Ref125368313"/>
      <w:bookmarkStart w:id="374" w:name="_Ref125368302"/>
      <w:bookmarkStart w:id="375" w:name="_Ref125368291"/>
      <w:bookmarkStart w:id="376" w:name="_Ref125368283"/>
      <w:bookmarkStart w:id="377" w:name="_Ref125368184"/>
      <w:bookmarkStart w:id="378" w:name="_Ref125368172"/>
      <w:bookmarkStart w:id="379" w:name="_Ref125368165"/>
      <w:bookmarkStart w:id="380" w:name="_Ref125368150"/>
      <w:bookmarkStart w:id="381" w:name="_Ref125368140"/>
      <w:bookmarkStart w:id="382" w:name="_Ref125366285"/>
      <w:bookmarkStart w:id="383" w:name="_Ref125366280"/>
      <w:bookmarkStart w:id="384" w:name="_Ref125366013"/>
      <w:bookmarkStart w:id="385" w:name="_Ref125361951"/>
      <w:bookmarkStart w:id="386" w:name="_Ref125361648"/>
      <w:bookmarkStart w:id="387" w:name="Прил08_ПорядокОценки"/>
      <w:bookmarkEnd w:id="387"/>
      <w:r>
        <w:rPr/>
        <w:t>Приложение № 8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Style25"/>
        <w:rPr/>
      </w:pPr>
      <w:bookmarkStart w:id="388" w:name="_Toc228877732"/>
      <w:r>
        <w:rPr/>
        <w:t>Порядок и критерии оценки и сопоставления заявок</w:t>
      </w:r>
      <w:bookmarkEnd w:id="388"/>
    </w:p>
    <w:p>
      <w:pPr>
        <w:pStyle w:val="Style26"/>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30"/>
        <w:spacing w:before="120" w:after="120"/>
        <w:ind w:left="1134" w:hanging="0"/>
        <w:rPr>
          <w:rStyle w:val="Style8"/>
        </w:rPr>
      </w:pPr>
      <w:r>
        <w:rPr/>
      </w:r>
    </w:p>
    <w:tbl>
      <w:tblPr>
        <w:tblW w:w="5000" w:type="pct"/>
        <w:jc w:val="left"/>
        <w:tblInd w:w="79" w:type="dxa"/>
        <w:tblLayout w:type="fixed"/>
        <w:tblCellMar>
          <w:top w:w="55" w:type="dxa"/>
          <w:left w:w="37" w:type="dxa"/>
          <w:bottom w:w="55" w:type="dxa"/>
          <w:right w:w="57" w:type="dxa"/>
        </w:tblCellMar>
        <w:tblLook w:val="04a0" w:noVBand="1" w:noHBand="0" w:lastColumn="0" w:firstColumn="1" w:lastRow="0" w:firstRow="1"/>
      </w:tblPr>
      <w:tblGrid>
        <w:gridCol w:w="1153"/>
        <w:gridCol w:w="1368"/>
        <w:gridCol w:w="2116"/>
        <w:gridCol w:w="1184"/>
        <w:gridCol w:w="1453"/>
        <w:gridCol w:w="1936"/>
        <w:gridCol w:w="5925"/>
      </w:tblGrid>
      <w:tr>
        <w:trPr/>
        <w:tc>
          <w:tcPr>
            <w:tcW w:w="11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Номер критерия оценки в</w:t>
            </w:r>
            <w:r>
              <w:rPr>
                <w:rFonts w:eastAsia="Calibri"/>
                <w:b/>
                <w:sz w:val="22"/>
                <w:szCs w:val="22"/>
                <w:lang w:val="en-US" w:eastAsia="en-US"/>
              </w:rPr>
              <w:t> </w:t>
            </w:r>
            <w:r>
              <w:rPr>
                <w:rFonts w:eastAsia="Calibri"/>
                <w:b/>
                <w:sz w:val="22"/>
                <w:szCs w:val="22"/>
                <w:lang w:eastAsia="en-US"/>
              </w:rPr>
              <w:t>структуре</w:t>
            </w:r>
          </w:p>
        </w:tc>
        <w:tc>
          <w:tcPr>
            <w:tcW w:w="1368"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Вид критерия оценки / направление оценки заявок</w:t>
            </w:r>
          </w:p>
        </w:tc>
        <w:tc>
          <w:tcPr>
            <w:tcW w:w="3300" w:type="dxa"/>
            <w:gridSpan w:val="2"/>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Наименование критерия оценки</w:t>
            </w:r>
          </w:p>
        </w:tc>
        <w:tc>
          <w:tcPr>
            <w:tcW w:w="14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Значимость</w:t>
              <w:br/>
              <w:t>критерия оценки</w:t>
            </w:r>
          </w:p>
        </w:tc>
        <w:tc>
          <w:tcPr>
            <w:tcW w:w="1936"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Содержание частного критерия оценки</w:t>
            </w:r>
          </w:p>
        </w:tc>
        <w:tc>
          <w:tcPr>
            <w:tcW w:w="5925" w:type="dxa"/>
            <w:vMerge w:val="restart"/>
            <w:tcBorders>
              <w:top w:val="single" w:sz="4" w:space="0" w:color="000001"/>
              <w:left w:val="single" w:sz="4" w:space="0" w:color="000001"/>
              <w:bottom w:val="single" w:sz="4" w:space="0" w:color="000001"/>
              <w:right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Расчет оценки предпочтительности заявки</w:t>
            </w:r>
          </w:p>
        </w:tc>
      </w:tr>
      <w:tr>
        <w:trPr/>
        <w:tc>
          <w:tcPr>
            <w:tcW w:w="11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368"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первого уровня</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второго уровня</w:t>
            </w:r>
          </w:p>
        </w:tc>
        <w:tc>
          <w:tcPr>
            <w:tcW w:w="14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936"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5925"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sz w:val="22"/>
                <w:szCs w:val="22"/>
              </w:rPr>
            </w:r>
          </w:p>
        </w:tc>
      </w:tr>
      <w:tr>
        <w:trPr/>
        <w:tc>
          <w:tcPr>
            <w:tcW w:w="1153"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rFonts w:eastAsia="Calibri"/>
                <w:sz w:val="22"/>
                <w:szCs w:val="22"/>
                <w:lang w:eastAsia="en-US"/>
              </w:rPr>
              <w:t>1.</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rFonts w:eastAsia="Calibri"/>
                <w:sz w:val="22"/>
                <w:szCs w:val="22"/>
                <w:lang w:eastAsia="en-US"/>
              </w:rPr>
              <w:t>«Ценовой критерий оценки первого уровня»/Цена</w:t>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2"/>
                <w:szCs w:val="22"/>
                <w:shd w:fill="FFFFFF" w:val="clear"/>
                <w:lang w:eastAsia="en-US"/>
              </w:rPr>
              <w:t>Цена договора (стоимость заявки)</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2"/>
                <w:szCs w:val="22"/>
                <w:shd w:fill="FFFFFF" w:val="clear"/>
                <w:lang w:eastAsia="en-US"/>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90%</w:t>
              <w:br/>
              <w:t>(В</w:t>
            </w:r>
            <w:r>
              <w:rPr>
                <w:sz w:val="22"/>
                <w:szCs w:val="22"/>
                <w:vertAlign w:val="subscript"/>
                <w:lang w:eastAsia="ru-RU"/>
              </w:rPr>
              <w:t>1</w:t>
            </w:r>
            <w:r>
              <w:rPr>
                <w:sz w:val="22"/>
                <w:szCs w:val="22"/>
                <w:lang w:eastAsia="ru-RU"/>
              </w:rPr>
              <w:t xml:space="preserve"> = 0,90)</w:t>
            </w:r>
          </w:p>
        </w:tc>
        <w:tc>
          <w:tcPr>
            <w:tcW w:w="1936"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left"/>
              <w:rPr/>
            </w:pPr>
            <w:r>
              <w:rPr>
                <w:rStyle w:val="Style8"/>
                <w:rFonts w:eastAsia="Calibri"/>
                <w:i w:val="false"/>
                <w:iCs w:val="false"/>
                <w:sz w:val="22"/>
                <w:szCs w:val="22"/>
                <w:shd w:fill="FFFFFF" w:val="clear"/>
                <w:lang w:eastAsia="en-US"/>
              </w:rPr>
              <w:t>Чем меньше стоимость заявки Участника,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40" w:after="40"/>
              <w:jc w:val="left"/>
              <w:rPr>
                <w:sz w:val="22"/>
                <w:szCs w:val="22"/>
              </w:rPr>
            </w:pPr>
            <w:r>
              <w:rPr>
                <w:rStyle w:val="Style8"/>
                <w:rFonts w:eastAsia="Calibri"/>
                <w:i w:val="false"/>
                <w:iCs w:val="false"/>
                <w:sz w:val="22"/>
                <w:szCs w:val="22"/>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30"/>
              <w:widowControl w:val="false"/>
              <w:spacing w:before="40" w:after="4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30"/>
              <w:widowControl w:val="false"/>
              <w:spacing w:before="40" w:after="40"/>
              <w:jc w:val="left"/>
              <w:rPr/>
            </w:pPr>
            <w:r>
              <w:rPr>
                <w:rStyle w:val="Style8"/>
                <w:rFonts w:eastAsia="Calibri"/>
                <w:i w:val="false"/>
                <w:iCs w:val="false"/>
                <w:sz w:val="22"/>
                <w:szCs w:val="22"/>
                <w:shd w:fill="FFFFFF" w:val="clear"/>
                <w:lang w:eastAsia="en-US"/>
              </w:rPr>
              <w:t>где:</w:t>
            </w:r>
          </w:p>
          <w:p>
            <w:pPr>
              <w:pStyle w:val="Style30"/>
              <w:widowControl w:val="false"/>
              <w:spacing w:before="40" w:after="40"/>
              <w:jc w:val="left"/>
              <w:rPr>
                <w:rFonts w:ascii="Times New Roman" w:hAnsi="Times New Roman"/>
                <w:sz w:val="22"/>
                <w:szCs w:val="22"/>
              </w:rPr>
            </w:pPr>
            <w:r>
              <w:rPr>
                <w:sz w:val="22"/>
                <w:szCs w:val="22"/>
                <w:lang w:eastAsia="ru-RU"/>
              </w:rPr>
              <w:t>Б</w:t>
            </w:r>
            <w:r>
              <w:rPr>
                <w:sz w:val="22"/>
                <w:szCs w:val="22"/>
                <w:vertAlign w:val="subscript"/>
                <w:lang w:eastAsia="ru-RU"/>
              </w:rPr>
              <w:t>1</w:t>
            </w:r>
            <w:r>
              <w:rPr>
                <w:sz w:val="22"/>
                <w:szCs w:val="22"/>
                <w:lang w:eastAsia="ru-RU"/>
              </w:rPr>
              <w:tab/>
              <w:t>–</w:t>
              <w:tab/>
              <w:t>рассчитанная оценка предпочтительности по данному частному критерию оценки в баллах;</w:t>
            </w:r>
          </w:p>
          <w:p>
            <w:pPr>
              <w:pStyle w:val="Normal"/>
              <w:widowControl w:val="false"/>
              <w:spacing w:lineRule="auto" w:line="252"/>
              <w:rPr>
                <w:rFonts w:ascii="Times New Roman" w:hAnsi="Times New Roman"/>
                <w:sz w:val="22"/>
                <w:szCs w:val="22"/>
              </w:rPr>
            </w:pPr>
            <w:r>
              <w:rPr>
                <w:sz w:val="22"/>
                <w:szCs w:val="22"/>
              </w:rPr>
              <w:t>ЦЕНА</w:t>
            </w:r>
            <w:r>
              <w:rPr>
                <w:i/>
                <w:iCs/>
                <w:sz w:val="22"/>
                <w:szCs w:val="22"/>
                <w:vertAlign w:val="subscript"/>
                <w:lang w:val="en-US"/>
              </w:rPr>
              <w:t>i</w:t>
            </w:r>
            <w:r>
              <w:rPr>
                <w:sz w:val="22"/>
                <w:szCs w:val="22"/>
              </w:rPr>
              <w:t xml:space="preserve">  – </w:t>
            </w:r>
            <w:r>
              <w:rPr>
                <w:rFonts w:eastAsia="Calibri"/>
                <w:sz w:val="22"/>
                <w:szCs w:val="22"/>
              </w:rPr>
              <w:t xml:space="preserve">цена договора (стоимость заявки), указанная в </w:t>
            </w:r>
            <w:r>
              <w:rPr>
                <w:rFonts w:eastAsia="Calibri"/>
                <w:sz w:val="22"/>
                <w:szCs w:val="22"/>
                <w:lang w:val="en-US"/>
              </w:rPr>
              <w:t>i</w:t>
            </w:r>
            <w:r>
              <w:rPr>
                <w:rFonts w:eastAsia="Calibri"/>
                <w:sz w:val="22"/>
                <w:szCs w:val="22"/>
              </w:rPr>
              <w:t xml:space="preserve">-той заявке (в Коммерческом предложении по установленной в Документации о закупке форме) допущенного Участника, </w:t>
            </w:r>
            <w:r>
              <w:rPr>
                <w:sz w:val="22"/>
                <w:szCs w:val="22"/>
              </w:rPr>
              <w:t>руб. без учета НДС;</w:t>
            </w:r>
          </w:p>
          <w:p>
            <w:pPr>
              <w:pStyle w:val="Normal"/>
              <w:widowControl w:val="false"/>
              <w:spacing w:lineRule="auto" w:line="252"/>
              <w:rPr>
                <w:rFonts w:ascii="Times New Roman" w:hAnsi="Times New Roman"/>
                <w:sz w:val="22"/>
                <w:szCs w:val="22"/>
              </w:rPr>
            </w:pPr>
            <w:r>
              <w:rPr>
                <w:sz w:val="22"/>
                <w:szCs w:val="22"/>
              </w:rPr>
              <w:t>ЦЕНА</w:t>
            </w:r>
            <w:r>
              <w:rPr>
                <w:sz w:val="22"/>
                <w:szCs w:val="22"/>
                <w:vertAlign w:val="subscript"/>
                <w:lang w:val="en-US"/>
              </w:rPr>
              <w:t>min</w:t>
            </w:r>
            <w:r>
              <w:rPr>
                <w:sz w:val="22"/>
                <w:szCs w:val="22"/>
                <w:vertAlign w:val="subscript"/>
              </w:rPr>
              <w:t xml:space="preserve"> </w:t>
            </w:r>
            <w:r>
              <w:rPr>
                <w:sz w:val="22"/>
                <w:szCs w:val="22"/>
              </w:rPr>
              <w:t>– минимальная цена договора (стоимость заявки) среди всех допущенных заявок Участников, руб. без учета НДС;</w:t>
            </w:r>
          </w:p>
          <w:p>
            <w:pPr>
              <w:pStyle w:val="22"/>
              <w:widowControl w:val="false"/>
              <w:numPr>
                <w:ilvl w:val="6"/>
                <w:numId w:val="3"/>
              </w:numPr>
              <w:tabs>
                <w:tab w:val="left" w:pos="742" w:leader="none"/>
                <w:tab w:val="left" w:pos="1167" w:leader="none"/>
              </w:tabs>
              <w:spacing w:lineRule="auto" w:line="240" w:before="0" w:after="0"/>
              <w:ind w:left="0" w:right="0" w:hanging="0"/>
              <w:jc w:val="left"/>
              <w:rPr>
                <w:rFonts w:ascii="Times New Roman" w:hAnsi="Times New Roman"/>
                <w:sz w:val="22"/>
                <w:szCs w:val="22"/>
              </w:rPr>
            </w:pPr>
            <w:r>
              <w:rPr>
                <w:rFonts w:ascii="Times New Roman" w:hAnsi="Times New Roman"/>
                <w:sz w:val="22"/>
                <w:szCs w:val="22"/>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7"/>
                <w:numId w:val="3"/>
              </w:numPr>
              <w:spacing w:lineRule="auto" w:line="240" w:before="96" w:after="96"/>
              <w:ind w:left="0" w:hanging="0"/>
              <w:contextualSpacing/>
              <w:jc w:val="left"/>
              <w:rPr>
                <w:rFonts w:ascii="Times New Roman" w:hAnsi="Times New Roman"/>
                <w:sz w:val="22"/>
                <w:szCs w:val="22"/>
              </w:rPr>
            </w:pPr>
            <w:r>
              <w:rPr>
                <w:sz w:val="22"/>
                <w:szCs w:val="22"/>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22"/>
                <w:szCs w:val="22"/>
              </w:rPr>
              <w:t>.</w:t>
            </w:r>
          </w:p>
          <w:p>
            <w:pPr>
              <w:pStyle w:val="Style30"/>
              <w:widowControl w:val="false"/>
              <w:spacing w:before="40" w:after="40"/>
              <w:jc w:val="left"/>
              <w:rPr/>
            </w:pPr>
            <w:r>
              <w:rPr>
                <w:rStyle w:val="Style8"/>
                <w:rFonts w:eastAsia="Calibri"/>
                <w:i w:val="false"/>
                <w:iCs w:val="false"/>
                <w:sz w:val="22"/>
                <w:szCs w:val="22"/>
                <w:shd w:fill="FFFFFF" w:val="clear"/>
                <w:lang w:eastAsia="ru-RU"/>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2.</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2"/>
                <w:szCs w:val="22"/>
              </w:rPr>
            </w:pPr>
            <w:r>
              <w:rPr>
                <w:rFonts w:eastAsia="Calibri"/>
                <w:sz w:val="22"/>
                <w:szCs w:val="22"/>
                <w:lang w:eastAsia="en-US"/>
              </w:rPr>
              <w:t>«Неценовой критерий оценки первого уровня;</w:t>
              <w:br/>
              <w:t>Тех</w:t>
            </w:r>
          </w:p>
        </w:tc>
        <w:tc>
          <w:tcPr>
            <w:tcW w:w="2116" w:type="dxa"/>
            <w:tcBorders>
              <w:top w:val="single" w:sz="4" w:space="0" w:color="000001"/>
              <w:left w:val="single" w:sz="4" w:space="0" w:color="000001"/>
              <w:bottom w:val="single" w:sz="4" w:space="0" w:color="000001"/>
            </w:tcBorders>
            <w:shd w:color="auto" w:fill="auto" w:val="clear"/>
          </w:tcPr>
          <w:p>
            <w:pPr>
              <w:pStyle w:val="Normal"/>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Опыт Участника</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lineRule="auto" w:line="240" w:before="0" w:after="0"/>
              <w:jc w:val="center"/>
              <w:rPr>
                <w:rFonts w:ascii="Times New Roman" w:hAnsi="Times New Roman"/>
              </w:rPr>
            </w:pPr>
            <w:r>
              <w:rPr/>
            </w:r>
            <m:oMathPara xmlns:m="http://schemas.openxmlformats.org/officeDocument/2006/math">
              <m:oMathParaPr>
                <m:jc m:val="center"/>
              </m:oMathParaPr>
              <m:oMath>
                <m:r>
                  <w:rPr>
                    <w:rFonts w:ascii="Cambria Math" w:hAnsi="Cambria Math"/>
                  </w:rPr>
                  <m:t xml:space="preserve">5</m:t>
                </m:r>
                <m:r>
                  <m:rPr>
                    <m:lit/>
                    <m:nor/>
                  </m:rPr>
                  <w:rPr>
                    <w:rFonts w:ascii="Cambria Math" w:hAnsi="Cambria Math"/>
                  </w:rPr>
                  <m:t xml:space="preserve">%</m:t>
                </m:r>
                <m:d>
                  <m:dPr>
                    <m:begChr m:val="("/>
                    <m:endChr m:val=")"/>
                  </m:dPr>
                  <m:e>
                    <m:sSub>
                      <m:e>
                        <m:r>
                          <w:rPr>
                            <w:rFonts w:ascii="Cambria Math" w:hAnsi="Cambria Math"/>
                          </w:rPr>
                          <m:t xml:space="preserve">В</m:t>
                        </m:r>
                      </m:e>
                      <m:sub>
                        <m:r>
                          <w:rPr>
                            <w:rFonts w:ascii="Cambria Math" w:hAnsi="Cambria Math"/>
                          </w:rPr>
                          <m:t xml:space="preserve">2</m:t>
                        </m:r>
                      </m:sub>
                    </m:sSub>
                    <m:r>
                      <w:rPr>
                        <w:rFonts w:ascii="Cambria Math" w:hAnsi="Cambria Math"/>
                      </w:rPr>
                      <m:t xml:space="preserve">=</m:t>
                    </m:r>
                    <m:r>
                      <w:rPr>
                        <w:rFonts w:ascii="Cambria Math" w:hAnsi="Cambria Math"/>
                      </w:rPr>
                      <m:t xml:space="preserve">0,05</m:t>
                    </m:r>
                  </m:e>
                </m:d>
              </m:oMath>
            </m:oMathPara>
          </w:p>
          <w:p>
            <w:pPr>
              <w:pStyle w:val="Style30"/>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 xml:space="preserve">где </w:t>
            </w:r>
            <w:r>
              <w:rPr>
                <w:rFonts w:eastAsia="Calibri"/>
                <w:b w:val="false"/>
                <w:bCs w:val="false"/>
                <w:i w:val="false"/>
                <w:iCs w:val="false"/>
                <w:kern w:val="0"/>
                <w:sz w:val="24"/>
                <w:szCs w:val="24"/>
                <w:lang w:val="ru-RU" w:eastAsia="en-US" w:bidi="ar-SA"/>
              </w:rPr>
            </w:r>
            <m:oMath xmlns:m="http://schemas.openxmlformats.org/officeDocument/2006/math">
              <m:sSub>
                <m:e>
                  <m:r>
                    <w:rPr>
                      <w:rFonts w:ascii="Cambria Math" w:hAnsi="Cambria Math"/>
                    </w:rPr>
                    <m:t xml:space="preserve">B</m:t>
                  </m:r>
                </m:e>
                <m:sub>
                  <m:r>
                    <w:rPr>
                      <w:rFonts w:ascii="Cambria Math" w:hAnsi="Cambria Math"/>
                    </w:rPr>
                    <m:t xml:space="preserve">2</m:t>
                  </m:r>
                </m:sub>
              </m:sSub>
            </m:oMath>
            <w:r>
              <w:rPr>
                <w:rFonts w:eastAsia="Calibri"/>
                <w:b w:val="false"/>
                <w:bCs w:val="false"/>
                <w:i w:val="false"/>
                <w:iCs w:val="false"/>
                <w:kern w:val="0"/>
                <w:sz w:val="24"/>
                <w:szCs w:val="24"/>
                <w:lang w:val="ru-RU" w:eastAsia="en-US" w:bidi="ar-SA"/>
              </w:rPr>
              <w:t xml:space="preserve"> – значимость (вес) критерия оценки]</w:t>
            </w:r>
          </w:p>
        </w:tc>
        <w:tc>
          <w:tcPr>
            <w:tcW w:w="1936"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pPr>
            <w:r>
              <w:rPr>
                <w:rStyle w:val="Style20"/>
                <w:rFonts w:cs="Times New Roman"/>
                <w:lang w:eastAsia="ru-RU"/>
              </w:rPr>
              <w:t xml:space="preserve">Чем больше опыт </w:t>
            </w:r>
            <w:r>
              <w:rPr>
                <w:rStyle w:val="Style20"/>
                <w:rFonts w:eastAsia="Calibri" w:cs="Times New Roman"/>
                <w:lang w:eastAsia="ru-RU"/>
              </w:rPr>
              <w:t>по строительству или ремонту зданий и сооружений</w:t>
            </w:r>
            <w:r>
              <w:rPr>
                <w:rStyle w:val="Style20"/>
                <w:rFonts w:cs="Times New Roman"/>
                <w:lang w:eastAsia="ru-RU"/>
              </w:rPr>
              <w:t>,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before="96" w:after="96"/>
              <w:rPr/>
            </w:pPr>
            <w:r>
              <w:rPr>
                <w:rStyle w:val="Style20"/>
                <w:rFonts w:eastAsia="Calibri" w:cs="Times New Roman"/>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lineRule="auto" w:line="240" w:before="96" w:after="96"/>
              <w:rPr/>
            </w:pPr>
            <w:r>
              <w:rPr>
                <w:rStyle w:val="Style20"/>
                <w:rFonts w:eastAsia="Calibri" w:cs="Times New Roman"/>
              </w:rPr>
              <w:t xml:space="preserve">Порядок осуществления оценки (значение оцениваемого параметра), в зависимости от предоставленных в i-ой заявке документов, подтверждающих наличие у Участника совокупного опыта (в рамках одного или нескольких договоров) по </w:t>
            </w:r>
            <w:r>
              <w:rPr>
                <w:rStyle w:val="Style20"/>
                <w:rFonts w:eastAsia="Calibri" w:cs="Times New Roman"/>
                <w:b/>
                <w:bCs/>
              </w:rPr>
              <w:t>строительству или ремонту зданий и сооружений</w:t>
            </w:r>
            <w:r>
              <w:rPr>
                <w:rStyle w:val="Style20"/>
                <w:rFonts w:eastAsia="Calibri" w:cs="Times New Roman"/>
              </w:rPr>
              <w:t xml:space="preserve"> за последние 5 (пять) лет, предшествующих дате подачи заявки участником.</w:t>
            </w:r>
          </w:p>
          <w:p>
            <w:pPr>
              <w:pStyle w:val="Normal"/>
              <w:widowControl w:val="false"/>
              <w:spacing w:lineRule="auto" w:line="240" w:before="96" w:after="96"/>
              <w:rPr/>
            </w:pPr>
            <w:r>
              <w:rPr>
                <w:rStyle w:val="Style20"/>
                <w:rFonts w:eastAsia="Calibri" w:cs="Times New Roman"/>
              </w:rPr>
              <w:t xml:space="preserve"> </w:t>
            </w:r>
            <w:r>
              <w:rPr>
                <w:rStyle w:val="Style20"/>
                <w:rFonts w:eastAsia="Calibri" w:cs="Times New Roman"/>
              </w:rPr>
              <w:t>В составе заявки Участник должен представить сведения о ранее выполненных договорах по форме «Справка об опыте Участника», приведенной в Документации о закупке с приложением скан-копий договоров, либо их частей (с приложением документов, предусмотренных требованиями договора, подтверждающий факт его исполнения, подписанных с обеих сторон), подтверждающие предоставленные в форме данные.</w:t>
            </w:r>
          </w:p>
          <w:p>
            <w:pPr>
              <w:pStyle w:val="31"/>
              <w:widowControl w:val="false"/>
              <w:numPr>
                <w:ilvl w:val="0"/>
                <w:numId w:val="0"/>
              </w:numPr>
              <w:spacing w:lineRule="auto" w:line="240" w:before="0" w:after="0"/>
              <w:ind w:right="0" w:hanging="0"/>
              <w:contextualSpacing w:val="false"/>
              <w:jc w:val="left"/>
              <w:rPr/>
            </w:pPr>
            <w:r>
              <w:rPr>
                <w:rStyle w:val="Style20"/>
                <w:rFonts w:cs="Times New Roman"/>
                <w:sz w:val="24"/>
                <w:szCs w:val="24"/>
              </w:rPr>
              <w:t xml:space="preserve"> </w:t>
            </w:r>
            <w:r>
              <w:rPr>
                <w:rStyle w:val="Style20"/>
                <w:rFonts w:cs="Times New Roman"/>
                <w:sz w:val="24"/>
                <w:szCs w:val="24"/>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31"/>
              <w:widowControl w:val="false"/>
              <w:numPr>
                <w:ilvl w:val="0"/>
                <w:numId w:val="0"/>
              </w:numPr>
              <w:spacing w:lineRule="auto" w:line="240" w:before="0" w:after="0"/>
              <w:ind w:right="0" w:hanging="0"/>
              <w:contextualSpacing w:val="false"/>
              <w:jc w:val="left"/>
              <w:rPr>
                <w:rFonts w:ascii="Times New Roman" w:hAnsi="Times New Roman" w:cs="Times New Roman"/>
                <w:sz w:val="24"/>
                <w:szCs w:val="24"/>
              </w:rPr>
            </w:pPr>
            <w:r>
              <w:rPr>
                <w:rFonts w:cs="Times New Roman"/>
                <w:sz w:val="24"/>
                <w:szCs w:val="24"/>
              </w:rPr>
            </w:r>
          </w:p>
          <w:tbl>
            <w:tblPr>
              <w:tblW w:w="5064" w:type="dxa"/>
              <w:jc w:val="left"/>
              <w:tblInd w:w="0" w:type="dxa"/>
              <w:tblLayout w:type="fixed"/>
              <w:tblCellMar>
                <w:top w:w="0" w:type="dxa"/>
                <w:left w:w="108" w:type="dxa"/>
                <w:bottom w:w="0" w:type="dxa"/>
                <w:right w:w="108" w:type="dxa"/>
              </w:tblCellMar>
            </w:tblPr>
            <w:tblGrid>
              <w:gridCol w:w="1521"/>
              <w:gridCol w:w="3542"/>
            </w:tblGrid>
            <w:tr>
              <w:trPr>
                <w:cantSplit w:val="true"/>
              </w:trPr>
              <w:tc>
                <w:tcPr>
                  <w:tcW w:w="1521" w:type="dxa"/>
                  <w:tcBorders>
                    <w:bottom w:val="single" w:sz="8" w:space="0" w:color="00000A"/>
                    <w:right w:val="single" w:sz="8" w:space="0" w:color="00000A"/>
                  </w:tcBorders>
                  <w:shd w:fill="auto" w:val="clear"/>
                </w:tcPr>
                <w:p>
                  <w:pPr>
                    <w:pStyle w:val="31"/>
                    <w:widowControl w:val="false"/>
                    <w:numPr>
                      <w:ilvl w:val="0"/>
                      <w:numId w:val="0"/>
                    </w:numPr>
                    <w:spacing w:lineRule="auto" w:line="240" w:before="0" w:after="0"/>
                    <w:ind w:right="0" w:hanging="0"/>
                    <w:contextualSpacing w:val="false"/>
                    <w:jc w:val="center"/>
                    <w:rPr/>
                  </w:pPr>
                  <w:r>
                    <w:rPr>
                      <w:rStyle w:val="Style20"/>
                      <w:rFonts w:cs="Times New Roman"/>
                      <w:sz w:val="24"/>
                      <w:szCs w:val="24"/>
                    </w:rPr>
                    <w:t>Б2.1  = 0</w:t>
                  </w:r>
                </w:p>
              </w:tc>
              <w:tc>
                <w:tcPr>
                  <w:tcW w:w="3542" w:type="dxa"/>
                  <w:tcBorders>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0" w:after="0"/>
                    <w:ind w:left="28" w:right="0" w:hanging="0"/>
                    <w:jc w:val="left"/>
                    <w:rPr/>
                  </w:pPr>
                  <w:r>
                    <w:rPr>
                      <w:rStyle w:val="Style20"/>
                      <w:rFonts w:cs="Times New Roman" w:ascii="Times New Roman" w:hAnsi="Times New Roman"/>
                      <w:sz w:val="24"/>
                      <w:szCs w:val="24"/>
                    </w:rPr>
                    <w:t>до 30%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right="0" w:hanging="0"/>
                    <w:contextualSpacing w:val="false"/>
                    <w:jc w:val="center"/>
                    <w:rPr/>
                  </w:pPr>
                  <w:r>
                    <w:rPr>
                      <w:rStyle w:val="Style20"/>
                      <w:rFonts w:cs="Times New Roman"/>
                      <w:sz w:val="24"/>
                      <w:szCs w:val="24"/>
                    </w:rPr>
                    <w:t>Б2.1  = 1</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30% НМЦ «без учета НДС», но менее 40%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right="0" w:hanging="0"/>
                    <w:contextualSpacing w:val="false"/>
                    <w:jc w:val="center"/>
                    <w:rPr/>
                  </w:pPr>
                  <w:r>
                    <w:rPr>
                      <w:rStyle w:val="Style20"/>
                      <w:rFonts w:cs="Times New Roman"/>
                      <w:sz w:val="24"/>
                      <w:szCs w:val="24"/>
                    </w:rPr>
                    <w:t>Б2.1  = 2</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40% НМЦ «без учета НДС», но менее 50%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right="0" w:hanging="0"/>
                    <w:contextualSpacing w:val="false"/>
                    <w:jc w:val="center"/>
                    <w:rPr/>
                  </w:pPr>
                  <w:r>
                    <w:rPr>
                      <w:rStyle w:val="Style20"/>
                      <w:rFonts w:cs="Times New Roman"/>
                      <w:sz w:val="24"/>
                      <w:szCs w:val="24"/>
                    </w:rPr>
                    <w:t>Б2.1  = 3</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50% НМЦ «без учета НДС», но менее 60%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right="0" w:hanging="0"/>
                    <w:contextualSpacing w:val="false"/>
                    <w:jc w:val="center"/>
                    <w:rPr/>
                  </w:pPr>
                  <w:r>
                    <w:rPr>
                      <w:rStyle w:val="Style20"/>
                      <w:rFonts w:cs="Times New Roman"/>
                      <w:sz w:val="24"/>
                      <w:szCs w:val="24"/>
                    </w:rPr>
                    <w:t>Б2.1  = 4</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40" w:after="40"/>
                    <w:ind w:left="0" w:right="113" w:hanging="0"/>
                    <w:jc w:val="left"/>
                    <w:rPr/>
                  </w:pPr>
                  <w:r>
                    <w:rPr>
                      <w:rStyle w:val="Style20"/>
                      <w:rFonts w:cs="Times New Roman" w:ascii="Times New Roman" w:hAnsi="Times New Roman"/>
                      <w:sz w:val="24"/>
                      <w:szCs w:val="24"/>
                    </w:rPr>
                    <w:t>более 60% НМЦ «без учета НДС», но менее 70% НМЦ  без учета НДС (включительно);</w:t>
                  </w:r>
                </w:p>
              </w:tc>
            </w:tr>
            <w:tr>
              <w:trPr>
                <w:cantSplit w:val="true"/>
              </w:trPr>
              <w:tc>
                <w:tcPr>
                  <w:tcW w:w="1521" w:type="dxa"/>
                  <w:tcBorders>
                    <w:top w:val="single" w:sz="8" w:space="0" w:color="00000A"/>
                    <w:bottom w:val="single" w:sz="8" w:space="0" w:color="00000A"/>
                    <w:right w:val="single" w:sz="8" w:space="0" w:color="00000A"/>
                  </w:tcBorders>
                  <w:shd w:fill="auto" w:val="clear"/>
                </w:tcPr>
                <w:p>
                  <w:pPr>
                    <w:pStyle w:val="31"/>
                    <w:widowControl w:val="false"/>
                    <w:numPr>
                      <w:ilvl w:val="0"/>
                      <w:numId w:val="0"/>
                    </w:numPr>
                    <w:spacing w:lineRule="auto" w:line="240" w:before="0" w:after="0"/>
                    <w:ind w:right="0" w:hanging="0"/>
                    <w:contextualSpacing w:val="false"/>
                    <w:jc w:val="center"/>
                    <w:rPr/>
                  </w:pPr>
                  <w:r>
                    <w:rPr>
                      <w:rStyle w:val="Style20"/>
                      <w:rFonts w:cs="Times New Roman"/>
                      <w:sz w:val="24"/>
                      <w:szCs w:val="24"/>
                    </w:rPr>
                    <w:t>Б2.1  = 5</w:t>
                  </w:r>
                </w:p>
              </w:tc>
              <w:tc>
                <w:tcPr>
                  <w:tcW w:w="3542" w:type="dxa"/>
                  <w:tcBorders>
                    <w:top w:val="single" w:sz="8" w:space="0" w:color="00000A"/>
                    <w:left w:val="single" w:sz="8" w:space="0" w:color="00000A"/>
                    <w:bottom w:val="single" w:sz="8" w:space="0" w:color="00000A"/>
                    <w:right w:val="single" w:sz="8" w:space="0" w:color="00000A"/>
                  </w:tcBorders>
                  <w:shd w:fill="auto" w:val="clear"/>
                  <w:tcMar>
                    <w:left w:w="88" w:type="dxa"/>
                  </w:tcMar>
                </w:tcPr>
                <w:p>
                  <w:pPr>
                    <w:pStyle w:val="-2"/>
                    <w:widowControl w:val="false"/>
                    <w:numPr>
                      <w:ilvl w:val="0"/>
                      <w:numId w:val="0"/>
                    </w:numPr>
                    <w:spacing w:lineRule="auto" w:line="240" w:before="0" w:after="0"/>
                    <w:ind w:left="28" w:right="0" w:hanging="0"/>
                    <w:jc w:val="left"/>
                    <w:rPr/>
                  </w:pPr>
                  <w:r>
                    <w:rPr>
                      <w:rStyle w:val="Style21"/>
                      <w:rFonts w:eastAsia="Arial Unicode MS" w:cs="Times New Roman" w:ascii="Times New Roman" w:hAnsi="Times New Roman"/>
                      <w:sz w:val="24"/>
                      <w:szCs w:val="24"/>
                    </w:rPr>
                    <w:t>выше 70% НМЦ без учета НДС.</w:t>
                  </w:r>
                </w:p>
              </w:tc>
            </w:tr>
          </w:tbl>
          <w:p>
            <w:pPr>
              <w:pStyle w:val="Normal"/>
              <w:widowControl w:val="false"/>
              <w:spacing w:lineRule="auto" w:line="240" w:before="96" w:after="96"/>
              <w:rPr/>
            </w:pPr>
            <w:r>
              <w:rPr>
                <w:rStyle w:val="Style20"/>
                <w:rFonts w:eastAsia="Calibri" w:cs="Times New Roman"/>
              </w:rPr>
              <w:t>где:</w:t>
            </w:r>
          </w:p>
          <w:p>
            <w:pPr>
              <w:pStyle w:val="Normal"/>
              <w:widowControl w:val="false"/>
              <w:spacing w:lineRule="auto" w:line="240" w:before="96" w:after="96"/>
              <w:rPr/>
            </w:pPr>
            <w:r>
              <w:rPr>
                <w:rStyle w:val="Style20"/>
                <w:rFonts w:eastAsia="Calibri" w:cs="Times New Roman"/>
              </w:rPr>
              <w:t>Б2.1– рассчитанная оценка предпочтительности по данному частному критерию оценки в баллах.</w:t>
            </w:r>
          </w:p>
          <w:p>
            <w:pPr>
              <w:pStyle w:val="22"/>
              <w:widowControl w:val="false"/>
              <w:numPr>
                <w:ilvl w:val="6"/>
                <w:numId w:val="4"/>
              </w:numPr>
              <w:spacing w:lineRule="auto" w:line="240" w:before="0" w:after="0"/>
              <w:ind w:left="0" w:right="0" w:hanging="0"/>
              <w:jc w:val="left"/>
              <w:rPr/>
            </w:pPr>
            <w:r>
              <w:rPr>
                <w:rStyle w:val="Style20"/>
                <w:rFonts w:cs="Times New Roman" w:ascii="Times New Roman" w:hAnsi="Times New Roman"/>
                <w:sz w:val="24"/>
                <w:szCs w:val="24"/>
              </w:rPr>
              <w:t>Опыт, несоответствующий установленным в Документации о закупке требованиям не оценивается.</w:t>
            </w:r>
          </w:p>
          <w:p>
            <w:pPr>
              <w:pStyle w:val="22"/>
              <w:widowControl w:val="false"/>
              <w:numPr>
                <w:ilvl w:val="6"/>
                <w:numId w:val="4"/>
              </w:numPr>
              <w:spacing w:lineRule="auto" w:line="240" w:before="0" w:after="0"/>
              <w:ind w:left="0" w:right="0" w:hanging="0"/>
              <w:jc w:val="left"/>
              <w:rPr/>
            </w:pPr>
            <w:r>
              <w:rPr>
                <w:rStyle w:val="Style20"/>
                <w:rFonts w:cs="Times New Roman" w:ascii="Times New Roman" w:hAnsi="Times New Roman"/>
                <w:sz w:val="24"/>
                <w:szCs w:val="24"/>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3.</w:t>
            </w:r>
          </w:p>
        </w:tc>
        <w:tc>
          <w:tcPr>
            <w:tcW w:w="1368"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pPr>
            <w:r>
              <w:rPr>
                <w:rStyle w:val="Style8"/>
                <w:rFonts w:eastAsia="Calibri"/>
                <w:i w:val="false"/>
                <w:iCs w:val="false"/>
                <w:sz w:val="22"/>
                <w:szCs w:val="22"/>
                <w:lang w:eastAsia="en-US"/>
              </w:rPr>
              <w:br/>
            </w:r>
            <w:r>
              <w:rPr>
                <w:rFonts w:eastAsia="Calibri"/>
                <w:sz w:val="22"/>
                <w:szCs w:val="22"/>
                <w:lang w:eastAsia="en-US"/>
              </w:rPr>
              <w:t>«Неценовой критерий оценки первого уровня;</w:t>
              <w:br/>
              <w:t>Орг»</w:t>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Финансовое состояние (устойчивость) Участника</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5%</w:t>
              <w:br/>
              <w:t>(В</w:t>
            </w:r>
            <w:r>
              <w:rPr>
                <w:sz w:val="22"/>
                <w:szCs w:val="22"/>
                <w:vertAlign w:val="subscript"/>
                <w:lang w:eastAsia="ru-RU"/>
              </w:rPr>
              <w:t>3</w:t>
            </w:r>
            <w:r>
              <w:rPr>
                <w:sz w:val="22"/>
                <w:szCs w:val="22"/>
                <w:lang w:eastAsia="ru-RU"/>
              </w:rPr>
              <w:t xml:space="preserve"> = 0,05)</w:t>
            </w:r>
          </w:p>
        </w:tc>
        <w:tc>
          <w:tcPr>
            <w:tcW w:w="193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Чем выше оценка финансового состояния (устойчивости) Участника,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rFonts w:eastAsia="Calibri"/>
                <w:sz w:val="22"/>
                <w:szCs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120" w:after="0"/>
              <w:contextualSpacing/>
              <w:rPr>
                <w:sz w:val="22"/>
                <w:szCs w:val="22"/>
              </w:rPr>
            </w:pPr>
            <w:r>
              <w:rPr>
                <w:sz w:val="22"/>
                <w:szCs w:val="22"/>
              </w:rPr>
              <w:t xml:space="preserve">Порядок осуществления оценки (значение оцениваемого параметра), в зависимости от полученного Участником (с </w:t>
            </w:r>
            <w:r>
              <w:rPr>
                <w:i/>
                <w:sz w:val="22"/>
                <w:szCs w:val="22"/>
                <w:lang w:val="en-US"/>
              </w:rPr>
              <w:t>i</w:t>
            </w:r>
            <w:r>
              <w:rPr>
                <w:sz w:val="22"/>
                <w:szCs w:val="22"/>
              </w:rPr>
              <w:t xml:space="preserve">-ой заявкой) значения расчетного балла </w:t>
            </w:r>
            <w:bookmarkStart w:id="389" w:name="_Hlk140493522"/>
            <w:r>
              <w:rPr>
                <w:sz w:val="22"/>
                <w:szCs w:val="22"/>
              </w:rPr>
              <w:t>(интегрального показателя финансового состояния)</w:t>
            </w:r>
            <w:bookmarkEnd w:id="389"/>
            <w:r>
              <w:rPr>
                <w:sz w:val="22"/>
                <w:szCs w:val="22"/>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spacing w:before="120" w:after="0"/>
              <w:ind w:left="62" w:hanging="0"/>
              <w:contextualSpacing/>
              <w:rPr>
                <w:sz w:val="22"/>
                <w:szCs w:val="22"/>
              </w:rPr>
            </w:pPr>
            <w:r>
              <w:rPr>
                <w:rFonts w:eastAsia="Calibri"/>
                <w:sz w:val="22"/>
                <w:szCs w:val="22"/>
              </w:rPr>
              <w:t>- порядок проведения оценки финансового состояния (устойчивости) Участника</w:t>
            </w:r>
            <w:r>
              <w:rPr>
                <w:rStyle w:val="FootnoteReference"/>
                <w:rFonts w:eastAsia="Calibri"/>
                <w:sz w:val="22"/>
                <w:szCs w:val="22"/>
              </w:rPr>
              <w:footnoteReference w:id="15"/>
            </w:r>
            <w:r>
              <w:rPr>
                <w:rFonts w:eastAsia="Calibri"/>
                <w:sz w:val="22"/>
                <w:szCs w:val="22"/>
              </w:rPr>
              <w:t xml:space="preserve"> установлен Приложением №4 к Положению об аккредитации;</w:t>
            </w:r>
          </w:p>
          <w:p>
            <w:pPr>
              <w:pStyle w:val="Normal"/>
              <w:widowControl w:val="false"/>
              <w:spacing w:before="120" w:after="0"/>
              <w:ind w:left="62" w:hanging="0"/>
              <w:contextualSpacing/>
              <w:rPr/>
            </w:pPr>
            <w:r>
              <w:rPr>
                <w:rFonts w:eastAsia="Calibri"/>
                <w:sz w:val="22"/>
                <w:szCs w:val="22"/>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1">
              <w:r>
                <w:rPr>
                  <w:rStyle w:val="11"/>
                  <w:rFonts w:eastAsia="Calibri"/>
                  <w:sz w:val="22"/>
                  <w:szCs w:val="22"/>
                </w:rPr>
                <w:t>https://bo.nalog.ru</w:t>
              </w:r>
            </w:hyperlink>
            <w:r>
              <w:rPr>
                <w:rFonts w:eastAsia="Calibri"/>
                <w:sz w:val="22"/>
                <w:szCs w:val="22"/>
              </w:rPr>
              <w:t xml:space="preserve">) за предыдущий отчетный период (год) </w:t>
            </w:r>
            <w:r>
              <w:rPr>
                <w:sz w:val="22"/>
                <w:szCs w:val="22"/>
              </w:rPr>
              <w:t>по состоянию на дату окончания срока подачи заявок</w:t>
            </w:r>
            <w:r>
              <w:rPr>
                <w:rFonts w:eastAsia="Calibri"/>
                <w:sz w:val="22"/>
                <w:szCs w:val="22"/>
              </w:rPr>
              <w:t>.</w:t>
            </w:r>
          </w:p>
          <w:p>
            <w:pPr>
              <w:pStyle w:val="Normal"/>
              <w:widowControl w:val="false"/>
              <w:spacing w:before="120" w:after="0"/>
              <w:contextualSpacing/>
              <w:rPr>
                <w:sz w:val="22"/>
                <w:szCs w:val="22"/>
              </w:rPr>
            </w:pPr>
            <w:r>
              <w:rPr>
                <w:rFonts w:eastAsia="Calibri"/>
                <w:sz w:val="22"/>
                <w:szCs w:val="22"/>
              </w:rPr>
              <w:t xml:space="preserve">Если Участник в соответствии с законодательством РФ не размещает сведения о своей бухгалтерской (финансовой) отчетности </w:t>
            </w:r>
            <w:r>
              <w:rPr>
                <w:sz w:val="22"/>
                <w:szCs w:val="22"/>
              </w:rPr>
              <w:t xml:space="preserve">(по формам ОКУД 0710001, 0710002) </w:t>
            </w:r>
            <w:r>
              <w:rPr>
                <w:rFonts w:eastAsia="Calibri"/>
                <w:sz w:val="22"/>
                <w:szCs w:val="22"/>
              </w:rPr>
              <w:t xml:space="preserve">в упомянутом государственном информационном ресурсе – оценка его финансового состояния производится на основании </w:t>
            </w:r>
            <w:r>
              <w:rPr>
                <w:sz w:val="22"/>
                <w:szCs w:val="22"/>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22"/>
                <w:szCs w:val="22"/>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pacing w:before="120" w:after="0"/>
              <w:ind w:hanging="0"/>
              <w:contextualSpacing/>
              <w:rPr>
                <w:sz w:val="22"/>
                <w:szCs w:val="22"/>
              </w:rPr>
            </w:pPr>
            <w:r>
              <w:rPr>
                <w:sz w:val="22"/>
                <w:szCs w:val="22"/>
              </w:rPr>
              <w:t>Если Участник в соответствии с законодательством формирует отчетность по </w:t>
            </w:r>
            <w:r>
              <w:rPr>
                <w:rFonts w:eastAsia="Calibri"/>
                <w:sz w:val="22"/>
                <w:szCs w:val="22"/>
              </w:rPr>
              <w:t>формам</w:t>
            </w:r>
            <w:r>
              <w:rPr>
                <w:sz w:val="22"/>
                <w:szCs w:val="22"/>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30"/>
              <w:keepNext w:val="true"/>
              <w:widowControl w:val="false"/>
              <w:spacing w:before="40" w:after="40"/>
              <w:ind w:left="344" w:hanging="0"/>
              <w:contextualSpacing/>
              <w:jc w:val="left"/>
              <w:rPr>
                <w:sz w:val="22"/>
                <w:szCs w:val="22"/>
              </w:rPr>
            </w:pPr>
            <w:r>
              <w:rPr>
                <w:sz w:val="22"/>
                <w:szCs w:val="22"/>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keepNext w:val="true"/>
              <w:widowControl w:val="false"/>
              <w:spacing w:before="40" w:after="40"/>
              <w:ind w:left="344" w:hanging="0"/>
              <w:contextualSpacing/>
              <w:jc w:val="left"/>
              <w:rPr>
                <w:sz w:val="22"/>
                <w:szCs w:val="22"/>
              </w:rPr>
            </w:pPr>
            <w:r>
              <w:rPr>
                <w:sz w:val="22"/>
                <w:szCs w:val="22"/>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pacing w:before="120" w:after="120"/>
              <w:contextualSpacing/>
              <w:jc w:val="both"/>
              <w:rPr>
                <w:sz w:val="22"/>
                <w:szCs w:val="22"/>
              </w:rPr>
            </w:pPr>
            <w:r>
              <w:rPr>
                <w:rFonts w:eastAsia="Calibri"/>
                <w:color w:val="000000"/>
                <w:sz w:val="22"/>
                <w:szCs w:val="22"/>
              </w:rPr>
              <w:t>Оценка предпочтительности по частному критерию осуществляется в соответствии со следующей шкалой:</w:t>
            </w:r>
          </w:p>
          <w:tbl>
            <w:tblPr>
              <w:tblW w:w="6405"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849"/>
              <w:gridCol w:w="5555"/>
            </w:tblGrid>
            <w:tr>
              <w:trPr/>
              <w:tc>
                <w:tcPr>
                  <w:tcW w:w="849" w:type="dxa"/>
                  <w:tcBorders/>
                  <w:shd w:color="auto" w:fill="auto" w:val="clear"/>
                </w:tcPr>
                <w:p>
                  <w:pPr>
                    <w:pStyle w:val="Style30"/>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0</m:t>
                      </m:r>
                    </m:oMath>
                  </m:oMathPara>
                </w:p>
              </w:tc>
              <w:tc>
                <w:tcPr>
                  <w:tcW w:w="5555" w:type="dxa"/>
                  <w:tcBorders/>
                  <w:shd w:color="auto" w:fill="auto" w:val="clear"/>
                </w:tcPr>
                <w:p>
                  <w:pPr>
                    <w:pStyle w:val="Style30"/>
                    <w:keepNext w:val="true"/>
                    <w:widowControl w:val="false"/>
                    <w:tabs>
                      <w:tab w:val="clear" w:pos="708"/>
                      <w:tab w:val="left" w:pos="4364" w:leader="none"/>
                    </w:tabs>
                    <w:spacing w:before="120" w:after="0"/>
                    <w:ind w:left="57" w:right="1304" w:hanging="0"/>
                    <w:jc w:val="left"/>
                    <w:rPr>
                      <w:sz w:val="22"/>
                      <w:szCs w:val="22"/>
                    </w:rPr>
                  </w:pPr>
                  <w:r>
                    <w:rPr>
                      <w:rFonts w:eastAsia="Calibri"/>
                      <w:sz w:val="22"/>
                      <w:szCs w:val="22"/>
                      <w:lang w:eastAsia="en-US"/>
                    </w:rPr>
                    <w:t>результат оценки финансового состояния (устойчивости): менее 0,45 баллов – Кризисное финансовое состояние</w:t>
                  </w:r>
                </w:p>
                <w:p>
                  <w:pPr>
                    <w:pStyle w:val="Style30"/>
                    <w:keepNext w:val="true"/>
                    <w:widowControl w:val="false"/>
                    <w:jc w:val="left"/>
                    <w:rPr>
                      <w:sz w:val="22"/>
                      <w:szCs w:val="22"/>
                    </w:rPr>
                  </w:pPr>
                  <w:r>
                    <w:rPr>
                      <w:rFonts w:eastAsia="Calibri"/>
                      <w:sz w:val="22"/>
                      <w:szCs w:val="22"/>
                      <w:lang w:eastAsia="en-US"/>
                    </w:rPr>
                    <w:t>или</w:t>
                  </w:r>
                </w:p>
                <w:p>
                  <w:pPr>
                    <w:pStyle w:val="Style30"/>
                    <w:keepNext w:val="true"/>
                    <w:widowControl w:val="false"/>
                    <w:ind w:left="57" w:right="1247" w:hanging="0"/>
                    <w:jc w:val="left"/>
                    <w:rPr>
                      <w:sz w:val="22"/>
                      <w:szCs w:val="22"/>
                    </w:rPr>
                  </w:pPr>
                  <w:r>
                    <w:rPr>
                      <w:rFonts w:eastAsia="Calibri"/>
                      <w:sz w:val="22"/>
                      <w:szCs w:val="22"/>
                      <w:lang w:eastAsia="en-US"/>
                    </w:rPr>
                    <w:t>в случае отсутствия исходных данных для оценки финансового состояния Участника, в том числе если он является:</w:t>
                  </w:r>
                </w:p>
                <w:p>
                  <w:pPr>
                    <w:pStyle w:val="Style30"/>
                    <w:keepNext w:val="true"/>
                    <w:widowControl w:val="false"/>
                    <w:numPr>
                      <w:ilvl w:val="0"/>
                      <w:numId w:val="10"/>
                    </w:numPr>
                    <w:ind w:left="794" w:right="1191" w:hanging="340"/>
                    <w:jc w:val="left"/>
                    <w:rPr>
                      <w:sz w:val="22"/>
                      <w:szCs w:val="22"/>
                    </w:rPr>
                  </w:pPr>
                  <w:r>
                    <w:rPr>
                      <w:rFonts w:eastAsia="Calibri"/>
                      <w:sz w:val="22"/>
                      <w:szCs w:val="22"/>
                      <w:lang w:eastAsia="en-US"/>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30"/>
                    <w:widowControl w:val="false"/>
                    <w:numPr>
                      <w:ilvl w:val="0"/>
                      <w:numId w:val="10"/>
                    </w:numPr>
                    <w:ind w:left="794" w:right="1134" w:hanging="340"/>
                    <w:jc w:val="left"/>
                    <w:rPr>
                      <w:sz w:val="22"/>
                      <w:szCs w:val="22"/>
                    </w:rPr>
                  </w:pPr>
                  <w:r>
                    <w:rPr>
                      <w:rFonts w:eastAsia="Calibri"/>
                      <w:sz w:val="22"/>
                      <w:szCs w:val="22"/>
                      <w:lang w:eastAsia="en-US"/>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849" w:type="dxa"/>
                  <w:tcBorders/>
                  <w:shd w:color="auto" w:fill="auto" w:val="clear"/>
                </w:tcPr>
                <w:p>
                  <w:pPr>
                    <w:pStyle w:val="Style30"/>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3</m:t>
                      </m:r>
                    </m:oMath>
                  </m:oMathPara>
                </w:p>
              </w:tc>
              <w:tc>
                <w:tcPr>
                  <w:tcW w:w="5555" w:type="dxa"/>
                  <w:tcBorders/>
                  <w:shd w:color="auto" w:fill="auto" w:val="clear"/>
                </w:tcPr>
                <w:p>
                  <w:pPr>
                    <w:pStyle w:val="Style30"/>
                    <w:widowControl w:val="false"/>
                    <w:spacing w:before="120" w:after="0"/>
                    <w:ind w:left="57" w:right="1134" w:hanging="0"/>
                    <w:jc w:val="left"/>
                    <w:rPr>
                      <w:sz w:val="22"/>
                      <w:szCs w:val="22"/>
                    </w:rPr>
                  </w:pPr>
                  <w:r>
                    <w:rPr>
                      <w:rFonts w:eastAsia="Calibri"/>
                      <w:sz w:val="22"/>
                      <w:szCs w:val="22"/>
                      <w:lang w:eastAsia="en-US"/>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849" w:type="dxa"/>
                  <w:tcBorders/>
                  <w:shd w:color="auto" w:fill="auto" w:val="clear"/>
                </w:tcPr>
                <w:p>
                  <w:pPr>
                    <w:pStyle w:val="Style30"/>
                    <w:widowControl w:val="false"/>
                    <w:spacing w:before="120" w:after="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5</m:t>
                      </m:r>
                    </m:oMath>
                  </m:oMathPara>
                </w:p>
              </w:tc>
              <w:tc>
                <w:tcPr>
                  <w:tcW w:w="5555" w:type="dxa"/>
                  <w:tcBorders/>
                  <w:shd w:color="auto" w:fill="auto" w:val="clear"/>
                </w:tcPr>
                <w:p>
                  <w:pPr>
                    <w:pStyle w:val="Style30"/>
                    <w:widowControl w:val="false"/>
                    <w:spacing w:before="120" w:after="0"/>
                    <w:ind w:left="57" w:right="1077" w:hanging="0"/>
                    <w:jc w:val="left"/>
                    <w:rPr>
                      <w:sz w:val="22"/>
                      <w:szCs w:val="22"/>
                    </w:rPr>
                  </w:pPr>
                  <w:r>
                    <w:rPr>
                      <w:rFonts w:eastAsia="Calibri"/>
                      <w:sz w:val="22"/>
                      <w:szCs w:val="22"/>
                      <w:lang w:eastAsia="en-US"/>
                    </w:rPr>
                    <w:t>результат оценки финансового состояния (устойчивости): более 0,90 баллов – Удовлетворительное финансовое состояние,</w:t>
                  </w:r>
                </w:p>
              </w:tc>
            </w:tr>
          </w:tbl>
          <w:p>
            <w:pPr>
              <w:pStyle w:val="Style30"/>
              <w:widowControl w:val="false"/>
              <w:jc w:val="left"/>
              <w:rPr>
                <w:sz w:val="22"/>
                <w:szCs w:val="22"/>
              </w:rPr>
            </w:pPr>
            <w:r>
              <w:rPr>
                <w:rFonts w:eastAsia="Calibri"/>
                <w:sz w:val="22"/>
                <w:szCs w:val="22"/>
                <w:lang w:eastAsia="en-US"/>
              </w:rPr>
              <w:t>где:</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sz w:val="22"/>
                <w:szCs w:val="22"/>
                <w:lang w:eastAsia="en-US"/>
              </w:rPr>
              <w:t xml:space="preserve"> – </w:t>
            </w:r>
            <w:r>
              <w:rPr>
                <w:rFonts w:eastAsia="Calibri"/>
                <w:sz w:val="22"/>
                <w:szCs w:val="22"/>
                <w:lang w:eastAsia="en-US"/>
              </w:rPr>
              <w:t>рассчитанная оценка предпочтительности по частному критерию оценки в баллах.</w:t>
            </w:r>
          </w:p>
          <w:p>
            <w:pPr>
              <w:pStyle w:val="Style30"/>
              <w:widowControl w:val="false"/>
              <w:jc w:val="left"/>
              <w:rPr>
                <w:sz w:val="22"/>
                <w:szCs w:val="22"/>
              </w:rPr>
            </w:pPr>
            <w:r>
              <w:rPr>
                <w:rFonts w:eastAsia="Calibri"/>
                <w:sz w:val="22"/>
                <w:szCs w:val="22"/>
                <w:lang w:eastAsia="en-US"/>
              </w:rPr>
              <w:t>Шкала оценок от 0 до 5 баллов.</w:t>
            </w:r>
          </w:p>
          <w:p>
            <w:pPr>
              <w:pStyle w:val="Style30"/>
              <w:widowControl w:val="false"/>
              <w:jc w:val="left"/>
              <w:rPr>
                <w:sz w:val="22"/>
                <w:szCs w:val="22"/>
              </w:rPr>
            </w:pPr>
            <w:r>
              <w:rPr>
                <w:rFonts w:eastAsia="Calibri"/>
                <w:sz w:val="22"/>
                <w:szCs w:val="22"/>
                <w:lang w:eastAsia="en-US"/>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30"/>
              <w:widowControl w:val="false"/>
              <w:jc w:val="left"/>
              <w:rPr/>
            </w:pPr>
            <w:r>
              <w:rPr>
                <w:rFonts w:eastAsia="Calibri"/>
                <w:sz w:val="22"/>
                <w:szCs w:val="22"/>
                <w:lang w:eastAsia="en-US"/>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4) (</w:t>
            </w:r>
            <w:hyperlink w:anchor="Прил04_ФормыЗаявки">
              <w:r>
                <w:rPr>
                  <w:rStyle w:val="Hyperlink"/>
                  <w:rFonts w:eastAsia="Calibri"/>
                  <w:sz w:val="22"/>
                  <w:szCs w:val="22"/>
                  <w:lang w:eastAsia="en-US"/>
                </w:rPr>
                <w:t>Приложение № 4</w:t>
              </w:r>
            </w:hyperlink>
            <w:r>
              <w:rPr>
                <w:rFonts w:eastAsia="Calibri"/>
                <w:sz w:val="22"/>
                <w:szCs w:val="22"/>
                <w:lang w:eastAsia="en-US"/>
              </w:rPr>
              <w:t>), представленному в заявке такого Коллективного участника на участие в закупке.)</w:t>
            </w:r>
          </w:p>
        </w:tc>
      </w:tr>
      <w:tr>
        <w:trPr/>
        <w:tc>
          <w:tcPr>
            <w:tcW w:w="5821" w:type="dxa"/>
            <w:gridSpan w:val="4"/>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left"/>
              <w:rPr>
                <w:sz w:val="22"/>
                <w:szCs w:val="22"/>
              </w:rPr>
            </w:pPr>
            <w:r>
              <w:rPr>
                <w:rFonts w:eastAsia="Calibri"/>
                <w:sz w:val="22"/>
                <w:szCs w:val="22"/>
                <w:lang w:eastAsia="en-US"/>
              </w:rPr>
              <w:t>Итоговая оценка предпочтительности заявки:</w:t>
            </w:r>
          </w:p>
        </w:tc>
        <w:tc>
          <w:tcPr>
            <w:tcW w:w="9314" w:type="dxa"/>
            <w:gridSpan w:val="3"/>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120" w:after="0"/>
              <w:jc w:val="left"/>
              <w:rPr>
                <w:sz w:val="22"/>
                <w:szCs w:val="22"/>
              </w:rPr>
            </w:pPr>
            <w:r>
              <w:rPr>
                <w:rFonts w:eastAsia="Calibri"/>
                <w:sz w:val="22"/>
                <w:szCs w:val="22"/>
                <w:lang w:eastAsia="en-US"/>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sz w:val="22"/>
                <w:szCs w:val="22"/>
                <w:lang w:eastAsia="en-US"/>
              </w:rPr>
              <w:t>-ой заявки:</w:t>
            </w:r>
          </w:p>
          <w:p>
            <w:pPr>
              <w:pStyle w:val="Style30"/>
              <w:widowControl w:val="false"/>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r>
                  <w:rPr>
                    <w:rFonts w:ascii="Cambria Math" w:hAnsi="Cambria Math"/>
                  </w:rPr>
                  <m:t xml:space="preserve">∑</m:t>
                </m:r>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r>
                  <w:rPr>
                    <w:rFonts w:ascii="Cambria Math" w:hAnsi="Cambria Math"/>
                  </w:rPr>
                  <m:t xml:space="preserve">,</m:t>
                </m:r>
              </m:oMath>
            </m:oMathPara>
          </w:p>
          <w:p>
            <w:pPr>
              <w:pStyle w:val="Style30"/>
              <w:widowControl w:val="false"/>
              <w:jc w:val="left"/>
              <w:rPr>
                <w:sz w:val="22"/>
                <w:szCs w:val="22"/>
              </w:rPr>
            </w:pPr>
            <w:r>
              <w:rPr>
                <w:rFonts w:eastAsia="Calibri"/>
                <w:sz w:val="22"/>
                <w:szCs w:val="22"/>
                <w:lang w:eastAsia="en-US"/>
              </w:rPr>
              <w:t>где:</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sz w:val="22"/>
                <w:szCs w:val="22"/>
                <w:lang w:eastAsia="en-US"/>
              </w:rPr>
              <w:t xml:space="preserve"> – </w:t>
            </w:r>
            <w:r>
              <w:rPr>
                <w:rFonts w:eastAsia="Calibri"/>
                <w:sz w:val="22"/>
                <w:szCs w:val="22"/>
                <w:lang w:eastAsia="en-US"/>
              </w:rPr>
              <w:t>рассчитанная итоговая оценка предпочтительности в баллах;</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sz w:val="22"/>
                <w:szCs w:val="22"/>
                <w:lang w:eastAsia="en-US"/>
              </w:rPr>
              <w:t xml:space="preserve"> – </w:t>
            </w:r>
            <w:r>
              <w:rPr>
                <w:rFonts w:eastAsia="Calibri"/>
                <w:sz w:val="22"/>
                <w:szCs w:val="22"/>
                <w:lang w:eastAsia="en-US"/>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sz w:val="22"/>
                <w:szCs w:val="22"/>
                <w:lang w:eastAsia="en-US"/>
              </w:rPr>
              <w:t>-тому критерию оценки первого уровня в баллах;</w:t>
            </w:r>
          </w:p>
          <w:p>
            <w:pPr>
              <w:pStyle w:val="Style30"/>
              <w:widowControl w:val="false"/>
              <w:jc w:val="left"/>
              <w:rPr>
                <w:sz w:val="22"/>
                <w:szCs w:val="22"/>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sz w:val="22"/>
                <w:szCs w:val="22"/>
                <w:lang w:eastAsia="en-US"/>
              </w:rPr>
              <w:t xml:space="preserve"> – </w:t>
            </w:r>
            <w:r>
              <w:rPr>
                <w:rFonts w:eastAsia="Calibri"/>
                <w:sz w:val="22"/>
                <w:szCs w:val="22"/>
                <w:lang w:eastAsia="en-US"/>
              </w:rPr>
              <w:t xml:space="preserve">значимость </w:t>
            </w:r>
            <w:r>
              <w:rPr/>
            </w:r>
            <m:oMath xmlns:m="http://schemas.openxmlformats.org/officeDocument/2006/math">
              <m:r>
                <w:rPr>
                  <w:rFonts w:ascii="Cambria Math" w:hAnsi="Cambria Math"/>
                </w:rPr>
                <m:t xml:space="preserve">k</m:t>
              </m:r>
            </m:oMath>
            <w:r>
              <w:rPr>
                <w:rFonts w:eastAsia="Calibri"/>
                <w:sz w:val="22"/>
                <w:szCs w:val="22"/>
                <w:lang w:eastAsia="en-US"/>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sz w:val="22"/>
                <w:szCs w:val="22"/>
                <w:lang w:eastAsia="en-US"/>
              </w:rPr>
              <w:t>-ого критерия оценки первого уровня.</w:t>
            </w:r>
          </w:p>
          <w:p>
            <w:pPr>
              <w:pStyle w:val="Style30"/>
              <w:widowControl w:val="false"/>
              <w:jc w:val="left"/>
              <w:rPr>
                <w:sz w:val="22"/>
                <w:szCs w:val="22"/>
              </w:rPr>
            </w:pPr>
            <w:r>
              <w:rPr>
                <w:rFonts w:eastAsia="Calibri"/>
                <w:i/>
                <w:iCs/>
                <w:sz w:val="22"/>
                <w:szCs w:val="22"/>
                <w:lang w:eastAsia="en-US"/>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6"/>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6"/>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6"/>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4"/>
        <w:rPr/>
      </w:pPr>
      <w:bookmarkStart w:id="390" w:name="_Toc228877733"/>
      <w:bookmarkStart w:id="391" w:name="_Ref125360420"/>
      <w:bookmarkStart w:id="392" w:name="Прил09_ОбоснованиеНМЦ"/>
      <w:bookmarkEnd w:id="392"/>
      <w:r>
        <w:rPr/>
        <w:t>Приложение № 9 – Обоснование НМЦ</w:t>
      </w:r>
      <w:bookmarkEnd w:id="390"/>
      <w:bookmarkEnd w:id="391"/>
    </w:p>
    <w:p>
      <w:pPr>
        <w:pStyle w:val="Style25"/>
        <w:rPr/>
      </w:pPr>
      <w:bookmarkStart w:id="393" w:name="_Toc228877734"/>
      <w:r>
        <w:rPr/>
        <w:t>Пояснения к Обоснованию НМЦ</w:t>
      </w:r>
      <w:bookmarkEnd w:id="393"/>
    </w:p>
    <w:p>
      <w:pPr>
        <w:pStyle w:val="Style26"/>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pPr>
      <w:bookmarkStart w:id="394" w:name="_Toc228877735"/>
      <w:bookmarkStart w:id="395" w:name="Прил10_ФормаЗаявкиНаАккредитацию"/>
      <w:bookmarkEnd w:id="395"/>
      <w:r>
        <w:rPr/>
        <w:t>Приложение № 10 – Форма Заявки на аккредитацию</w:t>
      </w:r>
      <w:bookmarkEnd w:id="394"/>
    </w:p>
    <w:p>
      <w:pPr>
        <w:pStyle w:val="Style25"/>
        <w:rPr/>
      </w:pPr>
      <w:bookmarkStart w:id="396" w:name="_Toc228877736"/>
      <w:r>
        <w:rPr/>
        <w:t>Пояснения к форме Заявки на аккредитацию</w:t>
      </w:r>
      <w:bookmarkEnd w:id="396"/>
    </w:p>
    <w:p>
      <w:pPr>
        <w:pStyle w:val="Style26"/>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7"/>
      <w:r>
        <w:rPr/>
        <w:t>.</w:t>
      </w:r>
    </w:p>
    <w:p>
      <w:pPr>
        <w:pStyle w:val="Style30"/>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730003157" r:id="rId36"/>
        </w:object>
      </w:r>
    </w:p>
    <w:p>
      <w:pPr>
        <w:pStyle w:val="Style24"/>
        <w:rPr/>
      </w:pPr>
      <w:bookmarkStart w:id="398" w:name="_Toc228877737"/>
      <w:bookmarkStart w:id="399" w:name="Прил11_Данные_бухотчетность"/>
      <w:r>
        <w:rPr/>
        <w:t xml:space="preserve">Приложение № 11 </w:t>
      </w:r>
      <w:bookmarkEnd w:id="399"/>
      <w:r>
        <w:rPr/>
        <w:t>– форма Данных бухгалтерской (финансовой) отчетности</w:t>
      </w:r>
      <w:bookmarkEnd w:id="398"/>
    </w:p>
    <w:p>
      <w:pPr>
        <w:pStyle w:val="Style25"/>
        <w:rPr/>
      </w:pPr>
      <w:bookmarkStart w:id="400" w:name="_Toc228877738"/>
      <w:r>
        <w:rPr/>
        <w:t>Пояснения к форме Данных бухгалтерской (финансовой) отчетности</w:t>
      </w:r>
      <w:bookmarkEnd w:id="400"/>
      <w:r>
        <w:rPr/>
        <w:t xml:space="preserve"> </w:t>
      </w:r>
    </w:p>
    <w:p>
      <w:pPr>
        <w:pStyle w:val="Style26"/>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1" w:name="_MON_1821256687"/>
      <w:bookmarkStart w:id="402" w:name="_MON_1821256687"/>
      <w:bookmarkEnd w:id="402"/>
    </w:p>
    <w:p>
      <w:pPr>
        <w:pStyle w:val="Normal"/>
        <w:jc w:val="center"/>
        <w:rPr/>
      </w:pPr>
      <w:bookmarkStart w:id="403" w:name="_Hlk210644436"/>
      <w:bookmarkStart w:id="404" w:name="_MON_1821256687_Копия_1"/>
      <w:bookmarkEnd w:id="404"/>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1660485351" r:id="rId38"/>
        </w:object>
      </w:r>
      <w:bookmarkEnd w:id="403"/>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13208912"/>
    </w:sdtPr>
    <w:sdtContent>
      <w:p>
        <w:pPr>
          <w:pStyle w:val="Footer"/>
          <w:spacing w:before="120" w:after="0"/>
          <w:rPr/>
        </w:pPr>
        <w:r>
          <w:rPr/>
          <w:fldChar w:fldCharType="begin"/>
        </w:r>
        <w:r>
          <w:rPr/>
          <w:instrText xml:space="preserve"> PAGE </w:instrText>
        </w:r>
        <w:r>
          <w:rPr/>
          <w:fldChar w:fldCharType="separate"/>
        </w:r>
        <w:r>
          <w:rPr/>
          <w:t>21</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85356195"/>
    </w:sdtPr>
    <w:sdtContent>
      <w:p>
        <w:pPr>
          <w:pStyle w:val="Footer"/>
          <w:spacing w:before="120" w:after="0"/>
          <w:rPr/>
        </w:pPr>
        <w:r>
          <w:rPr/>
          <w:fldChar w:fldCharType="begin"/>
        </w:r>
        <w:r>
          <w:rPr/>
          <w:instrText xml:space="preserve"> PAGE </w:instrText>
        </w:r>
        <w:r>
          <w:rPr/>
          <w:fldChar w:fldCharType="separate"/>
        </w:r>
        <w:r>
          <w:rPr/>
          <w:t>23</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72167911"/>
    </w:sdtPr>
    <w:sdtContent>
      <w:p>
        <w:pPr>
          <w:pStyle w:val="Footer"/>
          <w:spacing w:before="120" w:after="0"/>
          <w:rPr/>
        </w:pPr>
        <w:r>
          <w:rPr/>
          <w:fldChar w:fldCharType="begin"/>
        </w:r>
        <w:r>
          <w:rPr/>
          <w:instrText xml:space="preserve"> PAGE </w:instrText>
        </w:r>
        <w:r>
          <w:rPr/>
          <w:fldChar w:fldCharType="separate"/>
        </w:r>
        <w:r>
          <w:rPr/>
          <w:t>50</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15341939"/>
    </w:sdtPr>
    <w:sdtContent>
      <w:p>
        <w:pPr>
          <w:pStyle w:val="Footer"/>
          <w:spacing w:before="120" w:after="0"/>
          <w:rPr/>
        </w:pPr>
        <w:r>
          <w:rPr/>
          <w:fldChar w:fldCharType="begin"/>
        </w:r>
        <w:r>
          <w:rPr/>
          <w:instrText xml:space="preserve"> PAGE </w:instrText>
        </w:r>
        <w:r>
          <w:rPr/>
          <w:fldChar w:fldCharType="separate"/>
        </w:r>
        <w:r>
          <w:rPr/>
          <w:t>56</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68997205"/>
    </w:sdtPr>
    <w:sdtContent>
      <w:p>
        <w:pPr>
          <w:pStyle w:val="Footer"/>
          <w:spacing w:before="120" w:after="0"/>
          <w:rPr/>
        </w:pPr>
        <w:r>
          <w:rPr/>
          <w:fldChar w:fldCharType="begin"/>
        </w:r>
        <w:r>
          <w:rPr/>
          <w:instrText xml:space="preserve"> PAGE </w:instrText>
        </w:r>
        <w:r>
          <w:rPr/>
          <w:fldChar w:fldCharType="separate"/>
        </w:r>
        <w:r>
          <w:rPr/>
          <w:t>62</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81535474"/>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82895760"/>
    </w:sdtPr>
    <w:sdtContent>
      <w:p>
        <w:pPr>
          <w:pStyle w:val="Footer"/>
          <w:spacing w:before="120" w:after="0"/>
          <w:rPr/>
        </w:pPr>
        <w:r>
          <w:rPr/>
          <w:fldChar w:fldCharType="begin"/>
        </w:r>
        <w:r>
          <w:rPr/>
          <w:instrText xml:space="preserve"> PAGE </w:instrText>
        </w:r>
        <w:r>
          <w:rPr/>
          <w:fldChar w:fldCharType="separate"/>
        </w:r>
        <w:r>
          <w:rPr/>
          <w:t>80</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left="567" w:hanging="567"/>
        <w:jc w:val="both"/>
        <w:rPr/>
      </w:pPr>
      <w:r>
        <w:rPr>
          <w:rStyle w:val="Style10"/>
        </w:rPr>
        <w:footnoteRef/>
      </w:r>
      <w:r>
        <w:rPr/>
        <w:tab/>
        <w:t>Определенные в соответствии с Законом 422-ФЗ.</w:t>
      </w:r>
    </w:p>
  </w:footnote>
  <w:footnote w:id="3">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4">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6">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left="567" w:hanging="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2"/>
        <w:spacing w:before="80" w:after="0"/>
        <w:ind w:left="567" w:hanging="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2"/>
        <w:spacing w:before="80" w:after="0"/>
        <w:ind w:left="567" w:hanging="567"/>
        <w:jc w:val="both"/>
        <w:rPr/>
      </w:pPr>
      <w:r>
        <w:rPr>
          <w:rStyle w:val="Style10"/>
        </w:rPr>
        <w:footnoteRef/>
      </w:r>
      <w:r>
        <w:rPr/>
        <w:tab/>
        <w:t>https://minfin.gov.ru/ru/perfomance/tax_relations/policy/bankwarranty/</w:t>
      </w:r>
    </w:p>
  </w:footnote>
  <w:footnote w:id="11">
    <w:p>
      <w:pPr>
        <w:pStyle w:val="Style32"/>
        <w:spacing w:before="80" w:after="0"/>
        <w:ind w:left="567" w:hanging="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2"/>
        <w:spacing w:before="80" w:after="0"/>
        <w:ind w:left="567" w:hanging="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ListParagraph"/>
        <w:widowControl w:val="false"/>
        <w:tabs>
          <w:tab w:val="clear" w:pos="708"/>
          <w:tab w:val="left" w:pos="284" w:leader="none"/>
        </w:tabs>
        <w:spacing w:before="20" w:after="20"/>
        <w:ind w:left="142" w:hanging="142"/>
        <w:contextualSpacing w:val="false"/>
        <w:jc w:val="both"/>
        <w:rPr>
          <w:rStyle w:val="Style18"/>
          <w:b w:val="false"/>
          <w:sz w:val="20"/>
          <w:szCs w:val="20"/>
        </w:rPr>
      </w:pPr>
      <w:r>
        <w:rPr>
          <w:rStyle w:val="Style10"/>
        </w:rPr>
        <w:footnoteRef/>
      </w:r>
      <w:r>
        <w:rPr>
          <w:rFonts w:eastAsia="Times New Roman"/>
          <w:sz w:val="20"/>
          <w:szCs w:val="20"/>
          <w:vertAlign w:val="superscript"/>
        </w:rPr>
        <w:tab/>
        <w:t xml:space="preserve">. </w:t>
      </w:r>
      <w:r>
        <w:rPr>
          <w:rFonts w:eastAsia="Times New Roman"/>
          <w:sz w:val="20"/>
          <w:szCs w:val="20"/>
        </w:rPr>
        <w:t>Не требуется членство в СРО в области инженерных изысканий Участникам закупки, перечисленным в ч. 2.1 ст. 47 ГрК РФ;</w:t>
      </w:r>
    </w:p>
  </w:footnote>
  <w:footnote w:id="14">
    <w:p>
      <w:pPr>
        <w:pStyle w:val="ListParagraph"/>
        <w:widowControl w:val="false"/>
        <w:tabs>
          <w:tab w:val="clear" w:pos="708"/>
          <w:tab w:val="left" w:pos="142" w:leader="none"/>
        </w:tabs>
        <w:spacing w:before="20" w:after="20"/>
        <w:ind w:left="142" w:hanging="142"/>
        <w:contextualSpacing w:val="false"/>
        <w:jc w:val="both"/>
        <w:rPr>
          <w:sz w:val="16"/>
          <w:szCs w:val="16"/>
        </w:rPr>
      </w:pPr>
      <w:r>
        <w:rPr>
          <w:rStyle w:val="Style10"/>
        </w:rPr>
        <w:footnoteRef/>
      </w:r>
      <w:r>
        <w:rPr>
          <w:rFonts w:eastAsia="Times New Roman"/>
          <w:sz w:val="20"/>
          <w:szCs w:val="20"/>
          <w:vertAlign w:val="superscript"/>
        </w:rPr>
        <w:tab/>
        <w:t>.</w:t>
      </w:r>
      <w:r>
        <w:rPr>
          <w:rFonts w:eastAsia="Times New Roman"/>
          <w:sz w:val="20"/>
          <w:szCs w:val="20"/>
        </w:rPr>
        <w:t xml:space="preserve"> Не требуется членство в СРО в области архитектурно-строительного проектирования Участникам закупки, перечисленным в ч. 4.1 ст. 48 ГрК РФ.</w:t>
      </w:r>
    </w:p>
  </w:footnote>
  <w:footnote w:id="15">
    <w:p>
      <w:pPr>
        <w:pStyle w:val="FootnoteText"/>
        <w:widowControl w:val="false"/>
        <w:rPr/>
      </w:pPr>
      <w:r>
        <w:rPr>
          <w:rStyle w:val="Style10"/>
        </w:rPr>
        <w:footnoteRef/>
      </w:r>
      <w:r>
        <w:rPr>
          <w:rStyle w:val="Style10"/>
        </w:rPr>
        <w:tab/>
      </w:r>
      <w:r>
        <w:rPr/>
        <w:t xml:space="preserve"> 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none"/>
      <w:suff w:val="nothing"/>
      <w:lvlText w:val="%1."/>
      <w:lvlJc w:val="left"/>
      <w:pPr>
        <w:tabs>
          <w:tab w:val="num" w:pos="0"/>
        </w:tabs>
        <w:ind w:left="1134" w:hanging="1134"/>
      </w:pPr>
      <w:rPr/>
    </w:lvl>
    <w:lvl w:ilvl="1">
      <w:start w:val="1"/>
      <w:pStyle w:val="Style25"/>
      <w:numFmt w:val="decimal"/>
      <w:lvlText w:val="%1.%2"/>
      <w:lvlJc w:val="left"/>
      <w:pPr>
        <w:tabs>
          <w:tab w:val="num" w:pos="1134"/>
        </w:tabs>
        <w:ind w:left="1134" w:hanging="1134"/>
      </w:pPr>
      <w:rPr/>
    </w:lvl>
    <w:lvl w:ilvl="2">
      <w:start w:val="1"/>
      <w:pStyle w:val="Style26"/>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2"/>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9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left="1134" w:hanging="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left="2694" w:hanging="113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4"/>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7"/>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комментарий"/>
    <w:qFormat/>
    <w:rPr>
      <w:b/>
      <w:i/>
      <w:shd w:fill="FFFF99" w:val="clear"/>
    </w:rPr>
  </w:style>
  <w:style w:type="character" w:styleId="11">
    <w:name w:val="Гиперссылка1"/>
    <w:qFormat/>
    <w:rPr>
      <w:color w:val="000080"/>
      <w:u w:val="single"/>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Style20">
    <w:name w:val="Основной шрифт абзаца"/>
    <w:qFormat/>
    <w:rPr/>
  </w:style>
  <w:style w:type="character" w:styleId="Style21">
    <w:name w:val="Знак примечания"/>
    <w:basedOn w:val="Style20"/>
    <w:qFormat/>
    <w:rPr>
      <w:sz w:val="16"/>
      <w:szCs w:val="16"/>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Style34"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5" w:customStyle="1">
    <w:name w:val="Подпункт"/>
    <w:basedOn w:val="Style34"/>
    <w:qFormat/>
    <w:rsid w:val="00493761"/>
    <w:pPr>
      <w:numPr>
        <w:ilvl w:val="3"/>
      </w:numPr>
      <w:tabs>
        <w:tab w:val="clear" w:pos="708"/>
      </w:tabs>
      <w:ind w:left="2880" w:hanging="360"/>
    </w:pPr>
    <w:rPr/>
  </w:style>
  <w:style w:type="paragraph" w:styleId="Style36" w:customStyle="1">
    <w:name w:val="Подподпункт"/>
    <w:basedOn w:val="Style35"/>
    <w:qFormat/>
    <w:rsid w:val="00493761"/>
    <w:pPr>
      <w:numPr>
        <w:ilvl w:val="4"/>
      </w:numPr>
      <w:ind w:left="3600" w:hanging="36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7"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Style38">
    <w:name w:val="Абзац списка"/>
    <w:basedOn w:val="Normal"/>
    <w:qFormat/>
    <w:pPr>
      <w:tabs>
        <w:tab w:val="clear" w:pos="708"/>
      </w:tabs>
      <w:suppressAutoHyphens w:val="true"/>
      <w:ind w:left="720" w:right="0" w:hanging="0"/>
    </w:pPr>
    <w:rPr/>
  </w:style>
  <w:style w:type="paragraph" w:styleId="22">
    <w:name w:val="УРОВЕНЬ_Абзац_тип2"/>
    <w:basedOn w:val="Style38"/>
    <w:qFormat/>
    <w:pPr>
      <w:suppressAutoHyphens w:val="true"/>
      <w:spacing w:lineRule="exact" w:line="360" w:before="120" w:after="0"/>
      <w:jc w:val="both"/>
    </w:pPr>
    <w:rPr>
      <w:rFonts w:ascii="Calibri" w:hAnsi="Calibri" w:eastAsia="Calibri" w:cs="Calibri"/>
      <w:sz w:val="26"/>
      <w:szCs w:val="28"/>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Style38"/>
    <w:qFormat/>
    <w:pPr>
      <w:numPr>
        <w:ilvl w:val="4"/>
        <w:numId w:val="1"/>
      </w:numPr>
      <w:suppressAutoHyphens w:val="true"/>
      <w:spacing w:lineRule="exact" w:line="360" w:before="120" w:after="0"/>
      <w:jc w:val="both"/>
      <w:outlineLvl w:val="4"/>
    </w:pPr>
    <w:rPr>
      <w:rFonts w:ascii="Calibri" w:hAnsi="Calibri" w:eastAsia="Calibri" w:cs="Calibr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tender.lot-online.ru/" TargetMode="External"/><Relationship Id="rId4" Type="http://schemas.openxmlformats.org/officeDocument/2006/relationships/hyperlink" Target="https://tender.lot-online.ru/app/EtpDocList/page" TargetMode="External"/><Relationship Id="rId5" Type="http://schemas.openxmlformats.org/officeDocument/2006/relationships/hyperlink" Target="mailto:ignatova-ta@drsk.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package" Target="embeddings/oleObject1.docx"/><Relationship Id="rId13" Type="http://schemas.openxmlformats.org/officeDocument/2006/relationships/image" Target="media/image2.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yperlink" Target="http://nopriz.ru/nreesters/elektronnyy-reestr/" TargetMode="Externa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3.wmf"/><Relationship Id="rId25" Type="http://schemas.openxmlformats.org/officeDocument/2006/relationships/package" Target="embeddings/oleObject3.docx"/><Relationship Id="rId26" Type="http://schemas.openxmlformats.org/officeDocument/2006/relationships/image" Target="media/image4.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yperlink" Target="https://bo.nalog.ru/" TargetMode="Externa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package" Target="embeddings/oleObject4.xlsx"/><Relationship Id="rId37" Type="http://schemas.openxmlformats.org/officeDocument/2006/relationships/image" Target="media/image5.wmf"/><Relationship Id="rId38" Type="http://schemas.openxmlformats.org/officeDocument/2006/relationships/package" Target="embeddings/oleObject5.docx"/><Relationship Id="rId39" Type="http://schemas.openxmlformats.org/officeDocument/2006/relationships/image" Target="media/image6.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513</TotalTime>
  <Application>AlterOffice/3.3.1.3$Linux_X86_64 LibreOffice_project/90d829a0d92d6015ad4fa014ce4f460a7fe6c0ba</Application>
  <AppVersion>15.0000</AppVersion>
  <Pages>80</Pages>
  <Words>19232</Words>
  <Characters>131913</Characters>
  <CharactersWithSpaces>147572</CharactersWithSpaces>
  <Paragraphs>1113</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ignatova_ta</cp:lastModifiedBy>
  <dcterms:modified xsi:type="dcterms:W3CDTF">2026-08-18T17:25:39Z</dcterms:modified>
  <cp:revision>161</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