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b/>
          <w:sz w:val="24"/>
          <w:szCs w:val="24"/>
        </w:rPr>
      </w:pPr>
      <w:bookmarkStart w:id="0" w:name="__RefHeading___Toc11949_39410795"/>
      <w:bookmarkStart w:id="1" w:name="_Toc124592000"/>
      <w:bookmarkStart w:id="2" w:name="_Toc124591877"/>
      <w:bookmarkStart w:id="3" w:name="_Toc124846883"/>
      <w:bookmarkEnd w:id="0"/>
      <w:r>
        <w:rPr>
          <w:b/>
          <w:sz w:val="24"/>
          <w:szCs w:val="24"/>
        </w:rPr>
        <w:t>ТЕХНИЧЕСКИЕ ТРЕБОВАНИЯ</w:t>
      </w:r>
      <w:bookmarkEnd w:id="1"/>
      <w:bookmarkEnd w:id="2"/>
      <w:bookmarkEnd w:id="3"/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rFonts w:eastAsia="Calibri"/>
          <w:b/>
          <w:i w:val="false"/>
          <w:caps w:val="false"/>
          <w:smallCaps w:val="false"/>
          <w:color w:val="2C2D2E"/>
          <w:spacing w:val="0"/>
          <w:sz w:val="24"/>
          <w:szCs w:val="24"/>
        </w:rPr>
        <w:t>ОКПД2 27.90. Поставка переносных заземлений для нужд филиала ПАО "РусГидро"-"Камская ГЭС"</w:t>
      </w:r>
      <w:r>
        <w:rPr>
          <w:b/>
          <w:sz w:val="24"/>
          <w:szCs w:val="24"/>
        </w:rPr>
        <w:t xml:space="preserve"> </w:t>
      </w:r>
    </w:p>
    <w:p>
      <w:pPr>
        <w:pStyle w:val="Normal"/>
        <w:keepNext w:val="true"/>
        <w:keepLine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right" w:pos="9922" w:leader="dot"/>
            </w:tabs>
            <w:rPr/>
          </w:pPr>
          <w:r>
            <w:fldChar w:fldCharType="begin"/>
          </w:r>
          <w:r>
            <w:rPr>
              <w:webHidden/>
              <w:rStyle w:val="Style15"/>
              <w:sz w:val="24"/>
              <w:szCs w:val="24"/>
              <w:vanish w:val="false"/>
            </w:rPr>
            <w:instrText xml:space="preserve"> TOC \z \o "1-4" \u \h</w:instrText>
          </w:r>
          <w:r>
            <w:rPr>
              <w:webHidden/>
              <w:rStyle w:val="Style15"/>
              <w:sz w:val="24"/>
              <w:szCs w:val="24"/>
              <w:vanish w:val="false"/>
            </w:rPr>
            <w:fldChar w:fldCharType="separate"/>
          </w:r>
          <w:hyperlink w:anchor="__RefHeading___Toc11949_39410795">
            <w:r>
              <w:rPr>
                <w:webHidden/>
                <w:rStyle w:val="Style15"/>
                <w:vanish w:val="false"/>
                <w:sz w:val="24"/>
                <w:szCs w:val="24"/>
              </w:rPr>
              <w:t>ТЕХНИЧЕСКИЕ ТРЕБОВАНИЯ</w:t>
              <w:tab/>
              <w:t>1</w:t>
            </w:r>
          </w:hyperlink>
        </w:p>
        <w:p>
          <w:pPr>
            <w:pStyle w:val="TOC1"/>
            <w:tabs>
              <w:tab w:val="clear" w:pos="708"/>
              <w:tab w:val="right" w:pos="9922" w:leader="dot"/>
            </w:tabs>
            <w:rPr/>
          </w:pPr>
          <w:hyperlink w:anchor="__RefHeading___Toc11951_39410795">
            <w:r>
              <w:rPr>
                <w:webHidden/>
                <w:rStyle w:val="Style15"/>
                <w:vanish w:val="false"/>
                <w:sz w:val="24"/>
                <w:szCs w:val="24"/>
              </w:rPr>
              <w:t xml:space="preserve">1. </w:t>
            </w:r>
            <w:r>
              <w:rPr>
                <w:rStyle w:val="Style15"/>
                <w:iCs/>
                <w:sz w:val="24"/>
                <w:szCs w:val="24"/>
              </w:rPr>
              <w:t>Общие</w:t>
            </w:r>
            <w:r>
              <w:rPr>
                <w:rStyle w:val="Style15"/>
                <w:sz w:val="24"/>
                <w:szCs w:val="24"/>
              </w:rPr>
              <w:t xml:space="preserve"> сведения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2" w:leader="dot"/>
            </w:tabs>
            <w:rPr/>
          </w:pPr>
          <w:hyperlink w:anchor="__RefHeading___Toc11953_39410795">
            <w:r>
              <w:rPr>
                <w:webHidden/>
                <w:rStyle w:val="Style15"/>
                <w:vanish w:val="false"/>
                <w:sz w:val="24"/>
                <w:szCs w:val="24"/>
              </w:rPr>
              <w:t>1.1. Обозначения и сокращения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2" w:leader="dot"/>
            </w:tabs>
            <w:rPr/>
          </w:pPr>
          <w:hyperlink w:anchor="__RefHeading___Toc11955_39410795">
            <w:r>
              <w:rPr>
                <w:webHidden/>
                <w:rStyle w:val="Style15"/>
                <w:vanish w:val="false"/>
                <w:sz w:val="24"/>
                <w:szCs w:val="24"/>
              </w:rPr>
              <w:t>1.2. Наименование закупаемой продукции</w:t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9922" w:leader="dot"/>
            </w:tabs>
            <w:rPr/>
          </w:pPr>
          <w:hyperlink w:anchor="__RefHeading___Toc11959_39410795">
            <w:r>
              <w:rPr>
                <w:webHidden/>
                <w:rStyle w:val="Style15"/>
                <w:vanish w:val="false"/>
                <w:sz w:val="24"/>
                <w:szCs w:val="24"/>
              </w:rPr>
              <w:t>1.3. Цель использования закупаемой продукции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2" w:leader="dot"/>
            </w:tabs>
            <w:rPr/>
          </w:pPr>
          <w:hyperlink w:anchor="__RefHeading___Toc11961_39410795">
            <w:r>
              <w:rPr>
                <w:webHidden/>
                <w:rStyle w:val="Style15"/>
                <w:vanish w:val="false"/>
                <w:sz w:val="24"/>
                <w:szCs w:val="24"/>
              </w:rPr>
              <w:t>2. Требования к продукции</w:t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9922" w:leader="dot"/>
            </w:tabs>
            <w:rPr/>
          </w:pPr>
          <w:hyperlink w:anchor="__RefHeading___Toc11963_39410795">
            <w:r>
              <w:rPr>
                <w:webHidden/>
                <w:rStyle w:val="Style15"/>
                <w:vanish w:val="false"/>
                <w:sz w:val="24"/>
                <w:szCs w:val="24"/>
              </w:rPr>
              <w:t>2.1. Требования к объемам и срокам поставки</w:t>
              <w:tab/>
              <w:t>4</w:t>
            </w:r>
          </w:hyperlink>
        </w:p>
        <w:p>
          <w:pPr>
            <w:pStyle w:val="TOC3"/>
            <w:tabs>
              <w:tab w:val="clear" w:pos="708"/>
              <w:tab w:val="right" w:pos="9922" w:leader="dot"/>
            </w:tabs>
            <w:rPr/>
          </w:pPr>
          <w:hyperlink w:anchor="__RefHeading___Toc11965_39410795">
            <w:r>
              <w:rPr>
                <w:webHidden/>
                <w:rStyle w:val="Style15"/>
                <w:vanish w:val="false"/>
                <w:sz w:val="24"/>
                <w:szCs w:val="24"/>
              </w:rPr>
              <w:t>2.1.1. Перечень и объем закупаемой продукции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2" w:leader="dot"/>
            </w:tabs>
            <w:rPr/>
          </w:pPr>
          <w:hyperlink w:anchor="__RefHeading___Toc11967_39410795">
            <w:r>
              <w:rPr>
                <w:webHidden/>
                <w:rStyle w:val="Style15"/>
                <w:vanish w:val="false"/>
                <w:sz w:val="24"/>
                <w:szCs w:val="24"/>
              </w:rPr>
              <w:t>Таблица 1.1 Перечень и объем закупаемой продукции</w:t>
              <w:tab/>
              <w:t>4</w:t>
            </w:r>
          </w:hyperlink>
        </w:p>
        <w:p>
          <w:pPr>
            <w:pStyle w:val="TOC3"/>
            <w:tabs>
              <w:tab w:val="clear" w:pos="708"/>
              <w:tab w:val="right" w:pos="9922" w:leader="dot"/>
            </w:tabs>
            <w:rPr/>
          </w:pPr>
          <w:hyperlink w:anchor="__RefHeading___Toc11971_39410795">
            <w:r>
              <w:rPr>
                <w:webHidden/>
                <w:rStyle w:val="Style15"/>
                <w:vanish w:val="false"/>
                <w:sz w:val="24"/>
                <w:szCs w:val="24"/>
              </w:rPr>
              <w:t>2.1.2. Требования к срокам поставки продукции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2" w:leader="dot"/>
            </w:tabs>
            <w:rPr/>
          </w:pPr>
          <w:hyperlink w:anchor="__RefHeading___Toc11973_39410795">
            <w:r>
              <w:rPr>
                <w:webHidden/>
                <w:rStyle w:val="Style15"/>
                <w:vanish w:val="false"/>
                <w:sz w:val="24"/>
                <w:szCs w:val="24"/>
              </w:rPr>
              <w:t>Таблица 2.1 Требования по срокам поставки продукции</w:t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9922" w:leader="dot"/>
            </w:tabs>
            <w:rPr/>
          </w:pPr>
          <w:hyperlink w:anchor="__RefHeading___Toc12089_39410795">
            <w:r>
              <w:rPr>
                <w:webHidden/>
                <w:rStyle w:val="Style15"/>
                <w:vanish w:val="false"/>
                <w:sz w:val="24"/>
                <w:szCs w:val="24"/>
              </w:rPr>
              <w:t>2.2. Требования к качеству продукции.</w:t>
              <w:tab/>
              <w:t>5</w:t>
            </w:r>
          </w:hyperlink>
        </w:p>
        <w:p>
          <w:pPr>
            <w:pStyle w:val="TOC4"/>
            <w:tabs>
              <w:tab w:val="clear" w:pos="708"/>
              <w:tab w:val="right" w:pos="9922" w:leader="dot"/>
            </w:tabs>
            <w:rPr/>
          </w:pPr>
          <w:hyperlink w:anchor="__RefHeading___Toc12091_39410795">
            <w:r>
              <w:rPr>
                <w:webHidden/>
                <w:rStyle w:val="Style15"/>
                <w:vanish w:val="false"/>
                <w:sz w:val="24"/>
                <w:szCs w:val="24"/>
              </w:rPr>
              <w:t>Таблица 3.1 Требования к продукции.</w:t>
              <w:tab/>
              <w:t>5</w:t>
            </w:r>
          </w:hyperlink>
        </w:p>
        <w:p>
          <w:pPr>
            <w:pStyle w:val="TOC1"/>
            <w:tabs>
              <w:tab w:val="clear" w:pos="708"/>
              <w:tab w:val="right" w:pos="9922" w:leader="dot"/>
            </w:tabs>
            <w:rPr/>
          </w:pPr>
          <w:hyperlink w:anchor="__RefHeading___Toc12093_39410795">
            <w:r>
              <w:rPr>
                <w:webHidden/>
                <w:rStyle w:val="Style15"/>
                <w:vanish w:val="false"/>
                <w:sz w:val="24"/>
                <w:szCs w:val="24"/>
              </w:rPr>
              <w:t>3.Требования к документации по ценообразованию на этапе закупки.</w:t>
              <w:tab/>
              <w:t>8</w:t>
            </w:r>
          </w:hyperlink>
          <w:r>
            <w:rPr>
              <w:rStyle w:val="Style15"/>
              <w:sz w:val="24"/>
              <w:szCs w:val="24"/>
              <w:vanish w:val="false"/>
            </w:rPr>
            <w:fldChar w:fldCharType="end"/>
          </w:r>
        </w:p>
      </w:sdtContent>
    </w:sdt>
    <w:p>
      <w:pPr>
        <w:pStyle w:val="TOC1"/>
        <w:tabs>
          <w:tab w:val="clear" w:pos="708"/>
          <w:tab w:val="left" w:pos="560" w:leader="none"/>
          <w:tab w:val="right" w:pos="9911" w:leader="dot"/>
        </w:tabs>
        <w:rPr>
          <w:rFonts w:ascii="Calibri" w:hAnsi="Calibri" w:eastAsia="" w:cs="" w:asciiTheme="minorHAnsi" w:cstheme="minorBidi" w:eastAsiaTheme="minorEastAsia" w:hAnsiTheme="minorHAnsi"/>
          <w:b w:val="false"/>
          <w:bCs w:val="false"/>
          <w:sz w:val="22"/>
          <w:szCs w:val="22"/>
        </w:rPr>
      </w:pPr>
      <w:r>
        <w:rPr>
          <w:rFonts w:eastAsia="" w:cs="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1"/>
        <w:numPr>
          <w:ilvl w:val="0"/>
          <w:numId w:val="24"/>
        </w:numPr>
        <w:rPr/>
      </w:pPr>
      <w:bookmarkStart w:id="4" w:name="__RefHeading___Toc11951_39410795"/>
      <w:bookmarkStart w:id="5" w:name="_Toc124846884"/>
      <w:bookmarkEnd w:id="4"/>
      <w:r>
        <w:rPr>
          <w:iCs/>
        </w:rPr>
        <w:t>Общие</w:t>
      </w:r>
      <w:r>
        <w:rPr/>
        <w:t xml:space="preserve"> сведения</w:t>
      </w:r>
      <w:bookmarkEnd w:id="5"/>
    </w:p>
    <w:p>
      <w:pPr>
        <w:pStyle w:val="Heading4"/>
        <w:numPr>
          <w:ilvl w:val="1"/>
          <w:numId w:val="25"/>
        </w:numPr>
        <w:ind w:left="709" w:hanging="709"/>
        <w:rPr/>
      </w:pPr>
      <w:bookmarkStart w:id="6" w:name="__RefHeading___Toc11953_39410795"/>
      <w:bookmarkEnd w:id="6"/>
      <w:r>
        <w:rPr/>
        <w:t>Обозначения и сокращения</w:t>
      </w:r>
    </w:p>
    <w:p>
      <w:pPr>
        <w:pStyle w:val="Normal"/>
        <w:ind w:left="709" w:hanging="709"/>
        <w:rPr/>
      </w:pPr>
      <w:r>
        <w:rPr/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rStyle w:val="Style8"/>
                <w:b w:val="false"/>
                <w:i w:val="false"/>
                <w:i w:val="false"/>
                <w:iCs/>
                <w:shd w:fill="auto" w:val="clear"/>
              </w:rPr>
            </w:pPr>
            <w:r>
              <w:rPr>
                <w:i/>
                <w:iCs/>
              </w:rPr>
              <w:t>СТО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rStyle w:val="Style8"/>
                <w:b w:val="false"/>
                <w:bCs/>
                <w:i w:val="false"/>
                <w:i w:val="false"/>
                <w:iCs/>
              </w:rPr>
            </w:pPr>
            <w:r>
              <w:rPr>
                <w:i/>
                <w:iCs/>
              </w:rPr>
              <w:t>стандарт организации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i/>
                <w:i/>
                <w:iCs/>
              </w:rPr>
            </w:pPr>
            <w:r>
              <w:rPr>
                <w:i/>
                <w:iCs/>
              </w:rPr>
              <w:t>ГЭС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i/>
                <w:i/>
                <w:iCs/>
              </w:rPr>
            </w:pPr>
            <w:r>
              <w:rPr>
                <w:i/>
                <w:iCs/>
              </w:rPr>
              <w:t>гидроэлектростанция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i/>
                <w:i/>
                <w:iCs/>
              </w:rPr>
            </w:pPr>
            <w:r>
              <w:rPr>
                <w:i/>
                <w:iCs/>
              </w:rPr>
              <w:t>ОТК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i/>
                <w:i/>
                <w:iCs/>
              </w:rPr>
            </w:pPr>
            <w:r>
              <w:rPr>
                <w:i/>
                <w:iCs/>
              </w:rPr>
              <w:t>отдел технического контроля</w:t>
            </w:r>
          </w:p>
        </w:tc>
      </w:tr>
    </w:tbl>
    <w:p>
      <w:pPr>
        <w:pStyle w:val="Heading4"/>
        <w:widowControl/>
        <w:numPr>
          <w:ilvl w:val="0"/>
          <w:numId w:val="0"/>
        </w:numPr>
        <w:suppressAutoHyphens w:val="true"/>
        <w:ind w:left="709" w:hanging="709"/>
        <w:jc w:val="left"/>
        <w:rPr/>
      </w:pPr>
      <w:r>
        <w:rPr/>
      </w:r>
      <w:r>
        <w:br w:type="page"/>
      </w:r>
    </w:p>
    <w:p>
      <w:pPr>
        <w:pStyle w:val="Heading4"/>
        <w:numPr>
          <w:ilvl w:val="1"/>
          <w:numId w:val="26"/>
        </w:numPr>
        <w:ind w:left="709" w:hanging="709"/>
        <w:rPr>
          <w:rFonts w:ascii="Times New Roman" w:hAnsi="Times New Roman"/>
          <w:sz w:val="24"/>
          <w:szCs w:val="24"/>
        </w:rPr>
      </w:pPr>
      <w:bookmarkStart w:id="7" w:name="__RefHeading___Toc11955_39410795"/>
      <w:bookmarkStart w:id="8" w:name="_Toc46743506"/>
      <w:bookmarkStart w:id="9" w:name="_Toc75446568"/>
      <w:bookmarkEnd w:id="7"/>
      <w:r>
        <w:rPr>
          <w:sz w:val="24"/>
          <w:szCs w:val="24"/>
        </w:rPr>
        <w:t>Наименование закупаемой продукции</w:t>
      </w:r>
      <w:bookmarkEnd w:id="8"/>
      <w:bookmarkEnd w:id="9"/>
    </w:p>
    <w:p>
      <w:pPr>
        <w:pStyle w:val="Normal"/>
        <w:numPr>
          <w:ilvl w:val="0"/>
        </w:numPr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bookmarkStart w:id="10" w:name="__RefHeading___Toc11957_39410795"/>
      <w:bookmarkEnd w:id="10"/>
      <w:r>
        <w:rPr>
          <w:rFonts w:eastAsia="Calibri"/>
          <w:b w:val="false"/>
          <w:bCs w:val="false"/>
          <w:i w:val="false"/>
          <w:caps w:val="false"/>
          <w:smallCaps w:val="false"/>
          <w:color w:val="2C2D2E"/>
          <w:spacing w:val="0"/>
          <w:sz w:val="24"/>
          <w:szCs w:val="24"/>
          <w:lang w:val="ru-RU" w:eastAsia="ru-RU"/>
        </w:rPr>
        <w:t>ОКПД2 27.90. Поставка переносных заземлений для нужд филиала ПАО "РусГидро"-"Камская ГЭС"</w:t>
      </w:r>
      <w:bookmarkStart w:id="11" w:name="_Toc75446569"/>
      <w:r>
        <w:rPr>
          <w:rFonts w:eastAsia="Times New Roman"/>
          <w:b w:val="false"/>
          <w:bCs w:val="false"/>
          <w:sz w:val="24"/>
          <w:szCs w:val="24"/>
          <w:lang w:val="ru-RU" w:eastAsia="ru-RU"/>
        </w:rPr>
        <w:t>.</w:t>
      </w:r>
    </w:p>
    <w:p>
      <w:pPr>
        <w:pStyle w:val="Heading4"/>
        <w:numPr>
          <w:ilvl w:val="1"/>
          <w:numId w:val="27"/>
        </w:numPr>
        <w:ind w:left="709" w:hanging="709"/>
        <w:rPr>
          <w:rFonts w:ascii="Times New Roman" w:hAnsi="Times New Roman"/>
          <w:sz w:val="24"/>
          <w:szCs w:val="24"/>
        </w:rPr>
      </w:pPr>
      <w:bookmarkStart w:id="12" w:name="__RefHeading___Toc11959_39410795"/>
      <w:bookmarkStart w:id="13" w:name="_Toc46743507"/>
      <w:bookmarkEnd w:id="12"/>
      <w:r>
        <w:rPr>
          <w:sz w:val="24"/>
          <w:szCs w:val="24"/>
        </w:rPr>
        <w:t xml:space="preserve">Цель </w:t>
      </w:r>
      <w:bookmarkEnd w:id="13"/>
      <w:r>
        <w:rPr>
          <w:sz w:val="24"/>
          <w:szCs w:val="24"/>
        </w:rPr>
        <w:t xml:space="preserve">использования закупаемой продукции </w:t>
      </w:r>
      <w:bookmarkEnd w:id="11"/>
      <w:r>
        <w:rPr>
          <w:sz w:val="24"/>
          <w:szCs w:val="24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  <w:lang w:val="en-US"/>
        </w:rPr>
        <w:t>Комплектация мест хранения защитных средств Оперативной службы Филиала ПАО “РусГидро” – “Камская ГЭС”, взамен изъятых из эксплуатации в связи с утратой защитных совйств и дефектами.</w:t>
      </w:r>
    </w:p>
    <w:p>
      <w:pPr>
        <w:pStyle w:val="Heading1"/>
        <w:numPr>
          <w:ilvl w:val="0"/>
          <w:numId w:val="28"/>
        </w:numPr>
        <w:ind w:left="709" w:hanging="709"/>
        <w:rPr>
          <w:rFonts w:ascii="Times New Roman" w:hAnsi="Times New Roman"/>
          <w:sz w:val="24"/>
          <w:szCs w:val="24"/>
        </w:rPr>
      </w:pPr>
      <w:bookmarkStart w:id="14" w:name="__RefHeading___Toc11961_39410795"/>
      <w:bookmarkStart w:id="15" w:name="_Toc51339693"/>
      <w:bookmarkStart w:id="16" w:name="_Toc75446573"/>
      <w:bookmarkStart w:id="17" w:name="_Toc124846885"/>
      <w:bookmarkEnd w:id="14"/>
      <w:r>
        <w:rPr>
          <w:sz w:val="24"/>
          <w:szCs w:val="24"/>
        </w:rPr>
        <w:t>Требования к продукции</w:t>
      </w:r>
      <w:bookmarkEnd w:id="15"/>
      <w:bookmarkEnd w:id="16"/>
      <w:bookmarkEnd w:id="17"/>
    </w:p>
    <w:p>
      <w:pPr>
        <w:pStyle w:val="Heading4"/>
        <w:numPr>
          <w:ilvl w:val="1"/>
          <w:numId w:val="29"/>
        </w:numPr>
        <w:ind w:left="709" w:hanging="709"/>
        <w:rPr>
          <w:rFonts w:ascii="Times New Roman" w:hAnsi="Times New Roman"/>
          <w:sz w:val="24"/>
          <w:szCs w:val="24"/>
        </w:rPr>
      </w:pPr>
      <w:bookmarkStart w:id="18" w:name="__RefHeading___Toc11963_39410795"/>
      <w:bookmarkStart w:id="19" w:name="_Toc75446574"/>
      <w:bookmarkEnd w:id="18"/>
      <w:r>
        <w:rPr>
          <w:sz w:val="24"/>
          <w:szCs w:val="24"/>
        </w:rPr>
        <w:t xml:space="preserve">Требования к объемам и срокам </w:t>
      </w:r>
      <w:r>
        <w:rPr>
          <w:sz w:val="24"/>
          <w:szCs w:val="24"/>
          <w:lang w:val="ru-RU"/>
        </w:rPr>
        <w:t>поставки</w:t>
      </w:r>
      <w:bookmarkEnd w:id="19"/>
    </w:p>
    <w:p>
      <w:pPr>
        <w:pStyle w:val="Heading3"/>
        <w:numPr>
          <w:ilvl w:val="2"/>
          <w:numId w:val="30"/>
        </w:numPr>
        <w:ind w:left="709" w:hanging="709"/>
        <w:rPr>
          <w:rFonts w:ascii="Times New Roman" w:hAnsi="Times New Roman"/>
          <w:sz w:val="24"/>
          <w:szCs w:val="24"/>
        </w:rPr>
      </w:pPr>
      <w:bookmarkStart w:id="20" w:name="__RefHeading___Toc11965_39410795"/>
      <w:bookmarkStart w:id="21" w:name="_Toc75446575"/>
      <w:bookmarkStart w:id="22" w:name="_Toc124846886"/>
      <w:bookmarkEnd w:id="20"/>
      <w:r>
        <w:rPr>
          <w:sz w:val="24"/>
          <w:szCs w:val="24"/>
        </w:rPr>
        <w:t>Перечень и объем закупаемой продукции</w:t>
      </w:r>
      <w:bookmarkEnd w:id="21"/>
      <w:bookmarkEnd w:id="22"/>
    </w:p>
    <w:p>
      <w:pPr>
        <w:pStyle w:val="Heading1"/>
        <w:numPr>
          <w:ilvl w:val="0"/>
          <w:numId w:val="0"/>
        </w:numPr>
        <w:ind w:left="0" w:hanging="0"/>
        <w:rPr>
          <w:rFonts w:ascii="Times New Roman" w:hAnsi="Times New Roman"/>
          <w:sz w:val="24"/>
          <w:szCs w:val="24"/>
        </w:rPr>
      </w:pPr>
      <w:bookmarkStart w:id="23" w:name="__RefHeading___Toc11967_39410795"/>
      <w:bookmarkStart w:id="24" w:name="_Toc124846887"/>
      <w:bookmarkStart w:id="25" w:name="_Toc75446576"/>
      <w:bookmarkStart w:id="26" w:name="_Toc124591881"/>
      <w:bookmarkStart w:id="27" w:name="_Toc124591777"/>
      <w:bookmarkStart w:id="28" w:name="_Toc51339695"/>
      <w:bookmarkEnd w:id="23"/>
      <w:r>
        <w:rPr>
          <w:sz w:val="24"/>
          <w:szCs w:val="24"/>
        </w:rPr>
        <w:t xml:space="preserve">Таблица 1.1 Перечень </w:t>
      </w:r>
      <w:bookmarkEnd w:id="28"/>
      <w:r>
        <w:rPr>
          <w:sz w:val="24"/>
          <w:szCs w:val="24"/>
        </w:rPr>
        <w:t>и объем закупаемой продукции</w:t>
      </w:r>
      <w:bookmarkEnd w:id="24"/>
      <w:bookmarkEnd w:id="25"/>
      <w:bookmarkEnd w:id="26"/>
      <w:bookmarkEnd w:id="27"/>
    </w:p>
    <w:tbl>
      <w:tblPr>
        <w:tblW w:w="9809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96"/>
        <w:gridCol w:w="4536"/>
        <w:gridCol w:w="2828"/>
        <w:gridCol w:w="858"/>
        <w:gridCol w:w="991"/>
      </w:tblGrid>
      <w:tr>
        <w:trPr>
          <w:trHeight w:val="641" w:hRule="atLeast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9" w:name="_Toc75446578"/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№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Наименование </w:t>
            </w:r>
            <w:r>
              <w:rPr>
                <w:rFonts w:eastAsia="Calibri"/>
                <w:b/>
                <w:sz w:val="24"/>
                <w:szCs w:val="24"/>
                <w:lang w:val="en-US" w:eastAsia="en-US"/>
              </w:rPr>
              <w:t>продукции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Тип, марка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Кол-во</w:t>
            </w:r>
          </w:p>
        </w:tc>
      </w:tr>
      <w:tr>
        <w:trPr>
          <w:trHeight w:val="163" w:hRule="atLeast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</w:numPr>
              <w:rPr>
                <w:rFonts w:ascii="Times New Roman" w:hAnsi="Times New Roman"/>
                <w:sz w:val="24"/>
                <w:szCs w:val="24"/>
              </w:rPr>
            </w:pPr>
            <w:bookmarkStart w:id="30" w:name="__RefHeading___Toc11969_39410795"/>
            <w:bookmarkEnd w:id="30"/>
            <w:r>
              <w:rPr>
                <w:rFonts w:eastAsia="Times New Roman"/>
                <w:b w:val="false"/>
                <w:bCs w:val="false"/>
                <w:i w:val="false"/>
                <w:caps w:val="false"/>
                <w:smallCaps w:val="false"/>
                <w:color w:val="1C2126"/>
                <w:spacing w:val="0"/>
                <w:sz w:val="24"/>
                <w:szCs w:val="24"/>
                <w:lang w:val="ru-RU" w:eastAsia="ru-RU"/>
              </w:rPr>
              <w:t>Переносное заземление до 15 кВ для РУ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1"/>
              <w:widowControl w:val="false"/>
              <w:numPr>
                <w:ilvl w:val="0"/>
                <w:numId w:val="0"/>
              </w:numPr>
              <w:spacing w:before="120" w:after="60"/>
              <w:ind w:lef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/>
                <w:b w:val="false"/>
                <w:bCs w:val="false"/>
                <w:i w:val="false"/>
                <w:caps w:val="false"/>
                <w:smallCaps w:val="false"/>
                <w:color w:val="1C2126"/>
                <w:spacing w:val="0"/>
                <w:sz w:val="24"/>
                <w:szCs w:val="24"/>
                <w:lang w:val="ru-RU" w:eastAsia="ru-RU"/>
              </w:rPr>
              <w:t>Заземление переносное ЗПП-15Э</w:t>
            </w:r>
            <w:r>
              <w:rPr>
                <w:rFonts w:eastAsia="Times New Roman"/>
                <w:b w:val="false"/>
                <w:bCs w:val="false"/>
                <w:i w:val="false"/>
                <w:caps w:val="false"/>
                <w:smallCaps w:val="false"/>
                <w:color w:val="1C2126"/>
                <w:spacing w:val="0"/>
                <w:sz w:val="24"/>
                <w:szCs w:val="24"/>
                <w:lang w:val="ru-RU" w:eastAsia="ru-RU"/>
              </w:rPr>
              <w:t xml:space="preserve"> 70 кв мм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шт.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15</w:t>
            </w:r>
          </w:p>
        </w:tc>
      </w:tr>
      <w:tr>
        <w:trPr>
          <w:trHeight w:val="163" w:hRule="atLeast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1C2126"/>
                <w:spacing w:val="0"/>
                <w:sz w:val="24"/>
                <w:szCs w:val="24"/>
              </w:rPr>
              <w:t>Переносное заземление до 220 кВ для ВЛ</w:t>
            </w:r>
          </w:p>
        </w:tc>
        <w:tc>
          <w:tcPr>
            <w:tcW w:w="2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1C2126"/>
                <w:spacing w:val="0"/>
                <w:sz w:val="24"/>
                <w:szCs w:val="24"/>
              </w:rPr>
              <w:t>Переносное заземление штанговое ПЗ-110-220 Э сеч. 25 мм</w:t>
            </w:r>
            <w:r>
              <w:rPr>
                <w:b w:val="false"/>
                <w:i w:val="false"/>
                <w:caps w:val="false"/>
                <w:smallCaps w:val="false"/>
                <w:color w:val="1C2126"/>
                <w:spacing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>
        <w:trPr>
          <w:trHeight w:val="163" w:hRule="atLeast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1C2126"/>
                <w:spacing w:val="0"/>
                <w:sz w:val="24"/>
                <w:szCs w:val="24"/>
              </w:rPr>
              <w:t>Указатель высокого напряжения до 110 кВ с резервной схемой</w:t>
            </w:r>
          </w:p>
        </w:tc>
        <w:tc>
          <w:tcPr>
            <w:tcW w:w="2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1C2126"/>
                <w:spacing w:val="0"/>
                <w:sz w:val="24"/>
                <w:szCs w:val="24"/>
              </w:rPr>
              <w:t>Указатель высокого напряжения УВН-90М-10-110 СЗ ИП КБ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rPr>
          <w:trHeight w:val="163" w:hRule="atLeast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1C2126"/>
                <w:spacing w:val="0"/>
                <w:sz w:val="24"/>
                <w:szCs w:val="24"/>
              </w:rPr>
              <w:t>Указатель высокого напряжения 220 кВ с резервной схемой</w:t>
            </w:r>
          </w:p>
        </w:tc>
        <w:tc>
          <w:tcPr>
            <w:tcW w:w="2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1C2126"/>
                <w:spacing w:val="0"/>
                <w:sz w:val="24"/>
                <w:szCs w:val="24"/>
              </w:rPr>
              <w:t>Указатель высокого напряжения УВН-220 КБ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>
      <w:pPr>
        <w:pStyle w:val="Heading3"/>
        <w:numPr>
          <w:ilvl w:val="2"/>
          <w:numId w:val="31"/>
        </w:numPr>
        <w:ind w:left="709" w:hanging="709"/>
        <w:rPr>
          <w:rFonts w:ascii="Times New Roman" w:hAnsi="Times New Roman"/>
          <w:sz w:val="24"/>
          <w:szCs w:val="24"/>
        </w:rPr>
      </w:pPr>
      <w:bookmarkStart w:id="31" w:name="_Toc124846888"/>
      <w:bookmarkStart w:id="32" w:name="_Toc51339696"/>
      <w:r>
        <w:rPr>
          <w:sz w:val="24"/>
          <w:szCs w:val="24"/>
        </w:rPr>
        <w:t xml:space="preserve">Требования </w:t>
      </w:r>
      <w:bookmarkEnd w:id="32"/>
      <w:r>
        <w:rPr>
          <w:sz w:val="24"/>
          <w:szCs w:val="24"/>
        </w:rPr>
        <w:t>к срокам поставки продукции</w:t>
      </w:r>
      <w:bookmarkEnd w:id="31"/>
      <w:r>
        <w:rPr>
          <w:sz w:val="24"/>
          <w:szCs w:val="24"/>
        </w:rPr>
        <w:t xml:space="preserve"> </w:t>
      </w:r>
      <w:bookmarkEnd w:id="29"/>
    </w:p>
    <w:p>
      <w:pPr>
        <w:pStyle w:val="Heading3"/>
        <w:numPr>
          <w:ilvl w:val="2"/>
          <w:numId w:val="32"/>
        </w:numPr>
        <w:ind w:left="709" w:hanging="709"/>
        <w:rPr>
          <w:rFonts w:ascii="Times New Roman" w:hAnsi="Times New Roman"/>
          <w:sz w:val="24"/>
          <w:szCs w:val="24"/>
        </w:rPr>
      </w:pPr>
      <w:bookmarkStart w:id="33" w:name="_Toc124591883"/>
      <w:bookmarkStart w:id="34" w:name="_Toc124591779"/>
      <w:bookmarkStart w:id="35" w:name="_Toc75446579"/>
      <w:bookmarkStart w:id="36" w:name="_Toc124846889"/>
      <w:bookmarkStart w:id="37" w:name="_Toc51339697"/>
      <w:bookmarkStart w:id="38" w:name="_Toc5012512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39" w:name="_Hlk50465284"/>
      <w:r>
        <w:rPr>
          <w:sz w:val="24"/>
          <w:szCs w:val="24"/>
        </w:rPr>
        <w:t xml:space="preserve">Требования по срокам </w:t>
      </w:r>
      <w:bookmarkEnd w:id="37"/>
      <w:bookmarkEnd w:id="38"/>
      <w:bookmarkEnd w:id="39"/>
      <w:r>
        <w:rPr>
          <w:sz w:val="24"/>
          <w:szCs w:val="24"/>
          <w:lang w:val="ru-RU"/>
        </w:rPr>
        <w:t>поставки продукции</w:t>
      </w:r>
      <w:bookmarkEnd w:id="33"/>
      <w:bookmarkEnd w:id="34"/>
      <w:bookmarkEnd w:id="35"/>
      <w:bookmarkEnd w:id="36"/>
      <w:r>
        <w:rPr>
          <w:sz w:val="24"/>
          <w:szCs w:val="24"/>
          <w:lang w:val="ru-RU"/>
        </w:rPr>
        <w:t xml:space="preserve"> </w:t>
      </w:r>
    </w:p>
    <w:tbl>
      <w:tblPr>
        <w:tblW w:w="9781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5"/>
        <w:gridCol w:w="3403"/>
        <w:gridCol w:w="2981"/>
        <w:gridCol w:w="2691"/>
      </w:tblGrid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>
          <w:trHeight w:val="130" w:hRule="atLeast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692" w:hRule="atLeast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3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</w:numPr>
              <w:rPr>
                <w:rFonts w:ascii="Times New Roman" w:hAnsi="Times New Roman"/>
                <w:sz w:val="24"/>
                <w:szCs w:val="24"/>
              </w:rPr>
            </w:pPr>
            <w:bookmarkStart w:id="40" w:name="__RefHeading___Toc11969_39410795_Копия_1"/>
            <w:bookmarkEnd w:id="40"/>
            <w:r>
              <w:rPr>
                <w:rFonts w:eastAsia="Times New Roman"/>
                <w:b w:val="false"/>
                <w:bCs w:val="false"/>
                <w:i w:val="false"/>
                <w:caps w:val="false"/>
                <w:smallCaps w:val="false"/>
                <w:color w:val="1C2126"/>
                <w:spacing w:val="0"/>
                <w:sz w:val="24"/>
                <w:szCs w:val="24"/>
                <w:lang w:val="ru-RU" w:eastAsia="ru-RU"/>
              </w:rPr>
              <w:t>Переносное заземление до 15 кВ для РУ</w:t>
            </w:r>
          </w:p>
        </w:tc>
        <w:tc>
          <w:tcPr>
            <w:tcW w:w="2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/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с момента заключения договора</w:t>
            </w:r>
          </w:p>
        </w:tc>
        <w:tc>
          <w:tcPr>
            <w:tcW w:w="2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Не позднее  20.11.2026</w:t>
            </w:r>
          </w:p>
        </w:tc>
      </w:tr>
      <w:tr>
        <w:trPr>
          <w:trHeight w:val="692" w:hRule="atLeast"/>
        </w:trPr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1C2126"/>
                <w:spacing w:val="0"/>
                <w:sz w:val="24"/>
                <w:szCs w:val="24"/>
              </w:rPr>
              <w:t>Переносное заземление до 220 кВ для ВЛ</w:t>
            </w:r>
          </w:p>
        </w:tc>
        <w:tc>
          <w:tcPr>
            <w:tcW w:w="29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</w:tr>
      <w:tr>
        <w:trPr>
          <w:trHeight w:val="692" w:hRule="atLeast"/>
        </w:trPr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1C2126"/>
                <w:spacing w:val="0"/>
                <w:sz w:val="24"/>
                <w:szCs w:val="24"/>
              </w:rPr>
              <w:t>Указатель высокого напряжения до 110 кВ с резервной схемой</w:t>
            </w:r>
          </w:p>
        </w:tc>
        <w:tc>
          <w:tcPr>
            <w:tcW w:w="29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</w:tr>
      <w:tr>
        <w:trPr>
          <w:trHeight w:val="692" w:hRule="atLeast"/>
        </w:trPr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1C2126"/>
                <w:spacing w:val="0"/>
                <w:sz w:val="24"/>
                <w:szCs w:val="24"/>
              </w:rPr>
              <w:t>Указатель высокого напряжения 220 кВ с резервной схемой</w:t>
            </w:r>
          </w:p>
        </w:tc>
        <w:tc>
          <w:tcPr>
            <w:tcW w:w="29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  <w:bookmarkStart w:id="41" w:name="_Toc50125126_Копия_1_Копия_1_Копия_1_Коп"/>
            <w:bookmarkStart w:id="42" w:name="_Toc46743510_Копия_1_Копия_1_Копия_1_Коп"/>
            <w:bookmarkStart w:id="43" w:name="_Toc50125126_Копия_1_Копия_1_Копия_1_Коп"/>
            <w:bookmarkStart w:id="44" w:name="_Toc46743510_Копия_1_Копия_1_Копия_1_Коп"/>
            <w:bookmarkStart w:id="45" w:name="_Toc50125126_Копия_1_Копия_1_Копия_1_Коп"/>
            <w:bookmarkStart w:id="46" w:name="_Toc46743510_Копия_1_Копия_1_Копия_1_Коп"/>
            <w:bookmarkStart w:id="47" w:name="_Toc50125126_Копия_1_Копия_1_Копия_1_Коп"/>
            <w:bookmarkStart w:id="48" w:name="_Toc46743510_Копия_1_Копия_1_Копия_1_Коп"/>
            <w:bookmarkStart w:id="49" w:name="_Toc50125126_Копия_1_Копия_1_Копия_1_Коп"/>
            <w:bookmarkStart w:id="50" w:name="_Toc46743510_Копия_1_Копия_1_Копия_1_Коп"/>
            <w:bookmarkStart w:id="51" w:name="_Toc50125126_Копия_1_Копия_1_Копия_1_Коп"/>
            <w:bookmarkStart w:id="52" w:name="_Toc46743510_Копия_1_Копия_1_Копия_1_Коп"/>
            <w:bookmarkStart w:id="53" w:name="_Toc50125126_Копия_1_Копия_1_Копия_1_Коп"/>
            <w:bookmarkStart w:id="54" w:name="_Toc46743510_Копия_1_Копия_1_Копия_1_Коп"/>
            <w:bookmarkStart w:id="55" w:name="_Toc50125126_Копия_1_Копия_1_Копия_1_Коп"/>
            <w:bookmarkStart w:id="56" w:name="_Toc46743510_Копия_1_Копия_1_Копия_1_Коп"/>
            <w:bookmarkStart w:id="57" w:name="_Toc50125126_Копия_1_Копия_1_Копия_1_Коп"/>
            <w:bookmarkStart w:id="58" w:name="_Toc46743510_Копия_1_Копия_1_Копия_1_Коп"/>
            <w:bookmarkStart w:id="59" w:name="_Toc50125126_Копия_1_Копия_1_Копия_1_Коп"/>
            <w:bookmarkStart w:id="60" w:name="_Toc46743510_Копия_1_Копия_1_Копия_1_Коп"/>
            <w:bookmarkStart w:id="61" w:name="_Toc50125126_Копия_1_Копия_1_Копия_1_Коп"/>
            <w:bookmarkStart w:id="62" w:name="_Toc46743510_Копия_1_Копия_1_Копия_1_Коп"/>
            <w:bookmarkStart w:id="63" w:name="_Toc50125126_Копия_1_Копия_1_Копия_1_Коп"/>
            <w:bookmarkStart w:id="64" w:name="_Toc46743510_Копия_1_Копия_1_Копия_1_Коп"/>
            <w:bookmarkStart w:id="65" w:name="_Toc50125126_Копия_1_Копия_1_Копия_1_Коп"/>
            <w:bookmarkStart w:id="66" w:name="_Toc46743510_Копия_1_Копия_1_Копия_1_Коп"/>
            <w:bookmarkStart w:id="67" w:name="_Toc50125126_Копия_1_Копия_1_Копия_1_Коп"/>
            <w:bookmarkStart w:id="68" w:name="_Toc46743510_Копия_1_Копия_1_Копия_1_Коп"/>
            <w:bookmarkEnd w:id="55"/>
            <w:bookmarkEnd w:id="56"/>
            <w:bookmarkEnd w:id="57"/>
            <w:bookmarkEnd w:id="58"/>
            <w:bookmarkEnd w:id="59"/>
            <w:bookmarkEnd w:id="60"/>
            <w:bookmarkEnd w:id="61"/>
            <w:bookmarkEnd w:id="62"/>
            <w:bookmarkEnd w:id="63"/>
            <w:bookmarkEnd w:id="64"/>
            <w:bookmarkEnd w:id="65"/>
            <w:bookmarkEnd w:id="66"/>
            <w:bookmarkEnd w:id="67"/>
            <w:bookmarkEnd w:id="68"/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0" w:gutter="0" w:header="708" w:top="1134" w:footer="0" w:bottom="1134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tabs>
          <w:tab w:val="clear" w:pos="708"/>
          <w:tab w:val="left" w:pos="1305" w:leader="none"/>
        </w:tabs>
        <w:rPr>
          <w:rFonts w:ascii="Times New Roman" w:hAnsi="Times New Roman"/>
          <w:sz w:val="24"/>
          <w:szCs w:val="24"/>
        </w:rPr>
      </w:pPr>
      <w:bookmarkStart w:id="69" w:name="_Toc50125126_Копия_1_Копия_1_Копия_1_Коп"/>
      <w:bookmarkStart w:id="70" w:name="_Toc46743510_Копия_1_Копия_1_Копия_1_Коп"/>
      <w:bookmarkEnd w:id="69"/>
      <w:bookmarkEnd w:id="70"/>
      <w:r>
        <w:rPr>
          <w:sz w:val="24"/>
          <w:szCs w:val="24"/>
          <w:lang w:val="x-none" w:eastAsia="x-none"/>
        </w:rPr>
        <w:tab/>
      </w:r>
    </w:p>
    <w:p>
      <w:pPr>
        <w:pStyle w:val="Heading4"/>
        <w:numPr>
          <w:ilvl w:val="0"/>
        </w:numPr>
        <w:ind w:left="432" w:hanging="432"/>
        <w:rPr>
          <w:rFonts w:ascii="Times New Roman" w:hAnsi="Times New Roman"/>
          <w:sz w:val="24"/>
          <w:szCs w:val="24"/>
        </w:rPr>
      </w:pPr>
      <w:bookmarkStart w:id="71" w:name="__RefHeading___Toc12089_39410795"/>
      <w:bookmarkEnd w:id="71"/>
      <w:r>
        <w:rPr>
          <w:sz w:val="24"/>
          <w:szCs w:val="24"/>
        </w:rPr>
        <w:t>2.2.</w:t>
        <w:tab/>
        <w:t>Требования к качеству продукции.</w:t>
      </w:r>
    </w:p>
    <w:p>
      <w:pPr>
        <w:pStyle w:val="Heading4"/>
        <w:numPr>
          <w:ilvl w:val="0"/>
        </w:numPr>
        <w:ind w:left="432" w:hanging="432"/>
        <w:rPr>
          <w:rFonts w:ascii="Times New Roman" w:hAnsi="Times New Roman"/>
          <w:sz w:val="24"/>
          <w:szCs w:val="24"/>
        </w:rPr>
      </w:pPr>
      <w:bookmarkStart w:id="72" w:name="__RefHeading___Toc12091_39410795"/>
      <w:bookmarkStart w:id="73" w:name="_Toc75446582"/>
      <w:bookmarkEnd w:id="72"/>
      <w:r>
        <w:rPr>
          <w:sz w:val="24"/>
          <w:szCs w:val="24"/>
        </w:rPr>
        <w:t>Таблица 3.1 Требования к продукции</w:t>
      </w:r>
      <w:bookmarkEnd w:id="73"/>
      <w:r>
        <w:rPr>
          <w:sz w:val="24"/>
          <w:szCs w:val="24"/>
        </w:rPr>
        <w:t>.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 xml:space="preserve">Наименование продукции: </w:t>
      </w:r>
      <w:r>
        <w:rPr>
          <w:rFonts w:eastAsia="Calibri"/>
          <w:b w:val="false"/>
          <w:bCs w:val="false"/>
          <w:i w:val="false"/>
          <w:caps w:val="false"/>
          <w:smallCaps w:val="false"/>
          <w:color w:val="2C2D2E"/>
          <w:spacing w:val="0"/>
          <w:sz w:val="24"/>
          <w:szCs w:val="24"/>
          <w:lang w:val="ru-RU" w:eastAsia="ru-RU"/>
        </w:rPr>
        <w:t>ОКПД2 27.90. Поставка переносных заземлений для нужд филиала ПАО "РусГидро"-"Камская ГЭС"</w:t>
      </w:r>
      <w:r>
        <w:rPr>
          <w:rFonts w:eastAsia="Times New Roman"/>
          <w:b w:val="false"/>
          <w:bCs w:val="false"/>
          <w:sz w:val="24"/>
          <w:szCs w:val="24"/>
          <w:lang w:val="ru-RU" w:eastAsia="ru-RU"/>
        </w:rPr>
        <w:t>.</w:t>
      </w:r>
    </w:p>
    <w:tbl>
      <w:tblPr>
        <w:tblStyle w:val="affff7"/>
        <w:tblW w:w="1518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1"/>
        <w:gridCol w:w="1540"/>
        <w:gridCol w:w="249"/>
        <w:gridCol w:w="6450"/>
        <w:gridCol w:w="2656"/>
        <w:gridCol w:w="3451"/>
      </w:tblGrid>
      <w:tr>
        <w:trPr/>
        <w:tc>
          <w:tcPr>
            <w:tcW w:w="84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1789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108" w:right="-144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645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610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84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789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45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5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34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64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65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345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823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65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451" w:type="dxa"/>
            <w:tcBorders>
              <w:top w:val="nil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8239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72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bookmarkStart w:id="74" w:name="__RefHeading___Toc11969_39410795_Копия_1"/>
            <w:bookmarkEnd w:id="74"/>
            <w:r>
              <w:rPr>
                <w:rFonts w:eastAsia="Times New Roman"/>
                <w:b w:val="false"/>
                <w:bCs w:val="false"/>
                <w:i w:val="false"/>
                <w:caps w:val="false"/>
                <w:smallCaps w:val="false"/>
                <w:color w:val="1C2126"/>
                <w:spacing w:val="0"/>
                <w:sz w:val="24"/>
                <w:szCs w:val="24"/>
                <w:lang w:val="ru-RU" w:eastAsia="ru-RU"/>
              </w:rPr>
              <w:t>Переносное заземление до 15 кВ для РУ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Сечение провода</w:t>
            </w:r>
            <w:r>
              <w:rPr>
                <w:sz w:val="24"/>
                <w:szCs w:val="24"/>
                <w:lang w:val="en-US"/>
              </w:rPr>
              <w:t xml:space="preserve"> – 70 мм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auto"/>
                <w:spacing w:val="0"/>
                <w:sz w:val="24"/>
                <w:szCs w:val="24"/>
              </w:rPr>
              <w:t>Длина заземляющего спуска, не менее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 2500 мм;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Номинальное напряжение — 15000 В;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исполнения — трехфазный;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Соответствие </w:t>
            </w: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</w:rPr>
              <w:t>ГОСТ Р 51853-2001, ГОСТ 20494, ГОСТ 12.2.007.0, ГОСТ 18620</w:t>
            </w:r>
          </w:p>
        </w:tc>
        <w:tc>
          <w:tcPr>
            <w:tcW w:w="2656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5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8239" w:type="dxa"/>
            <w:gridSpan w:val="3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72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1C2126"/>
                <w:spacing w:val="0"/>
                <w:sz w:val="24"/>
                <w:szCs w:val="24"/>
              </w:rPr>
              <w:t>Переносное заземление до 220 кВ для ВЛ</w:t>
            </w:r>
          </w:p>
          <w:p>
            <w:pPr>
              <w:pStyle w:val="Normal"/>
              <w:widowControl w:val="false"/>
              <w:numPr>
                <w:ilvl w:val="0"/>
                <w:numId w:val="3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Сечение провода</w:t>
            </w:r>
            <w:r>
              <w:rPr>
                <w:sz w:val="24"/>
                <w:szCs w:val="24"/>
                <w:lang w:val="en-US"/>
              </w:rPr>
              <w:t xml:space="preserve"> – 25 мм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auto"/>
                <w:spacing w:val="0"/>
                <w:sz w:val="24"/>
                <w:szCs w:val="24"/>
              </w:rPr>
              <w:t>Длина заземляющего спуска, не менее</w:t>
            </w:r>
            <w:r>
              <w:rPr>
                <w:sz w:val="24"/>
                <w:szCs w:val="24"/>
              </w:rPr>
              <w:t xml:space="preserve"> – 4000 мм;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auto"/>
                <w:spacing w:val="0"/>
                <w:sz w:val="23"/>
              </w:rPr>
            </w:pPr>
            <w:r>
              <w:rPr>
                <w:b w:val="false"/>
                <w:i w:val="false"/>
                <w:caps w:val="false"/>
                <w:smallCaps w:val="false"/>
                <w:color w:val="auto"/>
                <w:spacing w:val="0"/>
                <w:sz w:val="24"/>
                <w:szCs w:val="24"/>
              </w:rPr>
              <w:t>Длина штанги со струбциной — 3500 мм;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Диапазон рабочего напряжения — 220000 В;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исполнения — однофазное;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1C2126"/>
                <w:spacing w:val="0"/>
                <w:sz w:val="24"/>
                <w:szCs w:val="24"/>
              </w:rPr>
              <w:t xml:space="preserve">Соответствие </w:t>
            </w: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</w:rPr>
              <w:t>ГОСТ Р 51853-2001, ГОСТ 20494, ГОСТ 12.2.007.0, ГОСТ 18620</w:t>
            </w:r>
          </w:p>
        </w:tc>
        <w:tc>
          <w:tcPr>
            <w:tcW w:w="2656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5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8239" w:type="dxa"/>
            <w:gridSpan w:val="3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720" w:hanging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auto"/>
                <w:spacing w:val="0"/>
                <w:sz w:val="24"/>
                <w:szCs w:val="24"/>
              </w:rPr>
              <w:t xml:space="preserve">Указатель высокого напряжения до 110 кВ </w:t>
            </w:r>
            <w:r>
              <w:rPr>
                <w:b w:val="false"/>
                <w:i w:val="false"/>
                <w:caps w:val="false"/>
                <w:smallCaps w:val="false"/>
                <w:color w:val="1C2126"/>
                <w:spacing w:val="0"/>
                <w:sz w:val="24"/>
                <w:szCs w:val="24"/>
              </w:rPr>
              <w:t>с резервной схемой</w:t>
            </w:r>
          </w:p>
          <w:p>
            <w:pPr>
              <w:pStyle w:val="Normal"/>
              <w:widowControl w:val="false"/>
              <w:numPr>
                <w:ilvl w:val="0"/>
                <w:numId w:val="35"/>
              </w:numPr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auto"/>
                <w:spacing w:val="0"/>
                <w:sz w:val="24"/>
                <w:szCs w:val="24"/>
                <w:lang w:val="ru-RU"/>
              </w:rPr>
              <w:t>Диапазон частот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 – </w:t>
            </w:r>
            <w:r>
              <w:rPr>
                <w:b w:val="false"/>
                <w:i w:val="false"/>
                <w:caps w:val="false"/>
                <w:smallCaps w:val="false"/>
                <w:color w:val="auto"/>
                <w:spacing w:val="0"/>
                <w:sz w:val="24"/>
                <w:szCs w:val="24"/>
                <w:lang w:val="en-US"/>
              </w:rPr>
              <w:t>50 Гц</w:t>
            </w:r>
            <w:r>
              <w:rPr>
                <w:color w:val="auto"/>
                <w:sz w:val="24"/>
                <w:szCs w:val="24"/>
                <w:lang w:val="en-US"/>
              </w:rPr>
              <w:t>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auto"/>
                <w:spacing w:val="0"/>
                <w:sz w:val="24"/>
                <w:szCs w:val="24"/>
              </w:rPr>
              <w:t>Метод измерения</w:t>
            </w:r>
            <w:r>
              <w:rPr>
                <w:color w:val="auto"/>
                <w:sz w:val="24"/>
                <w:szCs w:val="24"/>
              </w:rPr>
              <w:t xml:space="preserve"> – контактно-бесконтактный;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Рабочее напряжение — 110000 В;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auto"/>
                <w:spacing w:val="0"/>
                <w:sz w:val="24"/>
                <w:szCs w:val="24"/>
              </w:rPr>
              <w:t>Индикация напряжения</w:t>
            </w:r>
            <w:r>
              <w:rPr>
                <w:color w:val="auto"/>
                <w:sz w:val="24"/>
                <w:szCs w:val="24"/>
              </w:rPr>
              <w:t xml:space="preserve"> — </w:t>
            </w:r>
            <w:r>
              <w:rPr>
                <w:b w:val="false"/>
                <w:i w:val="false"/>
                <w:caps w:val="false"/>
                <w:smallCaps w:val="false"/>
                <w:color w:val="auto"/>
                <w:spacing w:val="0"/>
                <w:sz w:val="24"/>
                <w:szCs w:val="24"/>
              </w:rPr>
              <w:t>свето-звуковая</w:t>
            </w:r>
            <w:r>
              <w:rPr>
                <w:color w:val="auto"/>
                <w:sz w:val="24"/>
                <w:szCs w:val="24"/>
              </w:rPr>
              <w:t>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Длина — 2670 мм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auto"/>
                <w:spacing w:val="0"/>
                <w:sz w:val="24"/>
                <w:szCs w:val="24"/>
              </w:rPr>
              <w:t xml:space="preserve">Соответствие </w:t>
            </w:r>
            <w:r>
              <w:rPr>
                <w:rStyle w:val="Strong"/>
                <w:b w:val="false"/>
                <w:i w:val="false"/>
                <w:caps w:val="false"/>
                <w:smallCaps w:val="false"/>
                <w:color w:val="auto"/>
                <w:spacing w:val="0"/>
                <w:sz w:val="24"/>
                <w:szCs w:val="24"/>
              </w:rPr>
              <w:t>ГОСТ 20493-2001, ГОСТ 18620</w:t>
            </w:r>
          </w:p>
        </w:tc>
        <w:tc>
          <w:tcPr>
            <w:tcW w:w="2656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5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8239" w:type="dxa"/>
            <w:gridSpan w:val="3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720" w:hanging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auto"/>
                <w:spacing w:val="0"/>
                <w:sz w:val="24"/>
                <w:szCs w:val="24"/>
              </w:rPr>
              <w:t xml:space="preserve">Указатель высокого напряжения до 220 кВ </w:t>
            </w:r>
            <w:r>
              <w:rPr>
                <w:b w:val="false"/>
                <w:i w:val="false"/>
                <w:caps w:val="false"/>
                <w:smallCaps w:val="false"/>
                <w:color w:val="1C2126"/>
                <w:spacing w:val="0"/>
                <w:sz w:val="24"/>
                <w:szCs w:val="24"/>
              </w:rPr>
              <w:t>с резервной схемой</w:t>
            </w:r>
          </w:p>
          <w:p>
            <w:pPr>
              <w:pStyle w:val="Normal"/>
              <w:widowControl w:val="false"/>
              <w:numPr>
                <w:ilvl w:val="0"/>
                <w:numId w:val="36"/>
              </w:numPr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auto"/>
                <w:spacing w:val="0"/>
                <w:sz w:val="24"/>
                <w:szCs w:val="24"/>
                <w:lang w:val="ru-RU"/>
              </w:rPr>
              <w:t>Диапазон частот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 – </w:t>
            </w:r>
            <w:r>
              <w:rPr>
                <w:b w:val="false"/>
                <w:i w:val="false"/>
                <w:caps w:val="false"/>
                <w:smallCaps w:val="false"/>
                <w:color w:val="auto"/>
                <w:spacing w:val="0"/>
                <w:sz w:val="24"/>
                <w:szCs w:val="24"/>
                <w:lang w:val="en-US"/>
              </w:rPr>
              <w:t>50 Гц</w:t>
            </w:r>
            <w:r>
              <w:rPr>
                <w:color w:val="auto"/>
                <w:sz w:val="24"/>
                <w:szCs w:val="24"/>
                <w:lang w:val="en-US"/>
              </w:rPr>
              <w:t>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auto"/>
                <w:spacing w:val="0"/>
                <w:sz w:val="24"/>
                <w:szCs w:val="24"/>
              </w:rPr>
              <w:t>Метод измерения</w:t>
            </w:r>
            <w:r>
              <w:rPr>
                <w:color w:val="auto"/>
                <w:sz w:val="24"/>
                <w:szCs w:val="24"/>
              </w:rPr>
              <w:t xml:space="preserve"> – контактно-бесконтактный;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Рабочее напряжение — 220000 В;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auto"/>
                <w:spacing w:val="0"/>
                <w:sz w:val="24"/>
                <w:szCs w:val="24"/>
              </w:rPr>
              <w:t>Индикация напряжения</w:t>
            </w:r>
            <w:r>
              <w:rPr>
                <w:color w:val="auto"/>
                <w:sz w:val="24"/>
                <w:szCs w:val="24"/>
              </w:rPr>
              <w:t xml:space="preserve"> — </w:t>
            </w:r>
            <w:r>
              <w:rPr>
                <w:b w:val="false"/>
                <w:i w:val="false"/>
                <w:caps w:val="false"/>
                <w:smallCaps w:val="false"/>
                <w:color w:val="auto"/>
                <w:spacing w:val="0"/>
                <w:sz w:val="24"/>
                <w:szCs w:val="24"/>
              </w:rPr>
              <w:t>свето-звуковая</w:t>
            </w:r>
            <w:r>
              <w:rPr>
                <w:color w:val="auto"/>
                <w:sz w:val="24"/>
                <w:szCs w:val="24"/>
              </w:rPr>
              <w:t>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Длина — 3570 мм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  <w:t xml:space="preserve">Соответствие </w:t>
            </w:r>
            <w:r>
              <w:rPr>
                <w:rStyle w:val="Strong"/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  <w:t>ГОСТ 20493-2001, ГОСТ 18620</w:t>
            </w:r>
          </w:p>
        </w:tc>
        <w:tc>
          <w:tcPr>
            <w:tcW w:w="2656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5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823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65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51" w:type="dxa"/>
            <w:tcBorders>
              <w:top w:val="nil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78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144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Место поставки</w:t>
            </w:r>
          </w:p>
        </w:tc>
        <w:tc>
          <w:tcPr>
            <w:tcW w:w="645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Поставка оборудования осуществляется на склад заказчика, расположенный по адресу: </w:t>
            </w:r>
            <w:r>
              <w:rPr>
                <w:rFonts w:eastAsia="Calibri"/>
                <w:iCs/>
                <w:sz w:val="24"/>
                <w:szCs w:val="24"/>
                <w:lang w:eastAsia="en-US"/>
              </w:rPr>
              <w:t>614030, г. Пермь, ул. Соликамская 329.</w:t>
            </w:r>
            <w:r>
              <w:rPr>
                <w:sz w:val="24"/>
                <w:szCs w:val="24"/>
              </w:rPr>
              <w:t xml:space="preserve"> Стоимость оборудования включает в себя в том числе расходы по доставке до склада покупателя, страховке, транспортировке.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Приемка продукции осуществляется только в рабочие дни: понедельник - четверг с 08-30 до 11-00 и с 13-00 до 16-00, пятница с 08-30 до 11-00 и с 13-00 до 15-00 по местному времени.</w:t>
            </w:r>
          </w:p>
        </w:tc>
        <w:tc>
          <w:tcPr>
            <w:tcW w:w="265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51" w:type="dxa"/>
            <w:tcBorders>
              <w:top w:val="nil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75" w:name="__RefHeading___Toc11977_39410795"/>
            <w:bookmarkEnd w:id="75"/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789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28" w:leader="none"/>
              </w:tabs>
              <w:spacing w:lineRule="auto" w:line="247" w:before="23" w:after="0"/>
              <w:ind w:right="149" w:hanging="0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Требования маркировки, упаковки, транспортировки и хранении</w:t>
            </w:r>
          </w:p>
        </w:tc>
        <w:tc>
          <w:tcPr>
            <w:tcW w:w="6450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Маркировка, упаковка, транспортировка и хранение должны соответствовать требованиям </w:t>
            </w: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</w:rPr>
              <w:t>ГОСТ Р 51853-2001 для переносных заземлений, требованиям ГОСТ 20493-2001 для указателей напряжения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56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51" w:type="dxa"/>
            <w:tcBorders>
              <w:top w:val="nil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823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65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5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78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Срок гарантии</w:t>
            </w:r>
          </w:p>
        </w:tc>
        <w:tc>
          <w:tcPr>
            <w:tcW w:w="64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Срок гарантийных обязательств Поставщика должен быть не менее гарантийных сроков завода-изготовителя продукции. При этом в любом случае гарантийный срок должен быть не меньше 12 месяцев с даты подписания Сторонами соответствующей товарной накладной по форме ТОРГ-12 или Универсального передаточного документа (УПД).</w:t>
            </w:r>
          </w:p>
        </w:tc>
        <w:tc>
          <w:tcPr>
            <w:tcW w:w="265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51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823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65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5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7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Документы, передаваемые вместе с продукцией</w:t>
            </w:r>
          </w:p>
        </w:tc>
        <w:tc>
          <w:tcPr>
            <w:tcW w:w="64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Для указателей напряжения: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ind w:left="203" w:hanging="203"/>
              <w:contextualSpacing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паспорта;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ind w:left="203" w:hanging="203"/>
              <w:contextualSpacing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товарно-транспортную накладную формы №1-Т;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ind w:left="203" w:hanging="203"/>
              <w:contextualSpacing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товарную накладную унифицированной формы ТОРГ-12 в 2 экз.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203" w:hanging="0"/>
              <w:contextualSpacing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Для переносных заземлений: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ind w:left="203" w:hanging="203"/>
              <w:contextualSpacing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паспорта изделий;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ind w:left="203" w:hanging="203"/>
              <w:contextualSpacing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сертификат соответствия;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ind w:left="203" w:hanging="203"/>
              <w:contextualSpacing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инструкцию по применению;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ind w:left="203" w:hanging="203"/>
              <w:contextualSpacing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протокол испытаний;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ind w:left="203" w:hanging="203"/>
              <w:contextualSpacing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товарно-транспортную накладную формы №1-Т;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ind w:left="203" w:hanging="203"/>
              <w:contextualSpacing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товарную накладную унифицированной формы ТОРГ-12 в 2 экз.</w:t>
            </w:r>
          </w:p>
        </w:tc>
        <w:tc>
          <w:tcPr>
            <w:tcW w:w="265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5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823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обязательствам Поставщика, влияющим на исполнение договора</w:t>
            </w:r>
          </w:p>
        </w:tc>
        <w:tc>
          <w:tcPr>
            <w:tcW w:w="265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5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823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Информация о транспорте, на котором осуществляется доставка, для оформления пропуска на территорию предоставляется не позднее 10-00  рабочего дня, предшествующего дню поставки.</w:t>
            </w:r>
          </w:p>
        </w:tc>
        <w:tc>
          <w:tcPr>
            <w:tcW w:w="265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5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823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Прочие (дополнительные) требования к продукции</w:t>
            </w:r>
          </w:p>
        </w:tc>
        <w:tc>
          <w:tcPr>
            <w:tcW w:w="265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5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5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Общие требования</w:t>
            </w:r>
          </w:p>
        </w:tc>
        <w:tc>
          <w:tcPr>
            <w:tcW w:w="669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 должна быть новой, ранее не использовавшейся.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Объем продукции каждой номенклатурной позиции, должен соответствовать (принадлежать) одной производимой партии продукции.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 обязательно должна быть укомплектована другими документами, выполнение требований которых является условием выполнения гарантийных обязательств производителя или поставщика.</w:t>
            </w:r>
          </w:p>
        </w:tc>
        <w:tc>
          <w:tcPr>
            <w:tcW w:w="265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5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1134" w:gutter="0" w:header="680" w:top="1134" w:footer="0" w:bottom="851"/>
          <w:pgNumType w:fmt="decimal"/>
          <w:formProt w:val="false"/>
          <w:textDirection w:val="lrTb"/>
          <w:docGrid w:type="default" w:linePitch="381" w:charSpace="0"/>
        </w:sectPr>
      </w:pPr>
    </w:p>
    <w:p>
      <w:pPr>
        <w:pStyle w:val="Heading1"/>
        <w:numPr>
          <w:ilvl w:val="0"/>
          <w:numId w:val="0"/>
        </w:numPr>
        <w:ind w:left="709" w:hanging="0"/>
        <w:rPr>
          <w:rFonts w:ascii="Times New Roman" w:hAnsi="Times New Roman"/>
          <w:sz w:val="24"/>
          <w:szCs w:val="24"/>
        </w:rPr>
      </w:pPr>
      <w:bookmarkStart w:id="76" w:name="__RefHeading___Toc12093_39410795"/>
      <w:bookmarkEnd w:id="76"/>
      <w:r>
        <w:rPr>
          <w:sz w:val="24"/>
          <w:szCs w:val="24"/>
        </w:rPr>
        <w:t>3. Требования к документации по ценообразованию на этапе закупки.</w:t>
      </w:r>
    </w:p>
    <w:p>
      <w:pPr>
        <w:pStyle w:val="ListParagraph"/>
        <w:spacing w:lineRule="auto" w:line="276" w:before="0" w:after="200"/>
        <w:contextualSpacing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  <w:lang w:eastAsia="en-US"/>
        </w:rPr>
        <w:t>3.1.</w:t>
        <w:tab/>
        <w:t xml:space="preserve">В обоснование стоимости своей заявки Участник предоставляет Коммерческое предложение </w:t>
      </w:r>
    </w:p>
    <w:sectPr>
      <w:headerReference w:type="default" r:id="rId7"/>
      <w:headerReference w:type="first" r:id="rId8"/>
      <w:type w:val="nextPage"/>
      <w:pgSz w:w="11906" w:h="16838"/>
      <w:pgMar w:left="1134" w:right="851" w:gutter="0" w:header="680" w:top="1134" w:footer="0" w:bottom="992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3" w:hanging="432"/>
      </w:pPr>
      <w:rPr>
        <w:sz w:val="24"/>
        <w:b w:val="false"/>
        <w:szCs w:val="24"/>
        <w:bCs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10"/>
    <w:lvlOverride w:ilvl="0">
      <w:startOverride w:val="1"/>
    </w:lvlOverride>
  </w:num>
  <w:num w:numId="25">
    <w:abstractNumId w:val="10"/>
  </w:num>
  <w:num w:numId="26">
    <w:abstractNumId w:val="10"/>
  </w:num>
  <w:num w:numId="27">
    <w:abstractNumId w:val="10"/>
  </w:num>
  <w:num w:numId="28">
    <w:abstractNumId w:val="10"/>
  </w:num>
  <w:num w:numId="29">
    <w:abstractNumId w:val="10"/>
  </w:num>
  <w:num w:numId="30">
    <w:abstractNumId w:val="10"/>
  </w:num>
  <w:num w:numId="31">
    <w:abstractNumId w:val="10"/>
  </w:num>
  <w:num w:numId="32">
    <w:abstractNumId w:val="10"/>
  </w:num>
  <w:num w:numId="33">
    <w:abstractNumId w:val="7"/>
    <w:lvlOverride w:ilvl="0">
      <w:startOverride w:val="1"/>
    </w:lvlOverride>
  </w:num>
  <w:num w:numId="34">
    <w:abstractNumId w:val="9"/>
    <w:lvlOverride w:ilvl="0">
      <w:startOverride w:val="1"/>
    </w:lvlOverride>
  </w:num>
  <w:num w:numId="35">
    <w:abstractNumId w:val="9"/>
    <w:lvlOverride w:ilvl="0">
      <w:startOverride w:val="1"/>
    </w:lvlOverride>
  </w:num>
  <w:num w:numId="36">
    <w:abstractNumId w:val="9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30"/>
  <w:revisionView w:insDel="0" w:formatting="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uiPriority="99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363e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5066da"/>
    <w:pPr>
      <w:keepNext w:val="true"/>
      <w:numPr>
        <w:ilvl w:val="2"/>
        <w:numId w:val="3"/>
      </w:numPr>
      <w:spacing w:before="120" w:after="60"/>
      <w:ind w:left="709" w:hanging="709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0"/>
        <w:numId w:val="0"/>
      </w:numPr>
      <w:tabs>
        <w:tab w:val="clear" w:pos="708"/>
        <w:tab w:val="left" w:pos="0" w:leader="none"/>
      </w:tabs>
      <w:ind w:left="432" w:hanging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>
    <w:name w:val="Strong1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5066da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Текст Знак"/>
    <w:basedOn w:val="DefaultParagraphFont"/>
    <w:link w:val="PlainText"/>
    <w:uiPriority w:val="99"/>
    <w:semiHidden/>
    <w:qFormat/>
    <w:rsid w:val="007b286f"/>
    <w:rPr>
      <w:rFonts w:ascii="Calibri" w:hAnsi="Calibri" w:eastAsia="Calibri" w:cs="" w:cstheme="minorBidi" w:eastAsiaTheme="minorHAnsi"/>
      <w:sz w:val="22"/>
      <w:szCs w:val="21"/>
      <w:lang w:eastAsia="en-US"/>
    </w:rPr>
  </w:style>
  <w:style w:type="character" w:styleId="Style15" w:customStyle="1">
    <w:name w:val="Ссылка указателя"/>
    <w:qFormat/>
    <w:rPr/>
  </w:style>
  <w:style w:type="character" w:styleId="LineNumber">
    <w:name w:val="Line Number"/>
    <w:rPr/>
  </w:style>
  <w:style w:type="character" w:styleId="Strong">
    <w:name w:val="Strong"/>
    <w:qFormat/>
    <w:rPr>
      <w:b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0" w:right="0" w:hanging="0"/>
    </w:pPr>
    <w:rPr>
      <w:rFonts w:cs="Calibri" w:cstheme="minorHAnsi"/>
      <w:sz w:val="24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andard" w:customStyle="1">
    <w:name w:val="Standard"/>
    <w:qFormat/>
    <w:rsid w:val="002a3b60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zh-CN" w:bidi="ar-SA"/>
    </w:rPr>
  </w:style>
  <w:style w:type="paragraph" w:styleId="Default" w:customStyle="1">
    <w:name w:val="Default"/>
    <w:qFormat/>
    <w:rsid w:val="0072001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MS Mincho" w:cs="Times New Roman"/>
      <w:color w:val="000000"/>
      <w:kern w:val="0"/>
      <w:sz w:val="24"/>
      <w:szCs w:val="24"/>
      <w:lang w:val="ru-RU" w:eastAsia="ru-RU" w:bidi="ar-SA"/>
    </w:rPr>
  </w:style>
  <w:style w:type="paragraph" w:styleId="PlainText">
    <w:name w:val="Plain Text"/>
    <w:basedOn w:val="Normal"/>
    <w:link w:val="Style14"/>
    <w:uiPriority w:val="99"/>
    <w:semiHidden/>
    <w:unhideWhenUsed/>
    <w:qFormat/>
    <w:rsid w:val="007b286f"/>
    <w:pPr/>
    <w:rPr>
      <w:rFonts w:ascii="Calibri" w:hAnsi="Calibri" w:eastAsia="Calibri" w:cs="" w:cstheme="minorBidi" w:eastAsiaTheme="minorHAnsi"/>
      <w:sz w:val="22"/>
      <w:szCs w:val="21"/>
      <w:lang w:eastAsia="en-US"/>
    </w:rPr>
  </w:style>
  <w:style w:type="paragraph" w:styleId="Style34" w:customStyle="1">
    <w:name w:val="Содержимое врезки"/>
    <w:basedOn w:val="Normal"/>
    <w:qFormat/>
    <w:pPr/>
    <w:rPr/>
  </w:style>
  <w:style w:type="paragraph" w:styleId="Style35">
    <w:name w:val="Содержимое таблицы"/>
    <w:basedOn w:val="Normal"/>
    <w:qFormat/>
    <w:pPr>
      <w:widowControl w:val="false"/>
      <w:suppressLineNumbers/>
    </w:pPr>
    <w:rPr/>
  </w:style>
  <w:style w:type="paragraph" w:styleId="Style36">
    <w:name w:val="Заголовок таблицы"/>
    <w:basedOn w:val="Style35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7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0A63B-4D9B-4CFC-93D2-C464BEEA5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Application>AlterOffice/3.4.0.9$Linux_X86_64 LibreOffice_project/b8daf9e823b1a5463a2f48435ddc2e8696e7d4fc</Application>
  <AppVersion>15.0000</AppVersion>
  <Pages>8</Pages>
  <Words>921</Words>
  <Characters>5828</Characters>
  <CharactersWithSpaces>6553</CharactersWithSpaces>
  <Paragraphs>186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2025-12-26T03:58:00Z</dcterms:created>
  <dc:creator>Быстров Олег Геннадьевич</dc:creator>
  <dc:description/>
  <dc:language>ru-RU</dc:language>
  <cp:lastModifiedBy>shvalyukee@corp.gidroogk.com</cp:lastModifiedBy>
  <cp:lastPrinted>2023-01-14T04:55:00Z</cp:lastPrinted>
  <dcterms:modified xsi:type="dcterms:W3CDTF">2026-08-28T10:47:22Z</dcterms:modified>
  <cp:revision>28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