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footer15.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mbeddings/oleObject2.docx" ContentType="application/vnd.openxmlformats-officedocument.wordprocessingml.document"/>
  <Override PartName="/word/embeddings/oleObject1.docx" ContentType="application/vnd.openxmlformats-officedocument.wordprocessingml.document"/>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4.xlsx" ContentType="application/vnd.openxmlformats-officedocument.spreadsheetml.sheet"/>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media/image2.wmf" ContentType="image/x-wmf"/>
  <Override PartName="/word/media/image1.wmf" ContentType="image/x-wmf"/>
  <Override PartName="/word/media/image3.wmf" ContentType="image/x-wmf"/>
  <Override PartName="/word/media/image5.wmf" ContentType="image/x-wmf"/>
  <Override PartName="/word/media/image4.wmf" ContentType="image/x-wmf"/>
  <Override PartName="/word/header6.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theme/theme1.xml" ContentType="application/vnd.openxmlformats-officedocument.theme+xml"/>
  <Override PartName="/word/header5.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3.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header3.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styles.xml" ContentType="application/vnd.openxmlformats-officedocument.wordprocessingml.styles+xml"/>
  <Override PartName="/word/footer11.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keepNext w:val="true"/>
        <w:spacing w:before="120" w:after="0"/>
        <w:ind w:left="4536" w:hanging="0"/>
        <w:rPr/>
      </w:pPr>
      <w:r>
        <w:rPr/>
        <w:t>«УТВЕРЖДАЮ»</w:t>
      </w:r>
    </w:p>
    <w:p>
      <w:pPr>
        <w:pStyle w:val="Style31"/>
        <w:keepNext w:val="true"/>
        <w:ind w:left="4536" w:hanging="0"/>
        <w:rPr/>
      </w:pPr>
      <w:r>
        <w:rPr/>
        <w:t>Председатель закупочной комиссии</w:t>
      </w:r>
    </w:p>
    <w:p>
      <w:pPr>
        <w:pStyle w:val="Style31"/>
        <w:keepNext w:val="true"/>
        <w:ind w:left="4536" w:hanging="0"/>
        <w:rPr/>
      </w:pPr>
      <w:r>
        <w:rPr/>
      </w:r>
    </w:p>
    <w:p>
      <w:pPr>
        <w:pStyle w:val="Style31"/>
        <w:keepNext w:val="true"/>
        <w:ind w:left="4536" w:hanging="0"/>
        <w:rPr/>
      </w:pPr>
      <w:r>
        <w:rPr/>
        <w:t xml:space="preserve">___________________ </w:t>
      </w:r>
      <w:r>
        <w:rPr>
          <w:rStyle w:val="Style11"/>
          <w:shd w:fill="auto" w:val="clear"/>
        </w:rPr>
        <w:t xml:space="preserve"> Савкин А.А</w:t>
      </w:r>
    </w:p>
    <w:p>
      <w:pPr>
        <w:pStyle w:val="Style31"/>
        <w:keepNext w:val="true"/>
        <w:ind w:left="4536" w:hanging="0"/>
        <w:rPr/>
      </w:pPr>
      <w:r>
        <w:rPr/>
        <w:t>«____» ___________________ 2026 год</w:t>
      </w:r>
    </w:p>
    <w:p>
      <w:pPr>
        <w:pStyle w:val="Style31"/>
        <w:rPr/>
      </w:pPr>
      <w:r>
        <w:rPr/>
      </w:r>
    </w:p>
    <w:p>
      <w:pPr>
        <w:pStyle w:val="Style31"/>
        <w:rPr/>
      </w:pPr>
      <w:r>
        <w:rPr/>
      </w:r>
    </w:p>
    <w:p>
      <w:pPr>
        <w:pStyle w:val="Style31"/>
        <w:rPr/>
      </w:pPr>
      <w:r>
        <w:rPr/>
      </w:r>
    </w:p>
    <w:p>
      <w:pPr>
        <w:pStyle w:val="Style31"/>
        <w:rPr/>
      </w:pPr>
      <w:r>
        <w:rPr/>
      </w:r>
    </w:p>
    <w:p>
      <w:pPr>
        <w:pStyle w:val="Style31"/>
        <w:rPr/>
      </w:pPr>
      <w:r>
        <w:rPr/>
      </w:r>
    </w:p>
    <w:p>
      <w:pPr>
        <w:pStyle w:val="Style31"/>
        <w:keepNext w:val="true"/>
        <w:numPr>
          <w:ilvl w:val="0"/>
          <w:numId w:val="0"/>
        </w:numPr>
        <w:ind w:left="0" w:hanging="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на право закл</w:t>
      </w:r>
      <w:r>
        <w:rPr>
          <w:sz w:val="26"/>
          <w:szCs w:val="26"/>
        </w:rPr>
        <w:t xml:space="preserve">ючения договора </w:t>
        <w:br/>
      </w:r>
      <w:r>
        <w:rPr>
          <w:rStyle w:val="Style11"/>
          <w:rFonts w:eastAsia="Calibri" w:cs=""/>
          <w:color w:val="000000"/>
          <w:kern w:val="0"/>
          <w:sz w:val="26"/>
          <w:szCs w:val="26"/>
          <w:shd w:fill="auto" w:val="clear"/>
          <w:lang w:eastAsia="en-US" w:bidi="ar-SA"/>
        </w:rPr>
        <w:t>«</w:t>
      </w:r>
      <w:r>
        <w:rPr>
          <w:rStyle w:val="Style11"/>
          <w:rFonts w:eastAsia="Calibri" w:cs=""/>
          <w:i/>
          <w:color w:val="000000" w:themeColor="text1"/>
          <w:kern w:val="0"/>
          <w:sz w:val="26"/>
          <w:szCs w:val="26"/>
          <w:shd w:fill="auto" w:val="clear"/>
          <w:lang w:eastAsia="en-US" w:bidi="ar-SA"/>
        </w:rPr>
        <w:t>ОКПД2 19.20.29.160 Поставка масла турбинного марки ТП-30 для гидротурбины ст.№18 для нужд филиала ПАО "РусГидро" –"Саратовская ГЭС"в рамках инвестиционного проекта Т-1300-205</w:t>
      </w:r>
      <w:bookmarkStart w:id="0" w:name="_GoBack_Копия_1"/>
      <w:bookmarkEnd w:id="0"/>
      <w:r>
        <w:rPr>
          <w:rStyle w:val="Style11"/>
          <w:i/>
          <w:iCs/>
          <w:sz w:val="26"/>
          <w:szCs w:val="26"/>
          <w:shd w:fill="auto" w:val="clear"/>
        </w:rPr>
        <w:t>»</w:t>
      </w:r>
    </w:p>
    <w:p>
      <w:pPr>
        <w:pStyle w:val="Style31"/>
        <w:spacing w:before="240" w:after="0"/>
        <w:jc w:val="center"/>
        <w:rPr>
          <w:sz w:val="26"/>
          <w:szCs w:val="26"/>
        </w:rPr>
      </w:pPr>
      <w:r>
        <w:rPr>
          <w:sz w:val="26"/>
          <w:szCs w:val="26"/>
        </w:rPr>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(Лот №  7</w:t>
      </w:r>
      <w:r>
        <w:rPr>
          <w:rFonts w:eastAsia="Times New Roman" w:cs="Times New Roman"/>
          <w:i/>
          <w:lang w:val="en-US"/>
        </w:rPr>
        <w:t>-ТПиР-2026-СарГЭС</w:t>
      </w:r>
      <w:r>
        <w:rPr/>
        <w:t> )</w:t>
      </w:r>
    </w:p>
    <w:p>
      <w:pPr>
        <w:pStyle w:val="Style30"/>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Пункт,3,[РГ] Пункт,3,[РГ] Пункт,3,[РГ] Пункт,3,[РГ] Пункт,3,[РГ] Пункт,3,[РГ]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 \h</w:instrText>
          </w:r>
          <w:r>
            <w:rPr>
              <w:webHidden/>
              <w:rStyle w:val="Style20"/>
              <w:vanish w:val="false"/>
            </w:rPr>
            <w:fldChar w:fldCharType="separate"/>
          </w:r>
          <w:hyperlink w:anchor="_Toc228976323">
            <w:r>
              <w:rPr>
                <w:webHidden/>
              </w:rPr>
              <w:fldChar w:fldCharType="begin"/>
            </w:r>
            <w:r>
              <w:rPr>
                <w:webHidden/>
              </w:rPr>
              <w:instrText xml:space="preserve">PAGEREF _Toc228976323 \h</w:instrText>
            </w:r>
            <w:r>
              <w:rPr>
                <w:webHidden/>
              </w:rPr>
              <w:fldChar w:fldCharType="separate"/>
            </w:r>
            <w:r>
              <w:rPr>
                <w:webHidden/>
                <w:rStyle w:val="Style20"/>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24">
            <w:r>
              <w:rPr>
                <w:webHidden/>
              </w:rPr>
              <w:fldChar w:fldCharType="begin"/>
            </w:r>
            <w:r>
              <w:rPr>
                <w:webHidden/>
              </w:rPr>
              <w:instrText xml:space="preserve">PAGEREF _Toc228976324 \h</w:instrText>
            </w:r>
            <w:r>
              <w:rPr>
                <w:webHidden/>
              </w:rPr>
              <w:fldChar w:fldCharType="separate"/>
            </w:r>
            <w:r>
              <w:rPr>
                <w:webHidden/>
                <w:rStyle w:val="Style20"/>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25">
            <w:r>
              <w:rPr>
                <w:webHidden/>
                <w:rStyle w:val="Style20"/>
                <w:vanish w:val="false"/>
              </w:rPr>
              <w:t>1.</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Основные сведения о закупке</w:t>
            </w:r>
            <w:r>
              <w:rPr>
                <w:webHidden/>
              </w:rPr>
              <w:fldChar w:fldCharType="begin"/>
            </w:r>
            <w:r>
              <w:rPr>
                <w:webHidden/>
              </w:rPr>
              <w:instrText xml:space="preserve">PAGEREF _Toc228976325 \h</w:instrText>
            </w:r>
            <w:r>
              <w:rPr>
                <w:webHidden/>
              </w:rPr>
              <w:fldChar w:fldCharType="separate"/>
            </w:r>
            <w:r>
              <w:rPr>
                <w:rStyle w:val="Style20"/>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26">
            <w:r>
              <w:rPr>
                <w:webHidden/>
                <w:rStyle w:val="Style20"/>
                <w:vanish w:val="false"/>
              </w:rPr>
              <w:t>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Статус настоящего раздела</w:t>
            </w:r>
            <w:r>
              <w:rPr>
                <w:webHidden/>
              </w:rPr>
              <w:fldChar w:fldCharType="begin"/>
            </w:r>
            <w:r>
              <w:rPr>
                <w:webHidden/>
              </w:rPr>
              <w:instrText xml:space="preserve">PAGEREF _Toc228976326 \h</w:instrText>
            </w:r>
            <w:r>
              <w:rPr>
                <w:webHidden/>
              </w:rPr>
              <w:fldChar w:fldCharType="separate"/>
            </w:r>
            <w:r>
              <w:rPr>
                <w:rStyle w:val="Style20"/>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27">
            <w:r>
              <w:rPr>
                <w:webHidden/>
                <w:rStyle w:val="Style20"/>
                <w:vanish w:val="false"/>
              </w:rPr>
              <w:t>1.2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Информация о проводимой закупке</w:t>
            </w:r>
            <w:r>
              <w:rPr>
                <w:webHidden/>
              </w:rPr>
              <w:fldChar w:fldCharType="begin"/>
            </w:r>
            <w:r>
              <w:rPr>
                <w:webHidden/>
              </w:rPr>
              <w:instrText xml:space="preserve">PAGEREF _Toc228976327 \h</w:instrText>
            </w:r>
            <w:r>
              <w:rPr>
                <w:webHidden/>
              </w:rPr>
              <w:fldChar w:fldCharType="separate"/>
            </w:r>
            <w:r>
              <w:rPr>
                <w:rStyle w:val="Style20"/>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28">
            <w:r>
              <w:rPr>
                <w:webHidden/>
                <w:rStyle w:val="Style20"/>
                <w:vanish w:val="false"/>
              </w:rPr>
              <w:t>2.</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Общие положения</w:t>
            </w:r>
            <w:r>
              <w:rPr>
                <w:webHidden/>
              </w:rPr>
              <w:fldChar w:fldCharType="begin"/>
            </w:r>
            <w:r>
              <w:rPr>
                <w:webHidden/>
              </w:rPr>
              <w:instrText xml:space="preserve">PAGEREF _Toc228976328 \h</w:instrText>
            </w:r>
            <w:r>
              <w:rPr>
                <w:webHidden/>
              </w:rPr>
              <w:fldChar w:fldCharType="separate"/>
            </w:r>
            <w:r>
              <w:rPr>
                <w:rStyle w:val="Style20"/>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29">
            <w:r>
              <w:rPr>
                <w:webHidden/>
                <w:rStyle w:val="Style20"/>
                <w:vanish w:val="false"/>
              </w:rPr>
              <w:t>2.1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сведения о закупке</w:t>
            </w:r>
            <w:r>
              <w:rPr>
                <w:webHidden/>
              </w:rPr>
              <w:fldChar w:fldCharType="begin"/>
            </w:r>
            <w:r>
              <w:rPr>
                <w:webHidden/>
              </w:rPr>
              <w:instrText xml:space="preserve">PAGEREF _Toc228976329 \h</w:instrText>
            </w:r>
            <w:r>
              <w:rPr>
                <w:webHidden/>
              </w:rPr>
              <w:fldChar w:fldCharType="separate"/>
            </w:r>
            <w:r>
              <w:rPr>
                <w:rStyle w:val="Style20"/>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0">
            <w:r>
              <w:rPr>
                <w:webHidden/>
                <w:rStyle w:val="Style20"/>
                <w:vanish w:val="false"/>
              </w:rPr>
              <w:t>2.2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Правовой статус документов</w:t>
            </w:r>
            <w:r>
              <w:rPr>
                <w:webHidden/>
              </w:rPr>
              <w:fldChar w:fldCharType="begin"/>
            </w:r>
            <w:r>
              <w:rPr>
                <w:webHidden/>
              </w:rPr>
              <w:instrText xml:space="preserve">PAGEREF _Toc228976330 \h</w:instrText>
            </w:r>
            <w:r>
              <w:rPr>
                <w:webHidden/>
              </w:rPr>
              <w:fldChar w:fldCharType="separate"/>
            </w:r>
            <w:r>
              <w:rPr>
                <w:rStyle w:val="Style20"/>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1">
            <w:r>
              <w:rPr>
                <w:webHidden/>
                <w:rStyle w:val="Style20"/>
                <w:vanish w:val="false"/>
              </w:rPr>
              <w:t>2.3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Обжалование</w:t>
            </w:r>
            <w:r>
              <w:rPr>
                <w:webHidden/>
              </w:rPr>
              <w:fldChar w:fldCharType="begin"/>
            </w:r>
            <w:r>
              <w:rPr>
                <w:webHidden/>
              </w:rPr>
              <w:instrText xml:space="preserve">PAGEREF _Toc228976331 \h</w:instrText>
            </w:r>
            <w:r>
              <w:rPr>
                <w:webHidden/>
              </w:rPr>
              <w:fldChar w:fldCharType="separate"/>
            </w:r>
            <w:r>
              <w:rPr>
                <w:rStyle w:val="Style20"/>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2">
            <w:r>
              <w:rPr>
                <w:webHidden/>
                <w:rStyle w:val="Style20"/>
                <w:vanish w:val="false"/>
              </w:rPr>
              <w:t>2.4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Особые положения при проведении закупки с использованием ЭП</w:t>
            </w:r>
            <w:r>
              <w:rPr>
                <w:webHidden/>
              </w:rPr>
              <w:fldChar w:fldCharType="begin"/>
            </w:r>
            <w:r>
              <w:rPr>
                <w:webHidden/>
              </w:rPr>
              <w:instrText xml:space="preserve">PAGEREF _Toc228976332 \h</w:instrText>
            </w:r>
            <w:r>
              <w:rPr>
                <w:webHidden/>
              </w:rPr>
              <w:fldChar w:fldCharType="separate"/>
            </w:r>
            <w:r>
              <w:rPr>
                <w:rStyle w:val="Style20"/>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3">
            <w:r>
              <w:rPr>
                <w:webHidden/>
                <w:rStyle w:val="Style20"/>
                <w:vanish w:val="false"/>
              </w:rPr>
              <w:t>2.5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Прочие положения</w:t>
            </w:r>
            <w:r>
              <w:rPr>
                <w:webHidden/>
              </w:rPr>
              <w:fldChar w:fldCharType="begin"/>
            </w:r>
            <w:r>
              <w:rPr>
                <w:webHidden/>
              </w:rPr>
              <w:instrText xml:space="preserve">PAGEREF _Toc228976333 \h</w:instrText>
            </w:r>
            <w:r>
              <w:rPr>
                <w:webHidden/>
              </w:rPr>
              <w:fldChar w:fldCharType="separate"/>
            </w:r>
            <w:r>
              <w:rPr>
                <w:rStyle w:val="Style20"/>
                <w:vanish w:val="false"/>
              </w:rPr>
              <w:tab/>
              <w:t>26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34">
            <w:r>
              <w:rPr>
                <w:webHidden/>
                <w:rStyle w:val="Style20"/>
                <w:vanish w:val="false"/>
              </w:rPr>
              <w:t>3.</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Требования к Участникам</w:t>
            </w:r>
            <w:r>
              <w:rPr>
                <w:webHidden/>
              </w:rPr>
              <w:fldChar w:fldCharType="begin"/>
            </w:r>
            <w:r>
              <w:rPr>
                <w:webHidden/>
              </w:rPr>
              <w:instrText xml:space="preserve">PAGEREF _Toc228976334 \h</w:instrText>
            </w:r>
            <w:r>
              <w:rPr>
                <w:webHidden/>
              </w:rPr>
              <w:fldChar w:fldCharType="separate"/>
            </w:r>
            <w:r>
              <w:rPr>
                <w:rStyle w:val="Style20"/>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5">
            <w:r>
              <w:rPr>
                <w:webHidden/>
                <w:rStyle w:val="Style20"/>
                <w:vanish w:val="false"/>
              </w:rPr>
              <w:t>3.1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требования к Участникам</w:t>
            </w:r>
            <w:r>
              <w:rPr>
                <w:webHidden/>
              </w:rPr>
              <w:fldChar w:fldCharType="begin"/>
            </w:r>
            <w:r>
              <w:rPr>
                <w:webHidden/>
              </w:rPr>
              <w:instrText xml:space="preserve">PAGEREF _Toc228976335 \h</w:instrText>
            </w:r>
            <w:r>
              <w:rPr>
                <w:webHidden/>
              </w:rPr>
              <w:fldChar w:fldCharType="separate"/>
            </w:r>
            <w:r>
              <w:rPr>
                <w:rStyle w:val="Style20"/>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6">
            <w:r>
              <w:rPr>
                <w:webHidden/>
                <w:rStyle w:val="Style20"/>
                <w:vanish w:val="false"/>
              </w:rPr>
              <w:t>3.2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Коллективные участники</w:t>
            </w:r>
            <w:r>
              <w:rPr>
                <w:webHidden/>
              </w:rPr>
              <w:fldChar w:fldCharType="begin"/>
            </w:r>
            <w:r>
              <w:rPr>
                <w:webHidden/>
              </w:rPr>
              <w:instrText xml:space="preserve">PAGEREF _Toc228976336 \h</w:instrText>
            </w:r>
            <w:r>
              <w:rPr>
                <w:webHidden/>
              </w:rPr>
              <w:fldChar w:fldCharType="separate"/>
            </w:r>
            <w:r>
              <w:rPr>
                <w:rStyle w:val="Style20"/>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7">
            <w:r>
              <w:rPr>
                <w:webHidden/>
                <w:rStyle w:val="Style20"/>
                <w:vanish w:val="false"/>
              </w:rPr>
              <w:t>3.3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Генеральные подрядчики</w:t>
            </w:r>
            <w:r>
              <w:rPr>
                <w:webHidden/>
              </w:rPr>
              <w:fldChar w:fldCharType="begin"/>
            </w:r>
            <w:r>
              <w:rPr>
                <w:webHidden/>
              </w:rPr>
              <w:instrText xml:space="preserve">PAGEREF _Toc228976337 \h</w:instrText>
            </w:r>
            <w:r>
              <w:rPr>
                <w:webHidden/>
              </w:rPr>
              <w:fldChar w:fldCharType="separate"/>
            </w:r>
            <w:r>
              <w:rPr>
                <w:rStyle w:val="Style20"/>
                <w:vanish w:val="false"/>
              </w:rPr>
              <w:tab/>
              <w:t>30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38">
            <w:r>
              <w:rPr>
                <w:webHidden/>
                <w:rStyle w:val="Style20"/>
                <w:vanish w:val="false"/>
              </w:rPr>
              <w:t>4.</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Порядок проведения закупки</w:t>
            </w:r>
            <w:r>
              <w:rPr>
                <w:webHidden/>
              </w:rPr>
              <w:fldChar w:fldCharType="begin"/>
            </w:r>
            <w:r>
              <w:rPr>
                <w:webHidden/>
              </w:rPr>
              <w:instrText xml:space="preserve">PAGEREF _Toc228976338 \h</w:instrText>
            </w:r>
            <w:r>
              <w:rPr>
                <w:webHidden/>
              </w:rPr>
              <w:fldChar w:fldCharType="separate"/>
            </w:r>
            <w:r>
              <w:rPr>
                <w:rStyle w:val="Style20"/>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39">
            <w:r>
              <w:rPr>
                <w:webHidden/>
                <w:rStyle w:val="Style20"/>
                <w:vanish w:val="false"/>
              </w:rPr>
              <w:t>4.1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Общий порядок проведения закупки</w:t>
            </w:r>
            <w:r>
              <w:rPr>
                <w:webHidden/>
              </w:rPr>
              <w:fldChar w:fldCharType="begin"/>
            </w:r>
            <w:r>
              <w:rPr>
                <w:webHidden/>
              </w:rPr>
              <w:instrText xml:space="preserve">PAGEREF _Toc228976339 \h</w:instrText>
            </w:r>
            <w:r>
              <w:rPr>
                <w:webHidden/>
              </w:rPr>
              <w:fldChar w:fldCharType="separate"/>
            </w:r>
            <w:r>
              <w:rPr>
                <w:rStyle w:val="Style20"/>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0">
            <w:r>
              <w:rPr>
                <w:webHidden/>
                <w:rStyle w:val="Style20"/>
                <w:vanish w:val="false"/>
              </w:rPr>
              <w:t>4.2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Официальное размещение Извещения и Документации о закупке</w:t>
            </w:r>
            <w:r>
              <w:rPr>
                <w:webHidden/>
              </w:rPr>
              <w:fldChar w:fldCharType="begin"/>
            </w:r>
            <w:r>
              <w:rPr>
                <w:webHidden/>
              </w:rPr>
              <w:instrText xml:space="preserve">PAGEREF _Toc228976340 \h</w:instrText>
            </w:r>
            <w:r>
              <w:rPr>
                <w:webHidden/>
              </w:rPr>
              <w:fldChar w:fldCharType="separate"/>
            </w:r>
            <w:r>
              <w:rPr>
                <w:rStyle w:val="Style20"/>
                <w:vanish w:val="false"/>
              </w:rPr>
              <w:tab/>
              <w:t>34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1">
            <w:r>
              <w:rPr>
                <w:webHidden/>
                <w:rStyle w:val="Style20"/>
                <w:vanish w:val="false"/>
              </w:rPr>
              <w:t>4.3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Подготовка заявки</w:t>
            </w:r>
            <w:r>
              <w:rPr>
                <w:webHidden/>
              </w:rPr>
              <w:fldChar w:fldCharType="begin"/>
            </w:r>
            <w:r>
              <w:rPr>
                <w:webHidden/>
              </w:rPr>
              <w:instrText xml:space="preserve">PAGEREF _Toc228976341 \h</w:instrText>
            </w:r>
            <w:r>
              <w:rPr>
                <w:webHidden/>
              </w:rPr>
              <w:fldChar w:fldCharType="separate"/>
            </w:r>
            <w:r>
              <w:rPr>
                <w:rStyle w:val="Style20"/>
                <w:vanish w:val="false"/>
              </w:rPr>
              <w:tab/>
              <w:t>34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2">
            <w:r>
              <w:rPr>
                <w:webHidden/>
                <w:rStyle w:val="Style20"/>
                <w:vanish w:val="false"/>
              </w:rPr>
              <w:t>4.4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Разъяснение Документации о закупке</w:t>
            </w:r>
            <w:r>
              <w:rPr>
                <w:webHidden/>
              </w:rPr>
              <w:fldChar w:fldCharType="begin"/>
            </w:r>
            <w:r>
              <w:rPr>
                <w:webHidden/>
              </w:rPr>
              <w:instrText xml:space="preserve">PAGEREF _Toc228976342 \h</w:instrText>
            </w:r>
            <w:r>
              <w:rPr>
                <w:webHidden/>
              </w:rPr>
              <w:fldChar w:fldCharType="separate"/>
            </w:r>
            <w:r>
              <w:rPr>
                <w:rStyle w:val="Style20"/>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3">
            <w:r>
              <w:rPr>
                <w:webHidden/>
                <w:rStyle w:val="Style20"/>
                <w:vanish w:val="false"/>
              </w:rPr>
              <w:t>4.5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Изменения Извещения и (или) Документации о закупке</w:t>
            </w:r>
            <w:r>
              <w:rPr>
                <w:webHidden/>
              </w:rPr>
              <w:fldChar w:fldCharType="begin"/>
            </w:r>
            <w:r>
              <w:rPr>
                <w:webHidden/>
              </w:rPr>
              <w:instrText xml:space="preserve">PAGEREF _Toc228976343 \h</w:instrText>
            </w:r>
            <w:r>
              <w:rPr>
                <w:webHidden/>
              </w:rPr>
              <w:fldChar w:fldCharType="separate"/>
            </w:r>
            <w:r>
              <w:rPr>
                <w:rStyle w:val="Style20"/>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4">
            <w:r>
              <w:rPr>
                <w:webHidden/>
                <w:rStyle w:val="Style20"/>
                <w:vanish w:val="false"/>
              </w:rPr>
              <w:t>4.6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Подача заявок и их прием</w:t>
            </w:r>
            <w:r>
              <w:rPr>
                <w:webHidden/>
              </w:rPr>
              <w:fldChar w:fldCharType="begin"/>
            </w:r>
            <w:r>
              <w:rPr>
                <w:webHidden/>
              </w:rPr>
              <w:instrText xml:space="preserve">PAGEREF _Toc228976344 \h</w:instrText>
            </w:r>
            <w:r>
              <w:rPr>
                <w:webHidden/>
              </w:rPr>
              <w:fldChar w:fldCharType="separate"/>
            </w:r>
            <w:r>
              <w:rPr>
                <w:rStyle w:val="Style20"/>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5">
            <w:r>
              <w:rPr>
                <w:webHidden/>
                <w:rStyle w:val="Style20"/>
                <w:vanish w:val="false"/>
              </w:rPr>
              <w:t>4.7</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Изменение и отзыв заявок</w:t>
            </w:r>
            <w:r>
              <w:rPr>
                <w:webHidden/>
              </w:rPr>
              <w:fldChar w:fldCharType="begin"/>
            </w:r>
            <w:r>
              <w:rPr>
                <w:webHidden/>
              </w:rPr>
              <w:instrText xml:space="preserve">PAGEREF _Toc228976345 \h</w:instrText>
            </w:r>
            <w:r>
              <w:rPr>
                <w:webHidden/>
              </w:rPr>
              <w:fldChar w:fldCharType="separate"/>
            </w:r>
            <w:r>
              <w:rPr>
                <w:rStyle w:val="Style20"/>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6">
            <w:r>
              <w:rPr>
                <w:webHidden/>
                <w:rStyle w:val="Style20"/>
                <w:vanish w:val="false"/>
              </w:rPr>
              <w:t>4.8</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Открытие доступа к заявкам</w:t>
            </w:r>
            <w:r>
              <w:rPr>
                <w:webHidden/>
              </w:rPr>
              <w:fldChar w:fldCharType="begin"/>
            </w:r>
            <w:r>
              <w:rPr>
                <w:webHidden/>
              </w:rPr>
              <w:instrText xml:space="preserve">PAGEREF _Toc228976346 \h</w:instrText>
            </w:r>
            <w:r>
              <w:rPr>
                <w:webHidden/>
              </w:rPr>
              <w:fldChar w:fldCharType="separate"/>
            </w:r>
            <w:r>
              <w:rPr>
                <w:rStyle w:val="Style20"/>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7">
            <w:r>
              <w:rPr>
                <w:webHidden/>
                <w:rStyle w:val="Style20"/>
                <w:vanish w:val="false"/>
              </w:rPr>
              <w:t>4.9</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Рассмотрение заявок (отборочная стадия), в том числе (при необходимости) проведение аккредитации</w:t>
            </w:r>
            <w:r>
              <w:rPr>
                <w:webHidden/>
              </w:rPr>
              <w:fldChar w:fldCharType="begin"/>
            </w:r>
            <w:r>
              <w:rPr>
                <w:webHidden/>
              </w:rPr>
              <w:instrText xml:space="preserve">PAGEREF _Toc228976347 \h</w:instrText>
            </w:r>
            <w:r>
              <w:rPr>
                <w:webHidden/>
              </w:rPr>
              <w:fldChar w:fldCharType="separate"/>
            </w:r>
            <w:r>
              <w:rPr>
                <w:rStyle w:val="Style20"/>
                <w:vanish w:val="false"/>
              </w:rPr>
              <w:tab/>
              <w:t>40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8">
            <w:r>
              <w:rPr>
                <w:webHidden/>
                <w:rStyle w:val="Style20"/>
                <w:vanish w:val="false"/>
              </w:rPr>
              <w:t>4.10</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запросы разъяснений заявок</w:t>
            </w:r>
            <w:r>
              <w:rPr>
                <w:webHidden/>
              </w:rPr>
              <w:fldChar w:fldCharType="begin"/>
            </w:r>
            <w:r>
              <w:rPr>
                <w:webHidden/>
              </w:rPr>
              <w:instrText xml:space="preserve">PAGEREF _Toc228976348 \h</w:instrText>
            </w:r>
            <w:r>
              <w:rPr>
                <w:webHidden/>
              </w:rPr>
              <w:fldChar w:fldCharType="separate"/>
            </w:r>
            <w:r>
              <w:rPr>
                <w:rStyle w:val="Style20"/>
                <w:vanish w:val="false"/>
              </w:rPr>
              <w:tab/>
              <w:t>42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49">
            <w:r>
              <w:rPr>
                <w:webHidden/>
                <w:rStyle w:val="Style20"/>
                <w:vanish w:val="false"/>
              </w:rPr>
              <w:t>4.11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Переторжка</w:t>
            </w:r>
            <w:r>
              <w:rPr>
                <w:webHidden/>
              </w:rPr>
              <w:fldChar w:fldCharType="begin"/>
            </w:r>
            <w:r>
              <w:rPr>
                <w:webHidden/>
              </w:rPr>
              <w:instrText xml:space="preserve">PAGEREF _Toc228976349 \h</w:instrText>
            </w:r>
            <w:r>
              <w:rPr>
                <w:webHidden/>
              </w:rPr>
              <w:fldChar w:fldCharType="separate"/>
            </w:r>
            <w:r>
              <w:rPr>
                <w:rStyle w:val="Style20"/>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0">
            <w:r>
              <w:rPr>
                <w:webHidden/>
                <w:rStyle w:val="Style20"/>
                <w:vanish w:val="false"/>
              </w:rPr>
              <w:t>4.12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Оценка и сопоставление заявок</w:t>
            </w:r>
            <w:r>
              <w:rPr>
                <w:webHidden/>
              </w:rPr>
              <w:fldChar w:fldCharType="begin"/>
            </w:r>
            <w:r>
              <w:rPr>
                <w:webHidden/>
              </w:rPr>
              <w:instrText xml:space="preserve">PAGEREF _Toc228976350 \h</w:instrText>
            </w:r>
            <w:r>
              <w:rPr>
                <w:webHidden/>
              </w:rPr>
              <w:fldChar w:fldCharType="separate"/>
            </w:r>
            <w:r>
              <w:rPr>
                <w:rStyle w:val="Style20"/>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1">
            <w:r>
              <w:rPr>
                <w:webHidden/>
                <w:rStyle w:val="Style20"/>
                <w:vanish w:val="false"/>
              </w:rPr>
              <w:t>4.13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Применение законодательства о национальном режиме</w:t>
            </w:r>
            <w:r>
              <w:rPr>
                <w:webHidden/>
              </w:rPr>
              <w:fldChar w:fldCharType="begin"/>
            </w:r>
            <w:r>
              <w:rPr>
                <w:webHidden/>
              </w:rPr>
              <w:instrText xml:space="preserve">PAGEREF _Toc228976351 \h</w:instrText>
            </w:r>
            <w:r>
              <w:rPr>
                <w:webHidden/>
              </w:rPr>
              <w:fldChar w:fldCharType="separate"/>
            </w:r>
            <w:r>
              <w:rPr>
                <w:rStyle w:val="Style20"/>
                <w:vanish w:val="false"/>
              </w:rPr>
              <w:tab/>
              <w:t>47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2">
            <w:r>
              <w:rPr>
                <w:webHidden/>
                <w:rStyle w:val="Style20"/>
                <w:vanish w:val="false"/>
              </w:rPr>
              <w:t>4.14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Подведение итогов закупки (определение Победителя)</w:t>
            </w:r>
            <w:r>
              <w:rPr>
                <w:webHidden/>
              </w:rPr>
              <w:fldChar w:fldCharType="begin"/>
            </w:r>
            <w:r>
              <w:rPr>
                <w:webHidden/>
              </w:rPr>
              <w:instrText xml:space="preserve">PAGEREF _Toc228976352 \h</w:instrText>
            </w:r>
            <w:r>
              <w:rPr>
                <w:webHidden/>
              </w:rPr>
              <w:fldChar w:fldCharType="separate"/>
            </w:r>
            <w:r>
              <w:rPr>
                <w:rStyle w:val="Style20"/>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3">
            <w:r>
              <w:rPr>
                <w:webHidden/>
                <w:rStyle w:val="Style20"/>
                <w:vanish w:val="false"/>
              </w:rPr>
              <w:t>4.15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Признание закупки несостоявшейся</w:t>
            </w:r>
            <w:r>
              <w:rPr>
                <w:webHidden/>
              </w:rPr>
              <w:fldChar w:fldCharType="begin"/>
            </w:r>
            <w:r>
              <w:rPr>
                <w:webHidden/>
              </w:rPr>
              <w:instrText xml:space="preserve">PAGEREF _Toc228976353 \h</w:instrText>
            </w:r>
            <w:r>
              <w:rPr>
                <w:webHidden/>
              </w:rPr>
              <w:fldChar w:fldCharType="separate"/>
            </w:r>
            <w:r>
              <w:rPr>
                <w:rStyle w:val="Style20"/>
                <w:vanish w:val="false"/>
              </w:rPr>
              <w:tab/>
              <w:t>51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4">
            <w:r>
              <w:rPr>
                <w:webHidden/>
                <w:rStyle w:val="Style20"/>
                <w:vanish w:val="false"/>
              </w:rPr>
              <w:t>4.16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Отказ от проведения закупки (отмена закупки)</w:t>
            </w:r>
            <w:r>
              <w:rPr>
                <w:webHidden/>
              </w:rPr>
              <w:fldChar w:fldCharType="begin"/>
            </w:r>
            <w:r>
              <w:rPr>
                <w:webHidden/>
              </w:rPr>
              <w:instrText xml:space="preserve">PAGEREF _Toc228976354 \h</w:instrText>
            </w:r>
            <w:r>
              <w:rPr>
                <w:webHidden/>
              </w:rPr>
              <w:fldChar w:fldCharType="separate"/>
            </w:r>
            <w:r>
              <w:rPr>
                <w:rStyle w:val="Style20"/>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5">
            <w:r>
              <w:rPr>
                <w:webHidden/>
                <w:rStyle w:val="Style20"/>
                <w:vanish w:val="false"/>
              </w:rPr>
              <w:t>4.17</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необходимостью обеспечения заявки</w:t>
            </w:r>
            <w:r>
              <w:rPr>
                <w:webHidden/>
              </w:rPr>
              <w:fldChar w:fldCharType="begin"/>
            </w:r>
            <w:r>
              <w:rPr>
                <w:webHidden/>
              </w:rPr>
              <w:instrText xml:space="preserve">PAGEREF _Toc228976355 \h</w:instrText>
            </w:r>
            <w:r>
              <w:rPr>
                <w:webHidden/>
              </w:rPr>
              <w:fldChar w:fldCharType="separate"/>
            </w:r>
            <w:r>
              <w:rPr>
                <w:rStyle w:val="Style20"/>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6">
            <w:r>
              <w:rPr>
                <w:webHidden/>
                <w:rStyle w:val="Style20"/>
                <w:vanish w:val="false"/>
              </w:rPr>
              <w:t>4.18</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многолотовой закупки</w:t>
            </w:r>
            <w:r>
              <w:rPr>
                <w:webHidden/>
              </w:rPr>
              <w:fldChar w:fldCharType="begin"/>
            </w:r>
            <w:r>
              <w:rPr>
                <w:webHidden/>
              </w:rPr>
              <w:instrText xml:space="preserve">PAGEREF _Toc228976356 \h</w:instrText>
            </w:r>
            <w:r>
              <w:rPr>
                <w:webHidden/>
              </w:rPr>
              <w:fldChar w:fldCharType="separate"/>
            </w:r>
            <w:r>
              <w:rPr>
                <w:rStyle w:val="Style20"/>
                <w:vanish w:val="false"/>
              </w:rPr>
              <w:tab/>
              <w:t>55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7">
            <w:r>
              <w:rPr>
                <w:webHidden/>
                <w:rStyle w:val="Style20"/>
                <w:vanish w:val="false"/>
              </w:rPr>
              <w:t>4.19</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Особенности проведения закупки с возможностью подачи альтернативных предложений</w:t>
            </w:r>
            <w:r>
              <w:rPr>
                <w:webHidden/>
              </w:rPr>
              <w:fldChar w:fldCharType="begin"/>
            </w:r>
            <w:r>
              <w:rPr>
                <w:webHidden/>
              </w:rPr>
              <w:instrText xml:space="preserve">PAGEREF _Toc228976357 \h</w:instrText>
            </w:r>
            <w:r>
              <w:rPr>
                <w:webHidden/>
              </w:rPr>
              <w:fldChar w:fldCharType="separate"/>
            </w:r>
            <w:r>
              <w:rPr>
                <w:rStyle w:val="Style20"/>
                <w:vanish w:val="false"/>
              </w:rPr>
              <w:tab/>
              <w:t>56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58">
            <w:r>
              <w:rPr>
                <w:webHidden/>
                <w:rStyle w:val="Style20"/>
                <w:vanish w:val="false"/>
              </w:rPr>
              <w:t>5.</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Порядок заключения Договора</w:t>
            </w:r>
            <w:r>
              <w:rPr>
                <w:webHidden/>
              </w:rPr>
              <w:fldChar w:fldCharType="begin"/>
            </w:r>
            <w:r>
              <w:rPr>
                <w:webHidden/>
              </w:rPr>
              <w:instrText xml:space="preserve">PAGEREF _Toc228976358 \h</w:instrText>
            </w:r>
            <w:r>
              <w:rPr>
                <w:webHidden/>
              </w:rPr>
              <w:fldChar w:fldCharType="separate"/>
            </w:r>
            <w:r>
              <w:rPr>
                <w:rStyle w:val="Style20"/>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59">
            <w:r>
              <w:rPr>
                <w:webHidden/>
                <w:rStyle w:val="Style20"/>
                <w:vanish w:val="false"/>
              </w:rPr>
              <w:t>5.1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Общие положения</w:t>
            </w:r>
            <w:r>
              <w:rPr>
                <w:webHidden/>
              </w:rPr>
              <w:fldChar w:fldCharType="begin"/>
            </w:r>
            <w:r>
              <w:rPr>
                <w:webHidden/>
              </w:rPr>
              <w:instrText xml:space="preserve">PAGEREF _Toc228976359 \h</w:instrText>
            </w:r>
            <w:r>
              <w:rPr>
                <w:webHidden/>
              </w:rPr>
              <w:fldChar w:fldCharType="separate"/>
            </w:r>
            <w:r>
              <w:rPr>
                <w:rStyle w:val="Style20"/>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0">
            <w:r>
              <w:rPr>
                <w:webHidden/>
                <w:rStyle w:val="Style20"/>
                <w:vanish w:val="false"/>
              </w:rPr>
              <w:t>5.2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Заключение Договора</w:t>
            </w:r>
            <w:r>
              <w:rPr>
                <w:webHidden/>
              </w:rPr>
              <w:fldChar w:fldCharType="begin"/>
            </w:r>
            <w:r>
              <w:rPr>
                <w:webHidden/>
              </w:rPr>
              <w:instrText xml:space="preserve">PAGEREF _Toc228976360 \h</w:instrText>
            </w:r>
            <w:r>
              <w:rPr>
                <w:webHidden/>
              </w:rPr>
              <w:fldChar w:fldCharType="separate"/>
            </w:r>
            <w:r>
              <w:rPr>
                <w:rStyle w:val="Style20"/>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1">
            <w:r>
              <w:rPr>
                <w:webHidden/>
                <w:rStyle w:val="Style20"/>
                <w:vanish w:val="false"/>
              </w:rPr>
              <w:t>5.3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Преддоговорные переговоры</w:t>
            </w:r>
            <w:r>
              <w:rPr>
                <w:webHidden/>
              </w:rPr>
              <w:fldChar w:fldCharType="begin"/>
            </w:r>
            <w:r>
              <w:rPr>
                <w:webHidden/>
              </w:rPr>
              <w:instrText xml:space="preserve">PAGEREF _Toc228976361 \h</w:instrText>
            </w:r>
            <w:r>
              <w:rPr>
                <w:webHidden/>
              </w:rPr>
              <w:fldChar w:fldCharType="separate"/>
            </w:r>
            <w:r>
              <w:rPr>
                <w:rStyle w:val="Style20"/>
                <w:vanish w:val="false"/>
              </w:rPr>
              <w:tab/>
              <w:t>61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2">
            <w:r>
              <w:rPr>
                <w:webHidden/>
                <w:rStyle w:val="Style20"/>
                <w:vanish w:val="false"/>
              </w:rPr>
              <w:t>5.4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Уклонение Победителя от заключения Договора</w:t>
            </w:r>
            <w:r>
              <w:rPr>
                <w:webHidden/>
              </w:rPr>
              <w:fldChar w:fldCharType="begin"/>
            </w:r>
            <w:r>
              <w:rPr>
                <w:webHidden/>
              </w:rPr>
              <w:instrText xml:space="preserve">PAGEREF _Toc228976362 \h</w:instrText>
            </w:r>
            <w:r>
              <w:rPr>
                <w:webHidden/>
              </w:rPr>
              <w:fldChar w:fldCharType="separate"/>
            </w:r>
            <w:r>
              <w:rPr>
                <w:rStyle w:val="Style20"/>
                <w:vanish w:val="false"/>
              </w:rPr>
              <w:tab/>
              <w:t>62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63">
            <w:r>
              <w:rPr>
                <w:webHidden/>
                <w:rStyle w:val="Style20"/>
                <w:vanish w:val="false"/>
              </w:rPr>
              <w:t>6.</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 – Технические требования</w:t>
            </w:r>
            <w:r>
              <w:rPr>
                <w:webHidden/>
              </w:rPr>
              <w:fldChar w:fldCharType="begin"/>
            </w:r>
            <w:r>
              <w:rPr>
                <w:webHidden/>
              </w:rPr>
              <w:instrText xml:space="preserve">PAGEREF _Toc228976363 \h</w:instrText>
            </w:r>
            <w:r>
              <w:rPr>
                <w:webHidden/>
              </w:rPr>
              <w:fldChar w:fldCharType="separate"/>
            </w:r>
            <w:r>
              <w:rPr>
                <w:rStyle w:val="Style20"/>
                <w:vanish w:val="false"/>
              </w:rPr>
              <w:tab/>
              <w:t>63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4">
            <w:r>
              <w:rPr>
                <w:webHidden/>
                <w:rStyle w:val="Style20"/>
                <w:vanish w:val="false"/>
              </w:rPr>
              <w:t>6.1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Техническим требованиям</w:t>
            </w:r>
            <w:r>
              <w:rPr>
                <w:webHidden/>
              </w:rPr>
              <w:fldChar w:fldCharType="begin"/>
            </w:r>
            <w:r>
              <w:rPr>
                <w:webHidden/>
              </w:rPr>
              <w:instrText xml:space="preserve">PAGEREF _Toc228976364 \h</w:instrText>
            </w:r>
            <w:r>
              <w:rPr>
                <w:webHidden/>
              </w:rPr>
              <w:fldChar w:fldCharType="separate"/>
            </w:r>
            <w:r>
              <w:rPr>
                <w:rStyle w:val="Style20"/>
                <w:vanish w:val="false"/>
              </w:rPr>
              <w:tab/>
              <w:t>63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65">
            <w:r>
              <w:rPr>
                <w:webHidden/>
                <w:rStyle w:val="Style20"/>
                <w:vanish w:val="false"/>
              </w:rPr>
              <w:t>7.</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2 – Проект договора</w:t>
            </w:r>
            <w:r>
              <w:rPr>
                <w:webHidden/>
              </w:rPr>
              <w:fldChar w:fldCharType="begin"/>
            </w:r>
            <w:r>
              <w:rPr>
                <w:webHidden/>
              </w:rPr>
              <w:instrText xml:space="preserve">PAGEREF _Toc228976365 \h</w:instrText>
            </w:r>
            <w:r>
              <w:rPr>
                <w:webHidden/>
              </w:rPr>
              <w:fldChar w:fldCharType="separate"/>
            </w:r>
            <w:r>
              <w:rPr>
                <w:rStyle w:val="Style20"/>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6">
            <w:r>
              <w:rPr>
                <w:webHidden/>
                <w:rStyle w:val="Style20"/>
                <w:vanish w:val="false"/>
              </w:rPr>
              <w:t>7.1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Проекту договора</w:t>
            </w:r>
            <w:r>
              <w:rPr>
                <w:webHidden/>
              </w:rPr>
              <w:fldChar w:fldCharType="begin"/>
            </w:r>
            <w:r>
              <w:rPr>
                <w:webHidden/>
              </w:rPr>
              <w:instrText xml:space="preserve">PAGEREF _Toc228976366 \h</w:instrText>
            </w:r>
            <w:r>
              <w:rPr>
                <w:webHidden/>
              </w:rPr>
              <w:fldChar w:fldCharType="separate"/>
            </w:r>
            <w:r>
              <w:rPr>
                <w:rStyle w:val="Style20"/>
                <w:vanish w:val="false"/>
              </w:rPr>
              <w:tab/>
              <w:t>64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67">
            <w:r>
              <w:rPr>
                <w:webHidden/>
                <w:rStyle w:val="Style20"/>
                <w:vanish w:val="false"/>
              </w:rPr>
              <w:t>8.</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3 – Требования к Участникам</w:t>
            </w:r>
            <w:r>
              <w:rPr>
                <w:webHidden/>
              </w:rPr>
              <w:fldChar w:fldCharType="begin"/>
            </w:r>
            <w:r>
              <w:rPr>
                <w:webHidden/>
              </w:rPr>
              <w:instrText xml:space="preserve">PAGEREF _Toc228976367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8">
            <w:r>
              <w:rPr>
                <w:webHidden/>
                <w:rStyle w:val="Style20"/>
                <w:vanish w:val="false"/>
              </w:rPr>
              <w:t>8.1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требованиям к Участникам</w:t>
            </w:r>
            <w:r>
              <w:rPr>
                <w:webHidden/>
              </w:rPr>
              <w:fldChar w:fldCharType="begin"/>
            </w:r>
            <w:r>
              <w:rPr>
                <w:webHidden/>
              </w:rPr>
              <w:instrText xml:space="preserve">PAGEREF _Toc228976368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69">
            <w:r>
              <w:rPr>
                <w:webHidden/>
                <w:rStyle w:val="Style20"/>
                <w:vanish w:val="false"/>
              </w:rPr>
              <w:t>8.2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Обязательные требования</w:t>
            </w:r>
            <w:r>
              <w:rPr>
                <w:webHidden/>
              </w:rPr>
              <w:fldChar w:fldCharType="begin"/>
            </w:r>
            <w:r>
              <w:rPr>
                <w:webHidden/>
              </w:rPr>
              <w:instrText xml:space="preserve">PAGEREF _Toc228976369 \h</w:instrText>
            </w:r>
            <w:r>
              <w:rPr>
                <w:webHidden/>
              </w:rPr>
              <w:fldChar w:fldCharType="separate"/>
            </w:r>
            <w:r>
              <w:rPr>
                <w:rStyle w:val="Style20"/>
                <w:vanish w:val="false"/>
              </w:rPr>
              <w:tab/>
              <w:t>65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0">
            <w:r>
              <w:rPr>
                <w:webHidden/>
                <w:rStyle w:val="Style20"/>
                <w:vanish w:val="false"/>
              </w:rPr>
              <w:t>8.3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Специальные требования</w:t>
            </w:r>
            <w:r>
              <w:rPr>
                <w:webHidden/>
              </w:rPr>
              <w:fldChar w:fldCharType="begin"/>
            </w:r>
            <w:r>
              <w:rPr>
                <w:webHidden/>
              </w:rPr>
              <w:instrText xml:space="preserve">PAGEREF _Toc228976370 \h</w:instrText>
            </w:r>
            <w:r>
              <w:rPr>
                <w:webHidden/>
              </w:rPr>
              <w:fldChar w:fldCharType="separate"/>
            </w:r>
            <w:r>
              <w:rPr>
                <w:rStyle w:val="Style20"/>
                <w:vanish w:val="false"/>
              </w:rPr>
              <w:tab/>
              <w:t>68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1">
            <w:r>
              <w:rPr>
                <w:webHidden/>
                <w:rStyle w:val="Style20"/>
                <w:vanish w:val="false"/>
              </w:rPr>
              <w:t>8.4</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Квалификационные требования</w:t>
            </w:r>
            <w:r>
              <w:rPr>
                <w:webHidden/>
              </w:rPr>
              <w:fldChar w:fldCharType="begin"/>
            </w:r>
            <w:r>
              <w:rPr>
                <w:webHidden/>
              </w:rPr>
              <w:instrText xml:space="preserve">PAGEREF _Toc228976371 \h</w:instrText>
            </w:r>
            <w:r>
              <w:rPr>
                <w:webHidden/>
              </w:rPr>
              <w:fldChar w:fldCharType="separate"/>
            </w:r>
            <w:r>
              <w:rPr>
                <w:rStyle w:val="Style20"/>
                <w:vanish w:val="false"/>
              </w:rPr>
              <w:tab/>
              <w:t>69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2">
            <w:r>
              <w:rPr>
                <w:webHidden/>
                <w:rStyle w:val="Style20"/>
                <w:vanish w:val="false"/>
              </w:rPr>
              <w:t>8.5</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требования к Коллективным участникам</w:t>
            </w:r>
            <w:r>
              <w:rPr>
                <w:webHidden/>
              </w:rPr>
              <w:fldChar w:fldCharType="begin"/>
            </w:r>
            <w:r>
              <w:rPr>
                <w:webHidden/>
              </w:rPr>
              <w:instrText xml:space="preserve">PAGEREF _Toc228976372 \h</w:instrText>
            </w:r>
            <w:r>
              <w:rPr>
                <w:webHidden/>
              </w:rPr>
              <w:fldChar w:fldCharType="separate"/>
            </w:r>
            <w:r>
              <w:rPr>
                <w:rStyle w:val="Style20"/>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3">
            <w:r>
              <w:rPr>
                <w:webHidden/>
                <w:rStyle w:val="Style20"/>
                <w:vanish w:val="false"/>
              </w:rPr>
              <w:t>8.6</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требования к Генеральным подрядчикам</w:t>
            </w:r>
            <w:r>
              <w:rPr>
                <w:webHidden/>
              </w:rPr>
              <w:fldChar w:fldCharType="begin"/>
            </w:r>
            <w:r>
              <w:rPr>
                <w:webHidden/>
              </w:rPr>
              <w:instrText xml:space="preserve">PAGEREF _Toc228976373 \h</w:instrText>
            </w:r>
            <w:r>
              <w:rPr>
                <w:webHidden/>
              </w:rPr>
              <w:fldChar w:fldCharType="separate"/>
            </w:r>
            <w:r>
              <w:rPr>
                <w:rStyle w:val="Style20"/>
                <w:vanish w:val="false"/>
              </w:rPr>
              <w:tab/>
              <w:t>71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74">
            <w:r>
              <w:rPr>
                <w:webHidden/>
                <w:rStyle w:val="Style20"/>
                <w:vanish w:val="false"/>
              </w:rPr>
              <w:t>9.</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4 – Образцы форм документов, включаемых в состав заявки</w:t>
            </w:r>
            <w:r>
              <w:rPr>
                <w:webHidden/>
              </w:rPr>
              <w:fldChar w:fldCharType="begin"/>
            </w:r>
            <w:r>
              <w:rPr>
                <w:webHidden/>
              </w:rPr>
              <w:instrText xml:space="preserve">PAGEREF _Toc228976374 \h</w:instrText>
            </w:r>
            <w:r>
              <w:rPr>
                <w:webHidden/>
              </w:rPr>
              <w:fldChar w:fldCharType="separate"/>
            </w:r>
            <w:r>
              <w:rPr>
                <w:rStyle w:val="Style20"/>
                <w:vanish w:val="false"/>
              </w:rPr>
              <w:tab/>
              <w:t>73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5">
            <w:r>
              <w:rPr>
                <w:webHidden/>
                <w:rStyle w:val="Style20"/>
                <w:vanish w:val="false"/>
              </w:rPr>
              <w:t>9.1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Образцам форм документов, включаемых в состав заявки</w:t>
            </w:r>
            <w:r>
              <w:rPr>
                <w:webHidden/>
              </w:rPr>
              <w:fldChar w:fldCharType="begin"/>
            </w:r>
            <w:r>
              <w:rPr>
                <w:webHidden/>
              </w:rPr>
              <w:instrText xml:space="preserve">PAGEREF _Toc228976375 \h</w:instrText>
            </w:r>
            <w:r>
              <w:rPr>
                <w:webHidden/>
              </w:rPr>
              <w:fldChar w:fldCharType="separate"/>
            </w:r>
            <w:r>
              <w:rPr>
                <w:rStyle w:val="Style20"/>
                <w:vanish w:val="false"/>
              </w:rPr>
              <w:tab/>
              <w:t>73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76">
            <w:r>
              <w:rPr>
                <w:webHidden/>
                <w:rStyle w:val="Style20"/>
                <w:vanish w:val="false"/>
              </w:rPr>
              <w:t>10.</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5 – Образцы форм документов, предоставляемых Победителем</w:t>
            </w:r>
            <w:r>
              <w:rPr>
                <w:webHidden/>
              </w:rPr>
              <w:fldChar w:fldCharType="begin"/>
            </w:r>
            <w:r>
              <w:rPr>
                <w:webHidden/>
              </w:rPr>
              <w:instrText xml:space="preserve">PAGEREF _Toc228976376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7">
            <w:r>
              <w:rPr>
                <w:webHidden/>
                <w:rStyle w:val="Style20"/>
                <w:vanish w:val="false"/>
              </w:rPr>
              <w:t>10.1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Образцам форм документов, предоставляемых Победителем</w:t>
            </w:r>
            <w:r>
              <w:rPr>
                <w:webHidden/>
              </w:rPr>
              <w:fldChar w:fldCharType="begin"/>
            </w:r>
            <w:r>
              <w:rPr>
                <w:webHidden/>
              </w:rPr>
              <w:instrText xml:space="preserve">PAGEREF _Toc228976377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8">
            <w:r>
              <w:rPr>
                <w:webHidden/>
                <w:rStyle w:val="Style20"/>
                <w:vanish w:val="false"/>
              </w:rPr>
              <w:t>10.2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_Toc228976378 \h</w:instrText>
            </w:r>
            <w:r>
              <w:rPr>
                <w:webHidden/>
              </w:rPr>
              <w:fldChar w:fldCharType="separate"/>
            </w:r>
            <w:r>
              <w:rPr>
                <w:rStyle w:val="Style20"/>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79">
            <w:r>
              <w:rPr>
                <w:webHidden/>
                <w:rStyle w:val="Style20"/>
                <w:vanish w:val="false"/>
              </w:rPr>
              <w:t>10.3</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Форма «Заверение об обстоятельствах»</w:t>
            </w:r>
            <w:r>
              <w:rPr>
                <w:webHidden/>
              </w:rPr>
              <w:fldChar w:fldCharType="begin"/>
            </w:r>
            <w:r>
              <w:rPr>
                <w:webHidden/>
              </w:rPr>
              <w:instrText xml:space="preserve">PAGEREF _Toc228976379 \h</w:instrText>
            </w:r>
            <w:r>
              <w:rPr>
                <w:webHidden/>
              </w:rPr>
              <w:fldChar w:fldCharType="separate"/>
            </w:r>
            <w:r>
              <w:rPr>
                <w:rStyle w:val="Style20"/>
                <w:vanish w:val="false"/>
              </w:rPr>
              <w:tab/>
              <w:t>74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0">
            <w:r>
              <w:rPr>
                <w:webHidden/>
                <w:rStyle w:val="Style20"/>
                <w:vanish w:val="false"/>
              </w:rPr>
              <w:t>11.</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6 – Состав заявки</w:t>
            </w:r>
            <w:r>
              <w:rPr>
                <w:webHidden/>
              </w:rPr>
              <w:fldChar w:fldCharType="begin"/>
            </w:r>
            <w:r>
              <w:rPr>
                <w:webHidden/>
              </w:rPr>
              <w:instrText xml:space="preserve">PAGEREF _Toc228976380 \h</w:instrText>
            </w:r>
            <w:r>
              <w:rPr>
                <w:webHidden/>
              </w:rPr>
              <w:fldChar w:fldCharType="separate"/>
            </w:r>
            <w:r>
              <w:rPr>
                <w:rStyle w:val="Style20"/>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1">
            <w:r>
              <w:rPr>
                <w:webHidden/>
                <w:rStyle w:val="Style20"/>
                <w:vanish w:val="false"/>
              </w:rPr>
              <w:t>11.1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Состав заявки</w:t>
            </w:r>
            <w:r>
              <w:rPr>
                <w:webHidden/>
              </w:rPr>
              <w:fldChar w:fldCharType="begin"/>
            </w:r>
            <w:r>
              <w:rPr>
                <w:webHidden/>
              </w:rPr>
              <w:instrText xml:space="preserve">PAGEREF _Toc228976381 \h</w:instrText>
            </w:r>
            <w:r>
              <w:rPr>
                <w:webHidden/>
              </w:rPr>
              <w:fldChar w:fldCharType="separate"/>
            </w:r>
            <w:r>
              <w:rPr>
                <w:rStyle w:val="Style20"/>
                <w:vanish w:val="false"/>
              </w:rPr>
              <w:tab/>
              <w:t>76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2">
            <w:r>
              <w:rPr>
                <w:webHidden/>
                <w:rStyle w:val="Style20"/>
                <w:vanish w:val="false"/>
              </w:rPr>
              <w:t>12.</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7 – Отборочные критерии рассмотрения заявок</w:t>
            </w:r>
            <w:r>
              <w:rPr>
                <w:webHidden/>
              </w:rPr>
              <w:fldChar w:fldCharType="begin"/>
            </w:r>
            <w:r>
              <w:rPr>
                <w:webHidden/>
              </w:rPr>
              <w:instrText xml:space="preserve">PAGEREF _Toc228976382 \h</w:instrText>
            </w:r>
            <w:r>
              <w:rPr>
                <w:webHidden/>
              </w:rPr>
              <w:fldChar w:fldCharType="separate"/>
            </w:r>
            <w:r>
              <w:rPr>
                <w:rStyle w:val="Style20"/>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3">
            <w:r>
              <w:rPr>
                <w:webHidden/>
                <w:rStyle w:val="Style20"/>
                <w:vanish w:val="false"/>
              </w:rPr>
              <w:t>12.1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Отборочные критерии рассмотрения заявок</w:t>
            </w:r>
            <w:r>
              <w:rPr>
                <w:webHidden/>
              </w:rPr>
              <w:fldChar w:fldCharType="begin"/>
            </w:r>
            <w:r>
              <w:rPr>
                <w:webHidden/>
              </w:rPr>
              <w:instrText xml:space="preserve">PAGEREF _Toc228976383 \h</w:instrText>
            </w:r>
            <w:r>
              <w:rPr>
                <w:webHidden/>
              </w:rPr>
              <w:fldChar w:fldCharType="separate"/>
            </w:r>
            <w:r>
              <w:rPr>
                <w:rStyle w:val="Style20"/>
                <w:vanish w:val="false"/>
              </w:rPr>
              <w:tab/>
              <w:t>79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4">
            <w:r>
              <w:rPr>
                <w:webHidden/>
                <w:rStyle w:val="Style20"/>
                <w:vanish w:val="false"/>
              </w:rPr>
              <w:t>12.2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_Toc228976384 \h</w:instrText>
            </w:r>
            <w:r>
              <w:rPr>
                <w:webHidden/>
              </w:rPr>
              <w:fldChar w:fldCharType="separate"/>
            </w:r>
            <w:r>
              <w:rPr>
                <w:rStyle w:val="Style20"/>
                <w:vanish w:val="false"/>
              </w:rPr>
              <w:tab/>
              <w:t>84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5">
            <w:r>
              <w:rPr>
                <w:webHidden/>
                <w:rStyle w:val="Style20"/>
                <w:vanish w:val="false"/>
              </w:rPr>
              <w:t>13.</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8 – Порядок и критерии оценки и сопоставления заявок</w:t>
            </w:r>
            <w:r>
              <w:rPr>
                <w:webHidden/>
              </w:rPr>
              <w:fldChar w:fldCharType="begin"/>
            </w:r>
            <w:r>
              <w:rPr>
                <w:webHidden/>
              </w:rPr>
              <w:instrText xml:space="preserve">PAGEREF _Toc228976385 \h</w:instrText>
            </w:r>
            <w:r>
              <w:rPr>
                <w:webHidden/>
              </w:rPr>
              <w:fldChar w:fldCharType="separate"/>
            </w:r>
            <w:r>
              <w:rPr>
                <w:rStyle w:val="Style20"/>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6">
            <w:r>
              <w:rPr>
                <w:webHidden/>
                <w:rStyle w:val="Style20"/>
                <w:vanish w:val="false"/>
              </w:rPr>
              <w:t>13.1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Порядок и критерии оценки и сопоставления заявок</w:t>
            </w:r>
            <w:r>
              <w:rPr>
                <w:webHidden/>
              </w:rPr>
              <w:fldChar w:fldCharType="begin"/>
            </w:r>
            <w:r>
              <w:rPr>
                <w:webHidden/>
              </w:rPr>
              <w:instrText xml:space="preserve">PAGEREF _Toc228976386 \h</w:instrText>
            </w:r>
            <w:r>
              <w:rPr>
                <w:webHidden/>
              </w:rPr>
              <w:fldChar w:fldCharType="separate"/>
            </w:r>
            <w:r>
              <w:rPr>
                <w:rStyle w:val="Style20"/>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7">
            <w:r>
              <w:rPr>
                <w:webHidden/>
                <w:rStyle w:val="Style20"/>
                <w:vanish w:val="false"/>
              </w:rPr>
              <w:t>13.2</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Порядок и критерии оценки и сопоставления заявок</w:t>
            </w:r>
            <w:r>
              <w:rPr>
                <w:webHidden/>
              </w:rPr>
              <w:fldChar w:fldCharType="begin"/>
            </w:r>
            <w:r>
              <w:rPr>
                <w:webHidden/>
              </w:rPr>
              <w:instrText xml:space="preserve">PAGEREF _Toc228976387 \h</w:instrText>
            </w:r>
            <w:r>
              <w:rPr>
                <w:webHidden/>
              </w:rPr>
              <w:fldChar w:fldCharType="separate"/>
            </w:r>
            <w:r>
              <w:rPr>
                <w:rStyle w:val="Style20"/>
                <w:vanish w:val="false"/>
              </w:rPr>
              <w:tab/>
              <w:t>91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88">
            <w:r>
              <w:rPr>
                <w:webHidden/>
                <w:rStyle w:val="Style20"/>
                <w:vanish w:val="false"/>
              </w:rPr>
              <w:t>14.</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9 – Обоснование НМЦ</w:t>
            </w:r>
            <w:r>
              <w:rPr>
                <w:webHidden/>
              </w:rPr>
              <w:fldChar w:fldCharType="begin"/>
            </w:r>
            <w:r>
              <w:rPr>
                <w:webHidden/>
              </w:rPr>
              <w:instrText xml:space="preserve">PAGEREF _Toc228976388 \h</w:instrText>
            </w:r>
            <w:r>
              <w:rPr>
                <w:webHidden/>
              </w:rPr>
              <w:fldChar w:fldCharType="separate"/>
            </w:r>
            <w:r>
              <w:rPr>
                <w:rStyle w:val="Style20"/>
                <w:vanish w:val="false"/>
              </w:rPr>
              <w:tab/>
              <w:t>92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89">
            <w:r>
              <w:rPr>
                <w:webHidden/>
                <w:rStyle w:val="Style20"/>
                <w:vanish w:val="false"/>
              </w:rPr>
              <w:t>14.1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Обоснованию НМЦ</w:t>
            </w:r>
            <w:r>
              <w:rPr>
                <w:webHidden/>
              </w:rPr>
              <w:fldChar w:fldCharType="begin"/>
            </w:r>
            <w:r>
              <w:rPr>
                <w:webHidden/>
              </w:rPr>
              <w:instrText xml:space="preserve">PAGEREF _Toc228976389 \h</w:instrText>
            </w:r>
            <w:r>
              <w:rPr>
                <w:webHidden/>
              </w:rPr>
              <w:fldChar w:fldCharType="separate"/>
            </w:r>
            <w:r>
              <w:rPr>
                <w:rStyle w:val="Style20"/>
                <w:vanish w:val="false"/>
              </w:rPr>
              <w:tab/>
              <w:t>92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90">
            <w:r>
              <w:rPr>
                <w:webHidden/>
                <w:rStyle w:val="Style20"/>
                <w:vanish w:val="false"/>
              </w:rPr>
              <w:t>15.</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10 – Форма Заявки на аккредитацию</w:t>
            </w:r>
            <w:r>
              <w:rPr>
                <w:webHidden/>
              </w:rPr>
              <w:fldChar w:fldCharType="begin"/>
            </w:r>
            <w:r>
              <w:rPr>
                <w:webHidden/>
              </w:rPr>
              <w:instrText xml:space="preserve">PAGEREF _Toc228976390 \h</w:instrText>
            </w:r>
            <w:r>
              <w:rPr>
                <w:webHidden/>
              </w:rPr>
              <w:fldChar w:fldCharType="separate"/>
            </w:r>
            <w:r>
              <w:rPr>
                <w:rStyle w:val="Style20"/>
                <w:vanish w:val="false"/>
              </w:rPr>
              <w:tab/>
              <w:t>93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91">
            <w:r>
              <w:rPr>
                <w:webHidden/>
                <w:rStyle w:val="Style20"/>
                <w:vanish w:val="false"/>
              </w:rPr>
              <w:t>15.1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форме Заявки на аккредитацию</w:t>
            </w:r>
            <w:r>
              <w:rPr>
                <w:webHidden/>
              </w:rPr>
              <w:fldChar w:fldCharType="begin"/>
            </w:r>
            <w:r>
              <w:rPr>
                <w:webHidden/>
              </w:rPr>
              <w:instrText xml:space="preserve">PAGEREF _Toc228976391 \h</w:instrText>
            </w:r>
            <w:r>
              <w:rPr>
                <w:webHidden/>
              </w:rPr>
              <w:fldChar w:fldCharType="separate"/>
            </w:r>
            <w:r>
              <w:rPr>
                <w:rStyle w:val="Style20"/>
                <w:vanish w:val="false"/>
              </w:rPr>
              <w:tab/>
              <w:t>93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976392">
            <w:r>
              <w:rPr>
                <w:webHidden/>
                <w:rStyle w:val="Style20"/>
                <w:vanish w:val="false"/>
              </w:rPr>
              <w:t>16.</w:t>
            </w:r>
            <w:r>
              <w:rPr>
                <w:rStyle w:val="Style20"/>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20"/>
              </w:rPr>
              <w:t>Приложение № 11 – форма Данных бухгалтерской (финансовой) отчетности</w:t>
            </w:r>
            <w:r>
              <w:rPr>
                <w:webHidden/>
              </w:rPr>
              <w:fldChar w:fldCharType="begin"/>
            </w:r>
            <w:r>
              <w:rPr>
                <w:webHidden/>
              </w:rPr>
              <w:instrText xml:space="preserve">PAGEREF _Toc228976392 \h</w:instrText>
            </w:r>
            <w:r>
              <w:rPr>
                <w:webHidden/>
              </w:rPr>
              <w:fldChar w:fldCharType="separate"/>
            </w:r>
            <w:r>
              <w:rPr>
                <w:rStyle w:val="Style20"/>
                <w:vanish w:val="false"/>
              </w:rPr>
              <w:tab/>
              <w:t>94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976393">
            <w:r>
              <w:rPr>
                <w:webHidden/>
                <w:rStyle w:val="Style20"/>
                <w:vanish w:val="false"/>
              </w:rPr>
              <w:t>16.1</w:t>
            </w:r>
            <w:r>
              <w:rPr>
                <w:rStyle w:val="Style20"/>
                <w:rFonts w:eastAsia="" w:ascii="Calibri" w:hAnsi="Calibri" w:asciiTheme="minorHAnsi" w:eastAsiaTheme="minorEastAsia" w:hAnsiTheme="minorHAnsi"/>
                <w:kern w:val="2"/>
                <w:sz w:val="24"/>
                <w:szCs w:val="24"/>
                <w:lang w:eastAsia="ru-RU"/>
                <w14:ligatures w14:val="standardContextual"/>
              </w:rPr>
              <w:tab/>
            </w:r>
            <w:r>
              <w:rPr>
                <w:rStyle w:val="Style20"/>
              </w:rPr>
              <w:t>Пояснения к форме Данных бухгалтерской (финансовой) отчетности</w:t>
            </w:r>
            <w:r>
              <w:rPr>
                <w:webHidden/>
              </w:rPr>
              <w:fldChar w:fldCharType="begin"/>
            </w:r>
            <w:r>
              <w:rPr>
                <w:webHidden/>
              </w:rPr>
              <w:instrText xml:space="preserve">PAGEREF _Toc228976393 \h</w:instrText>
            </w:r>
            <w:r>
              <w:rPr>
                <w:webHidden/>
              </w:rPr>
              <w:fldChar w:fldCharType="separate"/>
            </w:r>
            <w:r>
              <w:rPr>
                <w:rStyle w:val="Style20"/>
                <w:vanish w:val="false"/>
              </w:rPr>
              <w:tab/>
              <w:t>94</w:t>
            </w:r>
            <w:r>
              <w:rPr>
                <w:webHidden/>
              </w:rPr>
              <w:fldChar w:fldCharType="end"/>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
    </w:p>
    <w:p>
      <w:pPr>
        <w:pStyle w:val="Style30"/>
        <w:numPr>
          <w:ilvl w:val="0"/>
          <w:numId w:val="0"/>
        </w:numPr>
        <w:ind w:left="0" w:hanging="0"/>
        <w:outlineLvl w:val="0"/>
        <w:rPr/>
      </w:pPr>
      <w:bookmarkStart w:id="1" w:name="_Toc228976323"/>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left="0" w:hanging="0"/>
        <w:outlineLvl w:val="0"/>
        <w:rPr/>
      </w:pPr>
      <w:bookmarkStart w:id="2" w:name="_Toc228976324"/>
      <w:r>
        <w:rPr/>
        <w:t>Термины и определения</w:t>
      </w:r>
      <w:bookmarkEnd w:id="2"/>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3" w:name="_Ref125359988"/>
      <w:bookmarkStart w:id="4" w:name="_Toc228976325"/>
      <w:r>
        <w:rPr/>
        <w:t>Основные сведения о закупке</w:t>
      </w:r>
      <w:bookmarkEnd w:id="3"/>
      <w:bookmarkEnd w:id="4"/>
    </w:p>
    <w:p>
      <w:pPr>
        <w:pStyle w:val="Style26"/>
        <w:rPr/>
      </w:pPr>
      <w:bookmarkStart w:id="5" w:name="_Toc228976326"/>
      <w:r>
        <w:rPr/>
        <w:t>Статус настоящего раздела</w:t>
      </w:r>
      <w:bookmarkEnd w:id="5"/>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6"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6"/>
    </w:p>
    <w:p>
      <w:pPr>
        <w:pStyle w:val="Style26"/>
        <w:spacing w:before="360" w:after="120"/>
        <w:rPr/>
      </w:pPr>
      <w:bookmarkStart w:id="7" w:name="_Ref125359973"/>
      <w:bookmarkStart w:id="8" w:name="_Ref127270076"/>
      <w:bookmarkStart w:id="9" w:name="_Toc228976327"/>
      <w:r>
        <w:rPr/>
        <w:t>Информация о проводимой закупке</w:t>
      </w:r>
      <w:bookmarkEnd w:id="7"/>
      <w:bookmarkEnd w:id="8"/>
      <w:bookmarkEnd w:id="9"/>
    </w:p>
    <w:tbl>
      <w:tblPr>
        <w:tblStyle w:val="af6"/>
        <w:tblW w:w="9930"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852"/>
        <w:gridCol w:w="3226"/>
        <w:gridCol w:w="5852"/>
      </w:tblGrid>
      <w:tr>
        <w:trPr>
          <w:cnfStyle w:val="100000000000" w:firstRow="1" w:lastRow="0" w:firstColumn="0" w:lastColumn="0" w:oddVBand="0" w:evenVBand="0" w:oddHBand="0" w:evenHBand="0" w:firstRowFirstColumn="0" w:firstRowLastColumn="0" w:lastRowFirstColumn="0" w:lastRowLastColumn="0"/>
        </w:trPr>
        <w:tc>
          <w:tcPr>
            <w:tcW w:w="85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2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5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52"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Лот № 7-ТПиР-2026-СарГЭС  </w:t>
            </w:r>
          </w:p>
          <w:p>
            <w:pPr>
              <w:pStyle w:val="Style31"/>
              <w:widowControl w:val="false"/>
              <w:suppressAutoHyphens w:val="true"/>
              <w:spacing w:before="60" w:after="60"/>
              <w:rPr>
                <w:rFonts w:ascii="Times New Roman" w:hAnsi="Times New Roman" w:eastAsia="Calibri" w:cs=""/>
                <w:kern w:val="0"/>
                <w:sz w:val="12"/>
                <w:szCs w:val="12"/>
                <w:lang w:val="ru-RU" w:eastAsia="en-US" w:bidi="ar-SA"/>
              </w:rPr>
            </w:pPr>
            <w:r>
              <w:rPr>
                <w:rFonts w:eastAsia="Calibri" w:cs=""/>
                <w:kern w:val="0"/>
                <w:sz w:val="12"/>
                <w:szCs w:val="12"/>
                <w:lang w:val="ru-RU" w:eastAsia="en-US" w:bidi="ar-SA"/>
              </w:rPr>
            </w:r>
          </w:p>
          <w:p>
            <w:pPr>
              <w:pStyle w:val="Style31"/>
              <w:widowControl w:val="false"/>
              <w:suppressAutoHyphens w:val="true"/>
              <w:spacing w:before="60" w:after="60"/>
              <w:rPr>
                <w:b/>
                <w:bCs/>
                <w:i/>
                <w:i/>
                <w:iCs/>
                <w:sz w:val="24"/>
                <w:szCs w:val="24"/>
              </w:rPr>
            </w:pPr>
            <w:r>
              <w:rPr>
                <w:rFonts w:eastAsia="Calibri" w:cs=""/>
                <w:b/>
                <w:bCs/>
                <w:i/>
                <w:iCs/>
                <w:kern w:val="0"/>
                <w:sz w:val="24"/>
                <w:szCs w:val="24"/>
                <w:lang w:val="ru-RU" w:eastAsia="en-US" w:bidi="ar-SA"/>
              </w:rPr>
              <w:t>«ОКПД2 19.20.29.160 Поставка масла турбинного марки ТП-30 для гидротурбины ст.№18 для нужд филиала ПАО "РусГидро" –"Саратовская ГЭС"в рамках инвестиционного проекта Т-1300-205»</w:t>
            </w:r>
          </w:p>
          <w:p>
            <w:pPr>
              <w:pStyle w:val="Style31"/>
              <w:widowControl w:val="false"/>
              <w:suppressAutoHyphens w:val="true"/>
              <w:spacing w:before="60" w:after="60"/>
              <w:rPr>
                <w:rFonts w:ascii="Times New Roman" w:hAnsi="Times New Roman" w:eastAsia="Calibri" w:cs=""/>
                <w:b/>
                <w:bCs/>
                <w:i/>
                <w:i/>
                <w:iCs/>
                <w:kern w:val="0"/>
                <w:sz w:val="12"/>
                <w:szCs w:val="12"/>
                <w:lang w:val="ru-RU" w:eastAsia="en-US" w:bidi="ar-SA"/>
              </w:rPr>
            </w:pPr>
            <w:r>
              <w:rPr>
                <w:rFonts w:eastAsia="Calibri" w:cs=""/>
                <w:b/>
                <w:bCs/>
                <w:i/>
                <w:iCs/>
                <w:kern w:val="0"/>
                <w:sz w:val="12"/>
                <w:szCs w:val="1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35729276"/>
            <w:bookmarkStart w:id="15" w:name="_Ref135729276"/>
            <w:bookmarkEnd w:id="15"/>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52"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7124"/>
            <w:bookmarkStart w:id="17" w:name="_Ref125367124"/>
            <w:bookmarkEnd w:id="17"/>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764"/>
            <w:bookmarkStart w:id="19" w:name="_Ref125360764"/>
            <w:bookmarkEnd w:id="19"/>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52" w:type="dxa"/>
            <w:tcBorders/>
          </w:tcPr>
          <w:p>
            <w:pPr>
              <w:pStyle w:val="Normal"/>
              <w:widowControl w:val="false"/>
              <w:suppressAutoHyphens w:val="true"/>
              <w:spacing w:before="120" w:after="0"/>
              <w:rPr>
                <w:sz w:val="26"/>
                <w:szCs w:val="26"/>
              </w:rPr>
            </w:pPr>
            <w:r>
              <w:rPr>
                <w:rFonts w:eastAsia="Calibri" w:cs=""/>
                <w:kern w:val="0"/>
                <w:sz w:val="26"/>
                <w:szCs w:val="22"/>
                <w:lang w:val="ru-RU" w:eastAsia="en-US" w:bidi="ar-SA"/>
              </w:rPr>
              <w:t xml:space="preserve">Электронная площадка: </w:t>
            </w:r>
            <w:r>
              <w:rPr>
                <w:sz w:val="26"/>
                <w:szCs w:val="26"/>
              </w:rPr>
              <w:t>Акционерное общество «Российский аукционный дом» (ИНН: 7838430413, КПП: 783801001, ОГРН: 1097847233351).</w:t>
            </w:r>
          </w:p>
          <w:p>
            <w:pPr>
              <w:pStyle w:val="Normal"/>
              <w:widowControl w:val="false"/>
              <w:suppressAutoHyphens w:val="true"/>
              <w:rPr>
                <w:sz w:val="26"/>
                <w:szCs w:val="26"/>
              </w:rPr>
            </w:pPr>
            <w:r>
              <w:rPr>
                <w:sz w:val="26"/>
                <w:szCs w:val="26"/>
              </w:rPr>
              <w:t>Место нахождения и Почтовый адрес: РФ, 190000, г. Санкт-Петербург, переулок Гривцова, дом 5, литера B.</w:t>
            </w:r>
          </w:p>
          <w:p>
            <w:pPr>
              <w:pStyle w:val="Normal"/>
              <w:widowControl w:val="false"/>
              <w:tabs>
                <w:tab w:val="clear" w:pos="708"/>
                <w:tab w:val="left" w:pos="426" w:leader="none"/>
              </w:tabs>
              <w:suppressAutoHyphens w:val="true"/>
              <w:spacing w:before="120" w:after="120"/>
              <w:rPr/>
            </w:pPr>
            <w:r>
              <w:rPr>
                <w:rFonts w:eastAsia="Calibri" w:cs=""/>
                <w:kern w:val="0"/>
                <w:sz w:val="26"/>
                <w:szCs w:val="26"/>
                <w:lang w:val="ru-RU" w:eastAsia="en-US" w:bidi="ar-SA"/>
              </w:rPr>
              <w:t xml:space="preserve">ЭТП РАД | «Закупки 223-ФЗ» </w:t>
            </w:r>
            <w:hyperlink r:id="rId2">
              <w:r>
                <w:rPr>
                  <w:rStyle w:val="Hyperlink"/>
                  <w:rFonts w:eastAsia="Calibri" w:cs=""/>
                  <w:kern w:val="0"/>
                  <w:sz w:val="26"/>
                  <w:szCs w:val="26"/>
                  <w:lang w:val="ru-RU" w:eastAsia="en-US" w:bidi="ar-SA"/>
                </w:rPr>
                <w:t>https://tender.lot-online.ru</w:t>
              </w:r>
            </w:hyperlink>
            <w:r>
              <w:rPr>
                <w:rFonts w:eastAsia="Calibri" w:cs=""/>
                <w:kern w:val="0"/>
                <w:sz w:val="26"/>
                <w:szCs w:val="26"/>
                <w:lang w:val="ru-RU" w:eastAsia="en-US" w:bidi="ar-SA"/>
              </w:rPr>
              <w:t>.</w:t>
            </w:r>
          </w:p>
          <w:p>
            <w:pPr>
              <w:pStyle w:val="Normal"/>
              <w:widowControl w:val="false"/>
              <w:tabs>
                <w:tab w:val="clear" w:pos="708"/>
                <w:tab w:val="left" w:pos="426" w:leader="none"/>
              </w:tabs>
              <w:suppressAutoHyphens w:val="true"/>
              <w:spacing w:before="120" w:after="120"/>
              <w:rPr/>
            </w:pPr>
            <w:r>
              <w:rPr>
                <w:rFonts w:eastAsia="Calibri" w:cs=""/>
                <w:kern w:val="0"/>
                <w:sz w:val="26"/>
                <w:szCs w:val="26"/>
                <w:lang w:val="ru-RU" w:eastAsia="en-US" w:bidi="ar-SA"/>
              </w:rPr>
              <w:t xml:space="preserve">Регламент ЭП, в соответствии с которым проводится закупка, размещен по адресу:  </w:t>
            </w:r>
            <w:r>
              <w:rPr>
                <w:rStyle w:val="Hyperlink"/>
                <w:rFonts w:eastAsia="Calibri" w:cs=""/>
                <w:kern w:val="0"/>
                <w:sz w:val="26"/>
                <w:szCs w:val="26"/>
                <w:lang w:val="ru-RU" w:eastAsia="en-US" w:bidi="ar-SA"/>
              </w:rPr>
              <w:t>https://tender.lot- online.ru/etp/reglament_223.pdf</w:t>
            </w:r>
          </w:p>
          <w:p>
            <w:pPr>
              <w:pStyle w:val="Style31"/>
              <w:widowControl w:val="false"/>
              <w:suppressAutoHyphens w:val="true"/>
              <w:spacing w:before="60" w:after="60"/>
              <w:rPr>
                <w:sz w:val="26"/>
                <w:szCs w:val="26"/>
              </w:rPr>
            </w:pPr>
            <w:r>
              <w:rPr>
                <w:sz w:val="26"/>
                <w:szCs w:val="26"/>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70"/>
            <w:bookmarkStart w:id="21" w:name="_Ref125360970"/>
            <w:bookmarkEnd w:id="21"/>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любые лица, заинтересованные в предмете закупки.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sz w:val="22"/>
                <w:szCs w:val="22"/>
              </w:rPr>
            </w:pPr>
            <w:r>
              <w:rPr>
                <w:rFonts w:eastAsia="Calibri" w:cs=""/>
                <w:kern w:val="0"/>
                <w:sz w:val="24"/>
                <w:szCs w:val="24"/>
                <w:lang w:val="ru-RU" w:eastAsia="en-US" w:bidi="ar-SA"/>
              </w:rPr>
              <w:t>Участник должен обладать гражданской правоспособностью в полном объеме для заключения и исполнения Договора, а также на момент подведения итогов должен обладать статусом «</w:t>
            </w:r>
            <w:r>
              <w:rPr>
                <w:rFonts w:eastAsia="Calibri" w:cs=""/>
                <w:b/>
                <w:bCs/>
                <w:i/>
                <w:iCs/>
                <w:kern w:val="0"/>
                <w:sz w:val="24"/>
                <w:szCs w:val="24"/>
                <w:lang w:val="ru-RU" w:eastAsia="en-US" w:bidi="ar-SA"/>
              </w:rPr>
              <w:t>аккредитован в Группе компаний «РусГидро»</w:t>
            </w:r>
            <w:r>
              <w:rPr>
                <w:rFonts w:eastAsia="Calibri" w:cs=""/>
                <w:kern w:val="0"/>
                <w:sz w:val="24"/>
                <w:szCs w:val="24"/>
                <w:lang w:val="ru-RU" w:eastAsia="en-US" w:bidi="ar-SA"/>
              </w:rPr>
              <w:t xml:space="preserve">  соответствии с Положением об аккредитации, либо являться лицом, указанным в пункте 3.11 Положения об аккредитации (</w:t>
            </w:r>
            <w:hyperlink r:id="rId3">
              <w:r>
                <w:rPr>
                  <w:rStyle w:val="Hyperlink"/>
                  <w:rFonts w:eastAsia="Calibri" w:cs=""/>
                  <w:kern w:val="0"/>
                  <w:sz w:val="24"/>
                  <w:szCs w:val="24"/>
                  <w:lang w:val="ru-RU" w:eastAsia="en-US" w:bidi="ar-SA"/>
                </w:rPr>
                <w:t>http://accreditation.rushydro.ru/accreditation/information</w:t>
              </w:r>
            </w:hyperlink>
            <w:r>
              <w:rPr>
                <w:rFonts w:eastAsia="Calibri" w:cs=""/>
                <w:kern w:val="0"/>
                <w:sz w:val="24"/>
                <w:szCs w:val="24"/>
                <w:lang w:val="ru-RU" w:eastAsia="en-US" w:bidi="ar-SA"/>
              </w:rPr>
              <w:t>)</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88"/>
            <w:bookmarkStart w:id="23" w:name="_Ref125360988"/>
            <w:bookmarkEnd w:id="23"/>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52" w:type="dxa"/>
            <w:tcBorders/>
          </w:tcPr>
          <w:p>
            <w:pPr>
              <w:pStyle w:val="Style31"/>
              <w:keepNext w:val="true"/>
              <w:widowControl w:val="false"/>
              <w:suppressAutoHyphens w:val="true"/>
              <w:spacing w:before="60" w:after="60"/>
              <w:rPr/>
            </w:pPr>
            <w:r>
              <w:rPr>
                <w:rFonts w:eastAsia="Calibri" w:cs=""/>
                <w:kern w:val="0"/>
                <w:sz w:val="26"/>
                <w:szCs w:val="22"/>
                <w:lang w:val="ru-RU" w:eastAsia="en-US" w:bidi="ar-SA"/>
              </w:rPr>
              <w:t>Наименование (полное):</w:t>
            </w:r>
          </w:p>
          <w:p>
            <w:pPr>
              <w:pStyle w:val="Style31"/>
              <w:widowControl w:val="false"/>
              <w:suppressAutoHyphens w:val="true"/>
              <w:spacing w:before="60" w:after="60"/>
              <w:rPr>
                <w:b w:val="false"/>
                <w:bCs w:val="false"/>
              </w:rPr>
            </w:pPr>
            <w:r>
              <w:rPr>
                <w:rFonts w:eastAsia="Calibri" w:cs=""/>
                <w:b w:val="false"/>
                <w:bCs w:val="false"/>
                <w:i w:val="false"/>
                <w:iCs w:val="false"/>
                <w:kern w:val="0"/>
                <w:sz w:val="26"/>
                <w:szCs w:val="22"/>
                <w:lang w:val="ru-RU" w:eastAsia="en-US" w:bidi="ar-SA"/>
              </w:rPr>
              <w:t>Филиал Публичного акционерного общества «Федеральная гидрогенерирующая компания – РусГидро» – «Саратовская ГЭС</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(сокращенное):</w:t>
            </w:r>
          </w:p>
          <w:p>
            <w:pPr>
              <w:pStyle w:val="Tableheader"/>
              <w:widowControl w:val="false"/>
              <w:suppressAutoHyphens w:val="true"/>
              <w:spacing w:before="120" w:after="0"/>
              <w:rPr>
                <w:b/>
                <w:bCs/>
              </w:rPr>
            </w:pPr>
            <w:r>
              <w:rPr>
                <w:b/>
                <w:bCs/>
                <w:sz w:val="24"/>
              </w:rPr>
              <w:t>Филиал ПАО «РусГидро» – «Саратовская ГЭС»</w:t>
            </w:r>
          </w:p>
          <w:p>
            <w:pPr>
              <w:pStyle w:val="Tableheader"/>
              <w:widowControl w:val="false"/>
              <w:suppressAutoHyphens w:val="true"/>
              <w:rPr>
                <w:b w:val="false"/>
                <w:sz w:val="24"/>
              </w:rPr>
            </w:pPr>
            <w:r>
              <w:rPr>
                <w:b w:val="false"/>
                <w:sz w:val="26"/>
                <w:szCs w:val="26"/>
              </w:rPr>
              <w:t>Место нахождения:</w:t>
            </w:r>
            <w:r>
              <w:rPr>
                <w:b w:val="false"/>
                <w:sz w:val="24"/>
              </w:rPr>
              <w:t xml:space="preserve"> </w:t>
            </w:r>
          </w:p>
          <w:p>
            <w:pPr>
              <w:pStyle w:val="Tableheader"/>
              <w:widowControl w:val="false"/>
              <w:suppressAutoHyphens w:val="true"/>
              <w:rPr>
                <w:b w:val="false"/>
                <w:bCs w:val="false"/>
              </w:rPr>
            </w:pPr>
            <w:r>
              <w:rPr>
                <w:b w:val="false"/>
                <w:bCs w:val="false"/>
                <w:sz w:val="24"/>
              </w:rPr>
              <w:t xml:space="preserve">660017, Красноярский край, г. Красноярск, </w:t>
            </w:r>
            <w:r>
              <w:rPr>
                <w:rFonts w:eastAsia="Calibri" w:cs=""/>
                <w:b w:val="false"/>
                <w:bCs w:val="false"/>
                <w:kern w:val="0"/>
                <w:sz w:val="26"/>
                <w:szCs w:val="22"/>
                <w:lang w:val="ru-RU" w:eastAsia="en-US" w:bidi="ar-SA"/>
              </w:rPr>
              <w:t>ул. Перенсона, зд. 2а, помещ. 1</w:t>
            </w:r>
          </w:p>
          <w:p>
            <w:pPr>
              <w:pStyle w:val="Tableheader"/>
              <w:widowControl w:val="false"/>
              <w:suppressAutoHyphens w:val="true"/>
              <w:rPr>
                <w:b w:val="false"/>
                <w:sz w:val="24"/>
              </w:rPr>
            </w:pPr>
            <w:r>
              <w:rPr>
                <w:b w:val="false"/>
                <w:sz w:val="26"/>
                <w:szCs w:val="26"/>
              </w:rPr>
              <w:t>Почтовый адрес:</w:t>
            </w:r>
            <w:r>
              <w:rPr>
                <w:b w:val="false"/>
                <w:sz w:val="24"/>
              </w:rPr>
              <w:t xml:space="preserve"> </w:t>
            </w:r>
          </w:p>
          <w:p>
            <w:pPr>
              <w:pStyle w:val="Tableheader"/>
              <w:widowControl w:val="false"/>
              <w:suppressAutoHyphens w:val="true"/>
              <w:rPr>
                <w:b/>
                <w:bCs/>
              </w:rPr>
            </w:pPr>
            <w:r>
              <w:rPr>
                <w:b/>
                <w:bCs/>
                <w:sz w:val="24"/>
              </w:rPr>
              <w:t xml:space="preserve">413865, регион 64, Саратовская ГЭС,  г. Балаково, Саратовская ГЭС </w:t>
            </w:r>
          </w:p>
          <w:p>
            <w:pPr>
              <w:pStyle w:val="Tableheader"/>
              <w:widowControl w:val="false"/>
              <w:suppressAutoHyphens w:val="true"/>
              <w:rPr>
                <w:b w:val="false"/>
                <w:sz w:val="24"/>
              </w:rPr>
            </w:pPr>
            <w:r>
              <w:rPr>
                <w:b w:val="false"/>
                <w:sz w:val="26"/>
                <w:szCs w:val="26"/>
              </w:rPr>
              <w:t xml:space="preserve">Адрес электронной почты: </w:t>
            </w:r>
          </w:p>
          <w:p>
            <w:pPr>
              <w:pStyle w:val="Tableheader"/>
              <w:widowControl w:val="false"/>
              <w:suppressAutoHyphens w:val="true"/>
              <w:rPr/>
            </w:pPr>
            <w:hyperlink r:id="rId4">
              <w:r>
                <w:rPr>
                  <w:rStyle w:val="Hyperlink"/>
                  <w:b/>
                  <w:bCs/>
                  <w:i/>
                  <w:iCs/>
                  <w:sz w:val="24"/>
                </w:rPr>
                <w:t>sarges@rushydro.ru</w:t>
              </w:r>
            </w:hyperlink>
            <w:r>
              <w:rPr>
                <w:b/>
                <w:bCs/>
                <w:i/>
                <w:iCs/>
                <w:sz w:val="24"/>
              </w:rPr>
              <w:t xml:space="preserve">; </w:t>
            </w:r>
            <w:r>
              <w:rPr>
                <w:rStyle w:val="Hyperlink"/>
                <w:b/>
                <w:bCs/>
                <w:i/>
                <w:iCs/>
                <w:sz w:val="24"/>
              </w:rPr>
              <w:t>demchenkoms@rushydro.ru</w:t>
            </w:r>
          </w:p>
          <w:p>
            <w:pPr>
              <w:pStyle w:val="Normal"/>
              <w:widowControl w:val="false"/>
              <w:tabs>
                <w:tab w:val="clear" w:pos="708"/>
                <w:tab w:val="left" w:pos="426" w:leader="none"/>
              </w:tabs>
              <w:suppressAutoHyphens w:val="true"/>
              <w:spacing w:before="120" w:after="120"/>
              <w:rPr>
                <w:rFonts w:eastAsia="Lucida Sans Unicode"/>
                <w:i/>
                <w:i/>
                <w:kern w:val="2"/>
                <w:shd w:fill="FFFF99" w:val="clear"/>
              </w:rPr>
            </w:pPr>
            <w:r>
              <w:rPr>
                <w:sz w:val="26"/>
                <w:szCs w:val="26"/>
              </w:rPr>
              <w:t>Контактный телефон:</w:t>
            </w:r>
            <w:r>
              <w:rPr>
                <w:sz w:val="24"/>
                <w:szCs w:val="24"/>
              </w:rPr>
              <w:t xml:space="preserve"> </w:t>
            </w:r>
          </w:p>
          <w:p>
            <w:pPr>
              <w:pStyle w:val="Normal"/>
              <w:widowControl w:val="false"/>
              <w:tabs>
                <w:tab w:val="clear" w:pos="708"/>
                <w:tab w:val="left" w:pos="426" w:leader="none"/>
              </w:tabs>
              <w:suppressAutoHyphens w:val="true"/>
              <w:spacing w:before="120" w:after="120"/>
              <w:rPr>
                <w:b/>
                <w:bCs/>
                <w:i/>
                <w:i/>
                <w:iCs/>
              </w:rPr>
            </w:pPr>
            <w:r>
              <w:rPr>
                <w:b/>
                <w:bCs/>
                <w:i/>
                <w:iCs/>
                <w:sz w:val="24"/>
                <w:szCs w:val="24"/>
              </w:rPr>
              <w:t>+7(8453)442065; +7(8453)495456</w:t>
            </w:r>
          </w:p>
          <w:p>
            <w:pPr>
              <w:pStyle w:val="Style31"/>
              <w:widowControl w:val="false"/>
              <w:suppressAutoHyphens w:val="true"/>
              <w:spacing w:before="60" w:after="60"/>
              <w:rPr>
                <w:rStyle w:val="Style11"/>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54"/>
            <w:bookmarkStart w:id="25" w:name="_Ref125360954"/>
            <w:bookmarkEnd w:id="25"/>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52" w:type="dxa"/>
            <w:tcBorders/>
          </w:tcPr>
          <w:p>
            <w:pPr>
              <w:pStyle w:val="Style31"/>
              <w:keepNext w:val="true"/>
              <w:widowControl w:val="false"/>
              <w:suppressAutoHyphens w:val="true"/>
              <w:spacing w:before="60" w:after="60"/>
              <w:rPr/>
            </w:pPr>
            <w:r>
              <w:rPr>
                <w:rFonts w:eastAsia="Calibri" w:cs=""/>
                <w:kern w:val="0"/>
                <w:sz w:val="26"/>
                <w:szCs w:val="22"/>
                <w:lang w:val="ru-RU" w:eastAsia="en-US" w:bidi="ar-SA"/>
              </w:rPr>
              <w:t>Наименование (полное):</w:t>
            </w:r>
          </w:p>
          <w:p>
            <w:pPr>
              <w:pStyle w:val="Style31"/>
              <w:widowControl w:val="false"/>
              <w:suppressAutoHyphens w:val="true"/>
              <w:spacing w:before="60" w:after="60"/>
              <w:rPr>
                <w:b w:val="false"/>
                <w:bCs w:val="false"/>
              </w:rPr>
            </w:pPr>
            <w:r>
              <w:rPr>
                <w:rFonts w:eastAsia="Calibri" w:cs=""/>
                <w:b w:val="false"/>
                <w:bCs w:val="false"/>
                <w:i w:val="false"/>
                <w:iCs w:val="false"/>
                <w:kern w:val="0"/>
                <w:sz w:val="26"/>
                <w:szCs w:val="22"/>
                <w:lang w:val="ru-RU" w:eastAsia="en-US" w:bidi="ar-SA"/>
              </w:rPr>
              <w:t>Филиал Публичного акционерного общества «Федеральная гидрогенерирующая компания – РусГидро» – «Саратовская ГЭС</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(сокращенное):</w:t>
            </w:r>
          </w:p>
          <w:p>
            <w:pPr>
              <w:pStyle w:val="Tableheader"/>
              <w:widowControl w:val="false"/>
              <w:suppressAutoHyphens w:val="true"/>
              <w:spacing w:before="120" w:after="0"/>
              <w:rPr/>
            </w:pPr>
            <w:r>
              <w:rPr>
                <w:b/>
                <w:bCs/>
                <w:sz w:val="24"/>
              </w:rPr>
              <w:t>Филиал ПАО «РусГидро» – «Саратовская ГЭС»</w:t>
            </w:r>
          </w:p>
          <w:p>
            <w:pPr>
              <w:pStyle w:val="Tableheader"/>
              <w:widowControl w:val="false"/>
              <w:suppressAutoHyphens w:val="true"/>
              <w:rPr>
                <w:b w:val="false"/>
                <w:sz w:val="24"/>
              </w:rPr>
            </w:pPr>
            <w:r>
              <w:rPr>
                <w:b w:val="false"/>
                <w:sz w:val="26"/>
                <w:szCs w:val="26"/>
              </w:rPr>
              <w:t>Место нахождения:</w:t>
            </w:r>
            <w:r>
              <w:rPr>
                <w:b w:val="false"/>
                <w:sz w:val="24"/>
              </w:rPr>
              <w:t xml:space="preserve"> </w:t>
            </w:r>
          </w:p>
          <w:p>
            <w:pPr>
              <w:pStyle w:val="Tableheader"/>
              <w:widowControl w:val="false"/>
              <w:suppressAutoHyphens w:val="true"/>
              <w:rPr>
                <w:b/>
                <w:bCs/>
              </w:rPr>
            </w:pPr>
            <w:r>
              <w:rPr>
                <w:b/>
                <w:bCs/>
                <w:sz w:val="24"/>
              </w:rPr>
              <w:t>6</w:t>
            </w:r>
            <w:r>
              <w:rPr>
                <w:b w:val="false"/>
                <w:bCs w:val="false"/>
                <w:sz w:val="24"/>
              </w:rPr>
              <w:t xml:space="preserve">60017, Красноярский край, г. Красноярск, </w:t>
            </w:r>
            <w:r>
              <w:rPr>
                <w:rFonts w:eastAsia="Calibri" w:cs=""/>
                <w:b w:val="false"/>
                <w:bCs w:val="false"/>
                <w:kern w:val="0"/>
                <w:sz w:val="26"/>
                <w:szCs w:val="22"/>
                <w:lang w:val="ru-RU" w:eastAsia="en-US" w:bidi="ar-SA"/>
              </w:rPr>
              <w:t>ул. Перенсона, зд. 2а, помещ. 1</w:t>
            </w:r>
          </w:p>
          <w:p>
            <w:pPr>
              <w:pStyle w:val="Tableheader"/>
              <w:widowControl w:val="false"/>
              <w:suppressAutoHyphens w:val="true"/>
              <w:rPr>
                <w:b w:val="false"/>
                <w:sz w:val="24"/>
              </w:rPr>
            </w:pPr>
            <w:r>
              <w:rPr>
                <w:b w:val="false"/>
                <w:sz w:val="26"/>
                <w:szCs w:val="26"/>
              </w:rPr>
              <w:t>Почтовый адрес:</w:t>
            </w:r>
            <w:r>
              <w:rPr>
                <w:b w:val="false"/>
                <w:sz w:val="24"/>
              </w:rPr>
              <w:t xml:space="preserve"> </w:t>
            </w:r>
          </w:p>
          <w:p>
            <w:pPr>
              <w:pStyle w:val="Tableheader"/>
              <w:widowControl w:val="false"/>
              <w:suppressAutoHyphens w:val="true"/>
              <w:rPr>
                <w:b/>
                <w:bCs/>
              </w:rPr>
            </w:pPr>
            <w:r>
              <w:rPr>
                <w:b/>
                <w:bCs/>
                <w:sz w:val="24"/>
              </w:rPr>
              <w:t xml:space="preserve">413865, регион 64, Саратовская ГЭС,  г. Балаково, Саратовская ГЭС </w:t>
            </w:r>
          </w:p>
          <w:p>
            <w:pPr>
              <w:pStyle w:val="Tableheader"/>
              <w:widowControl w:val="false"/>
              <w:suppressAutoHyphens w:val="true"/>
              <w:rPr>
                <w:b w:val="false"/>
                <w:sz w:val="24"/>
              </w:rPr>
            </w:pPr>
            <w:r>
              <w:rPr>
                <w:b w:val="false"/>
                <w:sz w:val="26"/>
                <w:szCs w:val="26"/>
              </w:rPr>
              <w:t xml:space="preserve">Адрес электронной почты: </w:t>
            </w:r>
          </w:p>
          <w:p>
            <w:pPr>
              <w:pStyle w:val="Tableheader"/>
              <w:widowControl w:val="false"/>
              <w:suppressAutoHyphens w:val="true"/>
              <w:rPr>
                <w:b/>
                <w:bCs/>
                <w:i/>
                <w:i/>
                <w:iCs/>
              </w:rPr>
            </w:pPr>
            <w:hyperlink r:id="rId5">
              <w:r>
                <w:rPr>
                  <w:rStyle w:val="Hyperlink"/>
                  <w:b/>
                  <w:bCs/>
                  <w:i/>
                  <w:iCs/>
                  <w:sz w:val="24"/>
                </w:rPr>
                <w:t>sarges@rushydro.ru</w:t>
              </w:r>
            </w:hyperlink>
            <w:r>
              <w:rPr>
                <w:b/>
                <w:bCs/>
                <w:i/>
                <w:iCs/>
                <w:sz w:val="24"/>
              </w:rPr>
              <w:t xml:space="preserve">; </w:t>
            </w:r>
            <w:hyperlink r:id="rId6">
              <w:r>
                <w:rPr>
                  <w:rStyle w:val="Hyperlink"/>
                  <w:b/>
                  <w:bCs/>
                  <w:i/>
                  <w:iCs/>
                  <w:sz w:val="24"/>
                </w:rPr>
                <w:t>demchenkoms@rushydro.ru</w:t>
              </w:r>
            </w:hyperlink>
          </w:p>
          <w:p>
            <w:pPr>
              <w:pStyle w:val="Normal"/>
              <w:widowControl w:val="false"/>
              <w:tabs>
                <w:tab w:val="clear" w:pos="708"/>
                <w:tab w:val="left" w:pos="426" w:leader="none"/>
              </w:tabs>
              <w:suppressAutoHyphens w:val="true"/>
              <w:spacing w:before="120" w:after="120"/>
              <w:rPr>
                <w:rFonts w:eastAsia="Lucida Sans Unicode"/>
                <w:i/>
                <w:i/>
                <w:kern w:val="2"/>
                <w:shd w:fill="FFFF99" w:val="clear"/>
              </w:rPr>
            </w:pPr>
            <w:r>
              <w:rPr>
                <w:sz w:val="26"/>
                <w:szCs w:val="26"/>
              </w:rPr>
              <w:t>Контактный телефон:</w:t>
            </w:r>
            <w:r>
              <w:rPr>
                <w:sz w:val="24"/>
                <w:szCs w:val="24"/>
              </w:rPr>
              <w:t xml:space="preserve"> </w:t>
            </w:r>
          </w:p>
          <w:p>
            <w:pPr>
              <w:pStyle w:val="Normal"/>
              <w:widowControl w:val="false"/>
              <w:tabs>
                <w:tab w:val="clear" w:pos="708"/>
                <w:tab w:val="left" w:pos="426" w:leader="none"/>
              </w:tabs>
              <w:suppressAutoHyphens w:val="true"/>
              <w:spacing w:before="120" w:after="120"/>
              <w:rPr/>
            </w:pPr>
            <w:r>
              <w:rPr>
                <w:b/>
                <w:bCs/>
                <w:i/>
                <w:iCs/>
                <w:sz w:val="24"/>
                <w:szCs w:val="24"/>
              </w:rPr>
              <w:t>+7(8453)442065; +7(8453)495456</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1238"/>
            <w:bookmarkStart w:id="27" w:name="_Ref125361238"/>
            <w:bookmarkEnd w:id="27"/>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52" w:type="dxa"/>
            <w:tcBorders/>
          </w:tcPr>
          <w:p>
            <w:pPr>
              <w:pStyle w:val="Style31"/>
              <w:keepNext w:val="true"/>
              <w:widowControl w:val="false"/>
              <w:suppressAutoHyphens w:val="true"/>
              <w:spacing w:before="60" w:after="60"/>
              <w:rPr/>
            </w:pPr>
            <w:r>
              <w:rPr>
                <w:rFonts w:eastAsia="Calibri" w:cs=""/>
                <w:kern w:val="0"/>
                <w:sz w:val="26"/>
                <w:szCs w:val="22"/>
                <w:lang w:val="ru-RU" w:eastAsia="en-US" w:bidi="ar-SA"/>
              </w:rPr>
              <w:t>Контактное лицо (Ф.И.О.):</w:t>
            </w:r>
          </w:p>
          <w:p>
            <w:pPr>
              <w:pStyle w:val="Style31"/>
              <w:widowControl w:val="false"/>
              <w:suppressAutoHyphens w:val="true"/>
              <w:spacing w:before="60" w:after="60"/>
              <w:rPr>
                <w:rFonts w:ascii="Times New Roman" w:hAnsi="Times New Roman" w:eastAsia="Calibri" w:cs=""/>
                <w:b/>
                <w:bCs/>
                <w:i/>
                <w:i/>
                <w:iCs/>
                <w:kern w:val="0"/>
                <w:sz w:val="26"/>
                <w:szCs w:val="22"/>
                <w:lang w:val="ru-RU" w:eastAsia="en-US" w:bidi="ar-SA"/>
              </w:rPr>
            </w:pPr>
            <w:r>
              <w:rPr>
                <w:rFonts w:eastAsia="Calibri" w:cs=""/>
                <w:b/>
                <w:bCs/>
                <w:i/>
                <w:iCs/>
                <w:kern w:val="0"/>
                <w:sz w:val="26"/>
                <w:szCs w:val="22"/>
                <w:lang w:val="ru-RU" w:eastAsia="en-US" w:bidi="ar-SA"/>
              </w:rPr>
              <w:t>Демченко Марина Сергеевна</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w:t>
            </w:r>
          </w:p>
          <w:p>
            <w:pPr>
              <w:pStyle w:val="Tableheader"/>
              <w:widowControl w:val="false"/>
              <w:suppressAutoHyphens w:val="true"/>
              <w:rPr>
                <w:b/>
                <w:bCs/>
                <w:i/>
                <w:i/>
                <w:iCs/>
              </w:rPr>
            </w:pPr>
            <w:hyperlink r:id="rId7">
              <w:r>
                <w:rPr>
                  <w:rStyle w:val="Hyperlink"/>
                  <w:b/>
                  <w:bCs/>
                  <w:i/>
                  <w:iCs/>
                  <w:sz w:val="24"/>
                </w:rPr>
                <w:t>demchenkoms@rushydro.ru</w:t>
              </w:r>
            </w:hyperlink>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Контактный телефон:</w:t>
            </w:r>
          </w:p>
          <w:p>
            <w:pPr>
              <w:pStyle w:val="Normal"/>
              <w:widowControl w:val="false"/>
              <w:tabs>
                <w:tab w:val="clear" w:pos="708"/>
                <w:tab w:val="left" w:pos="426" w:leader="none"/>
              </w:tabs>
              <w:suppressAutoHyphens w:val="true"/>
              <w:spacing w:before="120" w:after="120"/>
              <w:rPr/>
            </w:pPr>
            <w:r>
              <w:rPr>
                <w:b/>
                <w:bCs/>
                <w:i/>
                <w:iCs/>
                <w:sz w:val="24"/>
                <w:szCs w:val="24"/>
              </w:rPr>
              <w:t>+7(8453)495456</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2694"/>
            <w:bookmarkStart w:id="29" w:name="_Ref125362694"/>
            <w:bookmarkEnd w:id="29"/>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0963"/>
            <w:bookmarkStart w:id="31" w:name="_Ref125360963"/>
            <w:bookmarkEnd w:id="31"/>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52" w:type="dxa"/>
            <w:tcBorders/>
          </w:tcPr>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«28» августа 2026 г.</w:t>
            </w:r>
          </w:p>
          <w:p>
            <w:pPr>
              <w:pStyle w:val="Style31"/>
              <w:widowControl w:val="false"/>
              <w:suppressAutoHyphens w:val="true"/>
              <w:spacing w:before="60" w:after="60"/>
              <w:rPr>
                <w:rStyle w:val="Style11"/>
              </w:rPr>
            </w:pPr>
            <w:r>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837"/>
            <w:bookmarkStart w:id="33" w:name="_Ref125362837"/>
            <w:bookmarkEnd w:id="33"/>
          </w:p>
        </w:tc>
        <w:tc>
          <w:tcPr>
            <w:tcW w:w="3226" w:type="dxa"/>
            <w:tcBorders/>
          </w:tcPr>
          <w:p>
            <w:pPr>
              <w:pStyle w:val="Style31"/>
              <w:widowControl w:val="false"/>
              <w:suppressAutoHyphens w:val="true"/>
              <w:spacing w:before="60" w:after="60"/>
              <w:jc w:val="left"/>
              <w:rPr>
                <w:rFonts w:eastAsia="Calibri" w:cs="" w:cstheme="minorBidi" w:eastAsiaTheme="minorHAnsi"/>
                <w:highlight w:val="none"/>
                <w:shd w:fill="auto" w:val="clear"/>
              </w:rPr>
            </w:pPr>
            <w:r>
              <w:rPr>
                <w:rFonts w:eastAsia="Calibri" w:cs="" w:cstheme="minorBidi" w:eastAsiaTheme="minorHAnsi"/>
                <w:kern w:val="0"/>
                <w:sz w:val="26"/>
                <w:szCs w:val="22"/>
                <w:shd w:fill="auto" w:val="clear"/>
                <w:lang w:val="ru-RU" w:eastAsia="en-US" w:bidi="ar-SA"/>
              </w:rPr>
              <w:t>Начальная (максимальная) цена договора (цена лота):</w:t>
            </w:r>
          </w:p>
        </w:tc>
        <w:tc>
          <w:tcPr>
            <w:tcW w:w="5852" w:type="dxa"/>
            <w:tcBorders/>
          </w:tcPr>
          <w:p>
            <w:pPr>
              <w:pStyle w:val="Style31"/>
              <w:widowControl w:val="false"/>
              <w:suppressAutoHyphens w:val="true"/>
              <w:spacing w:before="60" w:after="60"/>
              <w:rPr>
                <w:highlight w:val="none"/>
                <w:shd w:fill="auto" w:val="clear"/>
              </w:rPr>
            </w:pPr>
            <w:r>
              <w:rPr>
                <w:rFonts w:eastAsia="Calibri" w:cs=""/>
                <w:kern w:val="0"/>
                <w:sz w:val="26"/>
                <w:szCs w:val="22"/>
                <w:shd w:fill="auto" w:val="clear"/>
                <w:lang w:val="ru-RU" w:eastAsia="en-US" w:bidi="ar-SA"/>
              </w:rPr>
              <w:t>НМЦ составляет 8 138 475,00 руб., без учета НДС.</w:t>
            </w:r>
          </w:p>
          <w:p>
            <w:pPr>
              <w:pStyle w:val="Style34"/>
              <w:widowControl w:val="false"/>
              <w:suppressAutoHyphens w:val="true"/>
              <w:spacing w:before="60" w:after="60"/>
              <w:rPr>
                <w:rFonts w:ascii="Times New Roman" w:hAnsi="Times New Roman" w:eastAsia="Calibri" w:cs=""/>
                <w:kern w:val="0"/>
                <w:sz w:val="12"/>
                <w:szCs w:val="12"/>
                <w:highlight w:val="none"/>
                <w:shd w:fill="auto" w:val="clear"/>
                <w:lang w:val="ru-RU" w:eastAsia="en-US" w:bidi="ar-SA"/>
              </w:rPr>
            </w:pPr>
            <w:r>
              <w:rPr>
                <w:rFonts w:eastAsia="Calibri" w:cs=""/>
                <w:kern w:val="0"/>
                <w:sz w:val="12"/>
                <w:szCs w:val="12"/>
                <w:shd w:fill="auto" w:val="clear"/>
                <w:lang w:val="ru-RU" w:eastAsia="en-US" w:bidi="ar-SA"/>
              </w:rPr>
            </w:r>
          </w:p>
          <w:p>
            <w:pPr>
              <w:pStyle w:val="Style31"/>
              <w:widowControl w:val="false"/>
              <w:suppressAutoHyphens w:val="true"/>
              <w:spacing w:before="60" w:after="60"/>
              <w:rPr/>
            </w:pPr>
            <w:r>
              <w:rPr>
                <w:rFonts w:eastAsia="Calibri" w:cs=""/>
                <w:kern w:val="0"/>
                <w:sz w:val="26"/>
                <w:szCs w:val="22"/>
                <w:shd w:fill="auto" w:val="clear"/>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shd w:fill="auto" w:val="clear"/>
                  <w:lang w:val="ru-RU" w:eastAsia="en-US" w:bidi="ar-SA"/>
                </w:rPr>
                <w:t>Приложении № 9</w:t>
              </w:r>
            </w:hyperlink>
            <w:r>
              <w:rPr>
                <w:rFonts w:eastAsia="Calibri" w:cs=""/>
                <w:kern w:val="0"/>
                <w:sz w:val="26"/>
                <w:szCs w:val="22"/>
                <w:shd w:fill="auto" w:val="clear"/>
                <w:lang w:val="ru-RU" w:eastAsia="en-US" w:bidi="ar-SA"/>
              </w:rPr>
              <w:t>.</w:t>
            </w:r>
          </w:p>
          <w:p>
            <w:pPr>
              <w:pStyle w:val="Style31"/>
              <w:widowControl w:val="false"/>
              <w:suppressAutoHyphens w:val="true"/>
              <w:spacing w:before="60" w:after="60"/>
              <w:rPr>
                <w:sz w:val="12"/>
                <w:szCs w:val="12"/>
                <w:highlight w:val="none"/>
                <w:shd w:fill="auto" w:val="clear"/>
              </w:rPr>
            </w:pPr>
            <w:r>
              <w:rPr>
                <w:sz w:val="12"/>
                <w:szCs w:val="12"/>
                <w:shd w:fill="auto" w:val="clear"/>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3076"/>
            <w:bookmarkStart w:id="35" w:name="_Ref125363076"/>
            <w:bookmarkEnd w:id="35"/>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52" w:type="dxa"/>
            <w:tcBorders/>
          </w:tcPr>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Не требуется.</w:t>
            </w:r>
          </w:p>
          <w:p>
            <w:pPr>
              <w:pStyle w:val="Style34"/>
              <w:widowControl w:val="false"/>
              <w:suppressAutoHyphens w:val="true"/>
              <w:spacing w:before="60" w:after="60"/>
              <w:rPr>
                <w:rFonts w:ascii="Times New Roman" w:hAnsi="Times New Roman" w:eastAsia="Calibri" w:cs=""/>
                <w:kern w:val="0"/>
                <w:sz w:val="12"/>
                <w:szCs w:val="12"/>
                <w:lang w:val="ru-RU" w:eastAsia="en-US" w:bidi="ar-SA"/>
              </w:rPr>
            </w:pPr>
            <w:r>
              <w:rPr>
                <w:rFonts w:eastAsia="Calibri" w:cs=""/>
                <w:kern w:val="0"/>
                <w:sz w:val="12"/>
                <w:szCs w:val="12"/>
                <w:lang w:val="ru-RU" w:eastAsia="en-US" w:bidi="ar-SA"/>
              </w:rPr>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995"/>
            <w:bookmarkStart w:id="37" w:name="_Ref125362995"/>
            <w:bookmarkEnd w:id="37"/>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52"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4"/>
              <w:widowControl w:val="false"/>
              <w:suppressAutoHyphens w:val="true"/>
              <w:spacing w:before="60" w:after="60"/>
              <w:rPr>
                <w:rFonts w:ascii="Times New Roman" w:hAnsi="Times New Roman" w:eastAsia="Calibri" w:cs=""/>
                <w:kern w:val="0"/>
                <w:sz w:val="12"/>
                <w:szCs w:val="12"/>
                <w:lang w:val="ru-RU" w:eastAsia="en-US" w:bidi="ar-SA"/>
              </w:rPr>
            </w:pPr>
            <w:r>
              <w:rPr>
                <w:rFonts w:eastAsia="Calibri" w:cs=""/>
                <w:kern w:val="0"/>
                <w:sz w:val="12"/>
                <w:szCs w:val="1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52" w:type="dxa"/>
            <w:tcBorders/>
          </w:tcPr>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Национальный режим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533737"/>
            <w:bookmarkStart w:id="39" w:name="_Ref125533737"/>
            <w:bookmarkEnd w:id="39"/>
          </w:p>
        </w:tc>
        <w:tc>
          <w:tcPr>
            <w:tcW w:w="3226"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5086"/>
            <w:bookmarkStart w:id="41" w:name="_Ref125475086"/>
            <w:bookmarkEnd w:id="41"/>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0779"/>
            <w:bookmarkStart w:id="43" w:name="_Ref125360779"/>
            <w:bookmarkEnd w:id="43"/>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«28» августа 2026 г.</w:t>
            </w:r>
          </w:p>
          <w:p>
            <w:pPr>
              <w:pStyle w:val="Style31"/>
              <w:widowControl w:val="false"/>
              <w:suppressAutoHyphens w:val="true"/>
              <w:spacing w:before="60" w:after="60"/>
              <w:rPr>
                <w:rStyle w:val="Style11"/>
                <w:rFonts w:eastAsia="Calibri" w:cs=""/>
                <w:kern w:val="0"/>
                <w:sz w:val="20"/>
                <w:szCs w:val="20"/>
                <w:lang w:val="ru-RU" w:eastAsia="en-US" w:bidi="ar-SA"/>
              </w:rPr>
            </w:pPr>
            <w:r>
              <w:rPr>
                <w:rFonts w:eastAsia="Calibri" w:cs=""/>
                <w:kern w:val="0"/>
                <w:sz w:val="20"/>
                <w:szCs w:val="20"/>
                <w:lang w:val="ru-RU" w:eastAsia="en-US" w:bidi="ar-SA"/>
              </w:rPr>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«8» сентября 2026 г.. в 13 ч. 00 мин.</w:t>
            </w:r>
          </w:p>
          <w:p>
            <w:pPr>
              <w:pStyle w:val="Style31"/>
              <w:widowControl w:val="false"/>
              <w:suppressAutoHyphens w:val="true"/>
              <w:spacing w:before="60" w:after="60"/>
              <w:rPr>
                <w:rFonts w:ascii="Times New Roman" w:hAnsi="Times New Roman" w:eastAsia="Calibri" w:cs=""/>
                <w:i/>
                <w:i/>
                <w:iCs/>
                <w:kern w:val="0"/>
                <w:sz w:val="24"/>
                <w:szCs w:val="24"/>
                <w:lang w:val="ru-RU" w:eastAsia="en-US" w:bidi="ar-SA"/>
              </w:rPr>
            </w:pPr>
            <w:r>
              <w:rPr>
                <w:rFonts w:eastAsia="Calibri" w:cs=""/>
                <w:i/>
                <w:iCs/>
                <w:kern w:val="0"/>
                <w:sz w:val="24"/>
                <w:szCs w:val="24"/>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0"/>
                <w:szCs w:val="20"/>
                <w:lang w:val="ru-RU" w:eastAsia="en-US" w:bidi="ar-SA"/>
              </w:rPr>
            </w:pPr>
            <w:r>
              <w:rPr>
                <w:rFonts w:eastAsia="Calibri" w:cs=""/>
                <w:kern w:val="0"/>
                <w:sz w:val="20"/>
                <w:szCs w:val="20"/>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«8» сентября 2026 г.. в 13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4"/>
                <w:szCs w:val="24"/>
                <w:lang w:val="ru-RU" w:eastAsia="en-US" w:bidi="ar-SA"/>
              </w:rPr>
              <w:t>(по московскому времени)</w:t>
            </w:r>
            <w:r>
              <w:rPr>
                <w:rFonts w:eastAsia="Calibri" w:cs=""/>
                <w:kern w:val="0"/>
                <w:sz w:val="26"/>
                <w:szCs w:val="22"/>
                <w:lang w:val="ru-RU" w:eastAsia="en-US" w:bidi="ar-SA"/>
              </w:rPr>
              <w:t>.</w:t>
            </w:r>
          </w:p>
          <w:p>
            <w:pPr>
              <w:pStyle w:val="Style34"/>
              <w:widowControl w:val="false"/>
              <w:suppressAutoHyphens w:val="true"/>
              <w:spacing w:before="60" w:after="60"/>
              <w:rPr>
                <w:rFonts w:ascii="Times New Roman" w:hAnsi="Times New Roman" w:eastAsia="Calibri" w:cs=""/>
                <w:kern w:val="0"/>
                <w:sz w:val="12"/>
                <w:szCs w:val="12"/>
                <w:lang w:val="ru-RU" w:eastAsia="en-US" w:bidi="ar-SA"/>
              </w:rPr>
            </w:pPr>
            <w:r>
              <w:rPr>
                <w:rFonts w:eastAsia="Calibri" w:cs=""/>
                <w:kern w:val="0"/>
                <w:sz w:val="12"/>
                <w:szCs w:val="12"/>
                <w:lang w:val="ru-RU" w:eastAsia="en-US" w:bidi="ar-SA"/>
              </w:rPr>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6197"/>
            <w:bookmarkStart w:id="45" w:name="_Ref125476197"/>
            <w:bookmarkEnd w:id="45"/>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33"/>
            <w:bookmarkStart w:id="47" w:name="_Ref125362733"/>
            <w:bookmarkEnd w:id="47"/>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852" w:type="dxa"/>
            <w:tcBorders/>
          </w:tcPr>
          <w:p>
            <w:pPr>
              <w:pStyle w:val="Style31"/>
              <w:widowControl w:val="false"/>
              <w:suppressAutoHyphens w:val="true"/>
              <w:spacing w:before="60" w:after="60"/>
              <w:rPr>
                <w:b/>
                <w:bCs/>
                <w:i/>
                <w:i/>
                <w:iCs/>
              </w:rPr>
            </w:pPr>
            <w:r>
              <w:rPr>
                <w:rFonts w:eastAsia="Calibri" w:cs=""/>
                <w:b/>
                <w:bCs/>
                <w:i/>
                <w:iCs/>
                <w:kern w:val="0"/>
                <w:sz w:val="26"/>
                <w:szCs w:val="22"/>
                <w:lang w:val="ru-RU" w:eastAsia="en-US" w:bidi="ar-SA"/>
              </w:rPr>
              <w:t>«25» сентября 2026 г.. в 13 ч. 00 мин.</w:t>
            </w:r>
          </w:p>
          <w:p>
            <w:pPr>
              <w:pStyle w:val="Style31"/>
              <w:widowControl w:val="false"/>
              <w:suppressAutoHyphens w:val="true"/>
              <w:spacing w:before="60" w:after="60"/>
              <w:rPr>
                <w:rStyle w:val="Style11"/>
              </w:rPr>
            </w:pPr>
            <w:r>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852" w:type="dxa"/>
            <w:tcBorders/>
          </w:tcPr>
          <w:p>
            <w:pPr>
              <w:pStyle w:val="Style31"/>
              <w:widowControl w:val="false"/>
              <w:suppressAutoHyphens w:val="true"/>
              <w:spacing w:before="60" w:after="60"/>
              <w:rPr>
                <w:rFonts w:ascii="Times New Roman" w:hAnsi="Times New Roman" w:eastAsia="Calibri" w:cs=""/>
                <w:b/>
                <w:bCs/>
                <w:i/>
                <w:i/>
                <w:iCs/>
                <w:kern w:val="0"/>
                <w:sz w:val="26"/>
                <w:szCs w:val="22"/>
                <w:lang w:val="ru-RU" w:eastAsia="en-US" w:bidi="ar-SA"/>
              </w:rPr>
            </w:pPr>
            <w:r>
              <w:rPr>
                <w:rFonts w:eastAsia="Calibri" w:cs=""/>
                <w:b/>
                <w:bCs/>
                <w:i/>
                <w:iCs/>
                <w:kern w:val="0"/>
                <w:sz w:val="26"/>
                <w:szCs w:val="22"/>
                <w:lang w:val="ru-RU" w:eastAsia="en-US" w:bidi="ar-SA"/>
              </w:rPr>
              <w:t>Не предусмотрено.</w:t>
            </w:r>
          </w:p>
          <w:p>
            <w:pPr>
              <w:pStyle w:val="Style31"/>
              <w:widowControl w:val="false"/>
              <w:suppressAutoHyphens w:val="true"/>
              <w:spacing w:before="60" w:after="60"/>
              <w:rPr>
                <w:rFonts w:ascii="Times New Roman" w:hAnsi="Times New Roman" w:eastAsia="Calibri" w:cs=""/>
                <w:b/>
                <w:bCs/>
                <w:i/>
                <w:i/>
                <w:iCs/>
                <w:kern w:val="0"/>
                <w:sz w:val="12"/>
                <w:szCs w:val="12"/>
                <w:lang w:val="ru-RU" w:eastAsia="en-US" w:bidi="ar-SA"/>
              </w:rPr>
            </w:pPr>
            <w:r>
              <w:rPr>
                <w:rFonts w:eastAsia="Calibri" w:cs=""/>
                <w:b/>
                <w:bCs/>
                <w:i/>
                <w:iCs/>
                <w:kern w:val="0"/>
                <w:sz w:val="12"/>
                <w:szCs w:val="12"/>
                <w:lang w:val="ru-RU" w:eastAsia="en-US" w:bidi="ar-SA"/>
              </w:rPr>
            </w:r>
          </w:p>
          <w:p>
            <w:pPr>
              <w:pStyle w:val="Normal"/>
              <w:widowControl w:val="false"/>
              <w:suppressAutoHyphens w:val="true"/>
              <w:spacing w:before="120" w:after="120"/>
              <w:rPr/>
            </w:pPr>
            <w:r>
              <w:rPr/>
              <w:t xml:space="preserve">Участники могут подать ценовые предложения единожды </w:t>
            </w:r>
            <w:r>
              <w:rPr>
                <w:u w:val="single"/>
              </w:rPr>
              <w:t>до срока окончания подачи заявок.</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362757"/>
            <w:bookmarkStart w:id="49" w:name="_Ref125362757"/>
            <w:bookmarkEnd w:id="49"/>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52" w:type="dxa"/>
            <w:tcBorders/>
          </w:tcPr>
          <w:p>
            <w:pPr>
              <w:pStyle w:val="Style31"/>
              <w:widowControl w:val="false"/>
              <w:suppressAutoHyphens w:val="true"/>
              <w:spacing w:before="60" w:after="60"/>
              <w:rPr/>
            </w:pPr>
            <w:r>
              <w:rPr>
                <w:rFonts w:eastAsia="Calibri" w:cs=""/>
                <w:b/>
                <w:bCs/>
                <w:i/>
                <w:iCs/>
                <w:kern w:val="0"/>
                <w:sz w:val="26"/>
                <w:szCs w:val="22"/>
                <w:lang w:val="ru-RU" w:eastAsia="en-US" w:bidi="ar-SA"/>
              </w:rPr>
              <w:t>«8» сентября 2026 г.. в 13 ч. 00 мин.</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1769"/>
            <w:bookmarkStart w:id="51" w:name="_Ref125361769"/>
            <w:bookmarkEnd w:id="51"/>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852" w:type="dxa"/>
            <w:tcBorders/>
          </w:tcPr>
          <w:p>
            <w:pPr>
              <w:pStyle w:val="Style31"/>
              <w:widowControl w:val="false"/>
              <w:suppressAutoHyphens w:val="true"/>
              <w:spacing w:before="60" w:after="60"/>
              <w:rPr>
                <w:sz w:val="24"/>
                <w:szCs w:val="24"/>
              </w:rPr>
            </w:pPr>
            <w:r>
              <w:rPr>
                <w:rFonts w:eastAsia="Calibri" w:cs=""/>
                <w:kern w:val="0"/>
                <w:sz w:val="24"/>
                <w:szCs w:val="24"/>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p>
            <w:pPr>
              <w:pStyle w:val="Style31"/>
              <w:widowControl w:val="false"/>
              <w:suppressAutoHyphens w:val="true"/>
              <w:spacing w:before="60" w:after="60"/>
              <w:rPr>
                <w:sz w:val="24"/>
                <w:szCs w:val="24"/>
              </w:rPr>
            </w:pPr>
            <w:r>
              <w:rPr>
                <w:sz w:val="24"/>
                <w:szCs w:val="24"/>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606"/>
            <w:bookmarkStart w:id="53" w:name="_Ref125366606"/>
            <w:bookmarkEnd w:id="53"/>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533374"/>
            <w:bookmarkStart w:id="55" w:name="_Ref125533374"/>
            <w:bookmarkEnd w:id="55"/>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852" w:type="dxa"/>
            <w:tcBorders/>
          </w:tcPr>
          <w:p>
            <w:pPr>
              <w:pStyle w:val="Style31"/>
              <w:widowControl w:val="false"/>
              <w:suppressAutoHyphens w:val="true"/>
              <w:spacing w:before="60" w:after="60"/>
              <w:rPr>
                <w:sz w:val="24"/>
                <w:szCs w:val="24"/>
              </w:rPr>
            </w:pPr>
            <w:r>
              <w:rPr>
                <w:rFonts w:eastAsia="Calibri" w:cs=""/>
                <w:kern w:val="0"/>
                <w:sz w:val="24"/>
                <w:szCs w:val="24"/>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_Ref126142429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p>
            <w:pPr>
              <w:pStyle w:val="Style31"/>
              <w:widowControl w:val="false"/>
              <w:suppressAutoHyphens w:val="true"/>
              <w:spacing w:before="60" w:after="60"/>
              <w:rPr>
                <w:sz w:val="24"/>
                <w:szCs w:val="24"/>
              </w:rPr>
            </w:pPr>
            <w:r>
              <w:rPr>
                <w:rFonts w:eastAsia="Calibri" w:cs=""/>
                <w:kern w:val="0"/>
                <w:sz w:val="24"/>
                <w:szCs w:val="24"/>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Fonts w:eastAsia="Calibri" w:cs=""/>
                <w:color w:val="000000"/>
                <w:kern w:val="0"/>
                <w:sz w:val="24"/>
                <w:szCs w:val="24"/>
                <w:lang w:val="ru-RU" w:eastAsia="en-US" w:bidi="ar-SA"/>
              </w:rPr>
              <w:t>ЭДО – СКБ Контур.Диадок,</w:t>
            </w:r>
            <w:r>
              <w:rPr>
                <w:rFonts w:eastAsia="Calibri" w:cs=""/>
                <w:kern w:val="0"/>
                <w:sz w:val="24"/>
                <w:szCs w:val="24"/>
                <w:lang w:val="ru-RU" w:eastAsia="en-US" w:bidi="ar-SA"/>
              </w:rPr>
              <w:t xml:space="preserve">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813"/>
            <w:bookmarkStart w:id="57" w:name="_Ref125366813"/>
            <w:bookmarkEnd w:id="57"/>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6"/>
                <w:lang w:val="ru-RU" w:eastAsia="en-US" w:bidi="ar-SA"/>
              </w:rPr>
            </w:pPr>
            <w:r>
              <w:rPr>
                <w:rFonts w:eastAsia="Calibri" w:cs=""/>
                <w:kern w:val="0"/>
                <w:sz w:val="26"/>
                <w:szCs w:val="26"/>
                <w:lang w:val="ru-RU" w:eastAsia="en-US" w:bidi="ar-SA"/>
              </w:rPr>
              <w:t>Место подачи документов в отношении цепочки собственников, включая конечных бенефициаров:</w:t>
            </w:r>
          </w:p>
        </w:tc>
        <w:tc>
          <w:tcPr>
            <w:tcW w:w="5852" w:type="dxa"/>
            <w:tcBorders/>
          </w:tcPr>
          <w:p>
            <w:pPr>
              <w:pStyle w:val="Style31"/>
              <w:keepNext w:val="true"/>
              <w:widowControl w:val="false"/>
              <w:suppressAutoHyphens w:val="true"/>
              <w:spacing w:before="60" w:after="60"/>
              <w:rPr>
                <w:sz w:val="26"/>
                <w:szCs w:val="26"/>
              </w:rPr>
            </w:pPr>
            <w:r>
              <w:rPr>
                <w:rFonts w:eastAsia="Calibri" w:cs=""/>
                <w:kern w:val="0"/>
                <w:sz w:val="26"/>
                <w:szCs w:val="26"/>
                <w:lang w:val="ru-RU" w:eastAsia="en-US" w:bidi="ar-SA"/>
              </w:rPr>
              <w:t>Для подачи документов в бумажной форме:</w:t>
            </w:r>
          </w:p>
          <w:p>
            <w:pPr>
              <w:pStyle w:val="Style31"/>
              <w:keepNext w:val="true"/>
              <w:widowControl w:val="false"/>
              <w:suppressAutoHyphens w:val="true"/>
              <w:spacing w:before="60" w:after="60"/>
              <w:rPr>
                <w:rFonts w:ascii="Times New Roman" w:hAnsi="Times New Roman" w:eastAsia="Calibri" w:cs=""/>
                <w:kern w:val="0"/>
                <w:sz w:val="26"/>
                <w:szCs w:val="26"/>
                <w:lang w:val="ru-RU" w:eastAsia="en-US" w:bidi="ar-SA"/>
              </w:rPr>
            </w:pPr>
            <w:r>
              <w:rPr>
                <w:rFonts w:eastAsia="Calibri" w:cs=""/>
                <w:kern w:val="0"/>
                <w:sz w:val="26"/>
                <w:szCs w:val="26"/>
                <w:lang w:val="ru-RU" w:eastAsia="en-US" w:bidi="ar-SA"/>
              </w:rPr>
              <w:t>Контактное лицо (Ф.И.О.):</w:t>
            </w:r>
          </w:p>
          <w:p>
            <w:pPr>
              <w:pStyle w:val="Tableheader"/>
              <w:widowControl w:val="false"/>
              <w:suppressAutoHyphens w:val="true"/>
              <w:spacing w:before="120" w:after="120"/>
              <w:rPr>
                <w:sz w:val="26"/>
                <w:szCs w:val="26"/>
              </w:rPr>
            </w:pPr>
            <w:r>
              <w:rPr>
                <w:b/>
                <w:bCs/>
                <w:i/>
                <w:iCs/>
                <w:sz w:val="26"/>
                <w:szCs w:val="26"/>
              </w:rPr>
              <w:t>Прусакова Анна Федоровна</w:t>
            </w:r>
          </w:p>
          <w:p>
            <w:pPr>
              <w:pStyle w:val="Style31"/>
              <w:keepNext w:val="true"/>
              <w:widowControl w:val="false"/>
              <w:suppressAutoHyphens w:val="true"/>
              <w:spacing w:before="60" w:after="60"/>
              <w:rPr>
                <w:sz w:val="26"/>
                <w:szCs w:val="26"/>
              </w:rPr>
            </w:pPr>
            <w:r>
              <w:rPr>
                <w:rFonts w:eastAsia="Calibri" w:cs=""/>
                <w:kern w:val="0"/>
                <w:sz w:val="26"/>
                <w:szCs w:val="26"/>
                <w:lang w:val="ru-RU" w:eastAsia="en-US" w:bidi="ar-SA"/>
              </w:rPr>
              <w:t>Почтовый адрес:</w:t>
            </w:r>
          </w:p>
          <w:p>
            <w:pPr>
              <w:pStyle w:val="Normal"/>
              <w:widowControl w:val="false"/>
              <w:suppressAutoHyphens w:val="true"/>
              <w:spacing w:before="120" w:after="120"/>
              <w:rPr>
                <w:sz w:val="26"/>
                <w:szCs w:val="26"/>
              </w:rPr>
            </w:pPr>
            <w:r>
              <w:rPr>
                <w:b/>
                <w:bCs/>
                <w:i/>
                <w:iCs/>
                <w:sz w:val="26"/>
                <w:szCs w:val="26"/>
              </w:rPr>
              <w:t xml:space="preserve">413865, регион 64, Саратовская область г. Балаково, Саратовская ГЭС </w:t>
            </w:r>
          </w:p>
          <w:p>
            <w:pPr>
              <w:pStyle w:val="Tableheader"/>
              <w:widowControl w:val="false"/>
              <w:suppressAutoHyphens w:val="true"/>
              <w:spacing w:before="120" w:after="120"/>
              <w:rPr>
                <w:sz w:val="26"/>
                <w:szCs w:val="26"/>
              </w:rPr>
            </w:pPr>
            <w:r>
              <w:rPr>
                <w:b w:val="false"/>
                <w:sz w:val="26"/>
                <w:szCs w:val="26"/>
              </w:rPr>
              <w:t>Контактный телефон:</w:t>
            </w:r>
          </w:p>
          <w:p>
            <w:pPr>
              <w:pStyle w:val="Tableheader"/>
              <w:widowControl w:val="false"/>
              <w:suppressAutoHyphens w:val="true"/>
              <w:spacing w:before="120" w:after="120"/>
              <w:rPr>
                <w:sz w:val="26"/>
                <w:szCs w:val="26"/>
              </w:rPr>
            </w:pPr>
            <w:r>
              <w:rPr>
                <w:b/>
                <w:bCs/>
                <w:i/>
                <w:iCs/>
                <w:sz w:val="26"/>
                <w:szCs w:val="26"/>
              </w:rPr>
              <w:t>+7(8453)49-53-68</w:t>
            </w:r>
          </w:p>
          <w:p>
            <w:pPr>
              <w:pStyle w:val="Style31"/>
              <w:widowControl w:val="false"/>
              <w:suppressAutoHyphens w:val="true"/>
              <w:spacing w:before="120" w:after="60"/>
              <w:rPr>
                <w:sz w:val="24"/>
                <w:szCs w:val="24"/>
              </w:rPr>
            </w:pPr>
            <w:r>
              <w:rPr>
                <w:rFonts w:eastAsia="Calibri" w:cs=""/>
                <w:kern w:val="0"/>
                <w:sz w:val="24"/>
                <w:szCs w:val="24"/>
                <w:lang w:val="ru-RU" w:eastAsia="en-US" w:bidi="ar-SA"/>
              </w:rPr>
              <w:t>Для подачи документов в электронной форме:</w:t>
            </w:r>
          </w:p>
          <w:p>
            <w:pPr>
              <w:pStyle w:val="Style31"/>
              <w:widowControl w:val="false"/>
              <w:suppressAutoHyphens w:val="true"/>
              <w:spacing w:before="60" w:after="60"/>
              <w:rPr>
                <w:sz w:val="24"/>
                <w:szCs w:val="24"/>
              </w:rPr>
            </w:pPr>
            <w:bookmarkStart w:id="58" w:name="_Hlk193278855"/>
            <w:r>
              <w:rPr>
                <w:rFonts w:eastAsia="Calibri" w:cs=""/>
                <w:kern w:val="0"/>
                <w:sz w:val="24"/>
                <w:szCs w:val="24"/>
                <w:lang w:val="ru-RU" w:eastAsia="en-US" w:bidi="ar-SA"/>
              </w:rPr>
              <w:t>Корпоративный сайт ПАО «РусГидро»</w:t>
            </w:r>
            <w:bookmarkEnd w:id="58"/>
            <w:r>
              <w:rPr>
                <w:rFonts w:eastAsia="Calibri" w:cs=""/>
                <w:kern w:val="0"/>
                <w:sz w:val="24"/>
                <w:szCs w:val="24"/>
                <w:lang w:val="ru-RU" w:eastAsia="en-US" w:bidi="ar-SA"/>
              </w:rPr>
              <w:t>, через специально созданную учетную запись (подробный порядок содержится в разделе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_Ref126142429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9" w:name="_Ref125368490"/>
            <w:bookmarkStart w:id="60" w:name="_Ref125368490"/>
            <w:bookmarkEnd w:id="60"/>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5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26"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52"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pStyle w:val="Style25"/>
        <w:rPr/>
      </w:pPr>
      <w:bookmarkStart w:id="61" w:name="_Ref125360337"/>
      <w:bookmarkStart w:id="62" w:name="_Ref125360073"/>
      <w:bookmarkStart w:id="63" w:name="_Toc228976328"/>
      <w:r>
        <w:rPr/>
        <w:t>Общие положения</w:t>
      </w:r>
      <w:bookmarkEnd w:id="61"/>
      <w:bookmarkEnd w:id="62"/>
      <w:bookmarkEnd w:id="63"/>
    </w:p>
    <w:p>
      <w:pPr>
        <w:pStyle w:val="Style26"/>
        <w:rPr/>
      </w:pPr>
      <w:bookmarkStart w:id="64" w:name="_Toc228976329"/>
      <w:r>
        <w:rPr/>
        <w:t>Общие сведения о закупке</w:t>
      </w:r>
      <w:bookmarkEnd w:id="64"/>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65" w:name="_Toc228976330"/>
      <w:r>
        <w:rPr/>
        <w:t>Правовой статус документов</w:t>
      </w:r>
      <w:bookmarkEnd w:id="65"/>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66"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6"/>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67" w:name="_Ref125363536"/>
      <w:bookmarkStart w:id="68" w:name="_Toc228976331"/>
      <w:r>
        <w:rPr/>
        <w:t>Обжалование</w:t>
      </w:r>
      <w:bookmarkEnd w:id="67"/>
      <w:bookmarkEnd w:id="68"/>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9" w:name="_Hlk219296876"/>
      <w:r>
        <w:rPr/>
        <w:t>Красноярского края</w:t>
      </w:r>
      <w:bookmarkEnd w:id="69"/>
      <w:r>
        <w:rPr/>
        <w:t>.</w:t>
      </w:r>
    </w:p>
    <w:p>
      <w:pPr>
        <w:pStyle w:val="Style31"/>
        <w:ind w:left="1134" w:hanging="0"/>
        <w:rPr/>
      </w:pPr>
      <w:r>
        <w:rPr/>
        <w:t>Закупочная комиссия определяется в соответствии с Положением о закупке.</w:t>
      </w:r>
    </w:p>
    <w:p>
      <w:pPr>
        <w:pStyle w:val="Style26"/>
        <w:rPr/>
      </w:pPr>
      <w:bookmarkStart w:id="70" w:name="_Ref125472658"/>
      <w:bookmarkStart w:id="71" w:name="_Toc228976332"/>
      <w:r>
        <w:rPr/>
        <w:t>Особые положения при проведении закупки с использованием ЭП</w:t>
      </w:r>
      <w:bookmarkEnd w:id="70"/>
      <w:bookmarkEnd w:id="7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7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2"/>
    </w:p>
    <w:p>
      <w:pPr>
        <w:pStyle w:val="Style27"/>
        <w:rPr/>
      </w:pPr>
      <w:bookmarkStart w:id="7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3"/>
    </w:p>
    <w:p>
      <w:pPr>
        <w:pStyle w:val="Style26"/>
        <w:rPr/>
      </w:pPr>
      <w:bookmarkStart w:id="74" w:name="_Toc228976333"/>
      <w:r>
        <w:rPr/>
        <w:t>Прочие положения</w:t>
      </w:r>
      <w:bookmarkEnd w:id="74"/>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75"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5"/>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76" w:name="_Toc228976334"/>
      <w:bookmarkStart w:id="77" w:name="_Ref125361210"/>
      <w:r>
        <w:rPr/>
        <w:t>Требования к Участникам</w:t>
      </w:r>
      <w:bookmarkEnd w:id="76"/>
      <w:bookmarkEnd w:id="77"/>
    </w:p>
    <w:p>
      <w:pPr>
        <w:pStyle w:val="Style26"/>
        <w:rPr/>
      </w:pPr>
      <w:bookmarkStart w:id="78" w:name="_Ref127524530"/>
      <w:bookmarkStart w:id="79" w:name="_Toc228976335"/>
      <w:r>
        <w:rPr/>
        <w:t>Общие требования к Участникам</w:t>
      </w:r>
      <w:bookmarkEnd w:id="78"/>
      <w:bookmarkEnd w:id="79"/>
    </w:p>
    <w:p>
      <w:pPr>
        <w:pStyle w:val="Style27"/>
        <w:rPr/>
      </w:pPr>
      <w:bookmarkStart w:id="80"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80"/>
    </w:p>
    <w:p>
      <w:pPr>
        <w:pStyle w:val="Style27"/>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w:t>
      </w:r>
    </w:p>
    <w:p>
      <w:pPr>
        <w:pStyle w:val="Style28"/>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8"/>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7"/>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81" w:name="_Toc228976336"/>
      <w:bookmarkStart w:id="82" w:name="_Ref130308255"/>
      <w:bookmarkStart w:id="83" w:name="_Ref130308203"/>
      <w:bookmarkStart w:id="84" w:name="_Ref130308111"/>
      <w:bookmarkStart w:id="85" w:name="_Ref130308062"/>
      <w:bookmarkStart w:id="86" w:name="_Ref130305355"/>
      <w:bookmarkStart w:id="87" w:name="_Ref125361969"/>
      <w:bookmarkStart w:id="88" w:name="_Ref125361976"/>
      <w:r>
        <w:rPr/>
        <w:t>Коллективные участники</w:t>
      </w:r>
      <w:bookmarkEnd w:id="81"/>
      <w:bookmarkEnd w:id="82"/>
      <w:bookmarkEnd w:id="83"/>
      <w:bookmarkEnd w:id="84"/>
      <w:bookmarkEnd w:id="85"/>
      <w:bookmarkEnd w:id="86"/>
      <w:bookmarkEnd w:id="87"/>
      <w:bookmarkEnd w:id="88"/>
    </w:p>
    <w:p>
      <w:pPr>
        <w:pStyle w:val="Style27"/>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7"/>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bookmarkStart w:id="89" w:name="_Ref125366972"/>
      <w:r>
        <w:rPr/>
        <w:t>Члены Коллективного участника заключают между собой соглашение, соответствующее нормам ГК РФ, и отвечающее следующим требованиям:</w:t>
      </w:r>
      <w:bookmarkEnd w:id="89"/>
    </w:p>
    <w:p>
      <w:pPr>
        <w:pStyle w:val="Style28"/>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8"/>
        <w:rPr/>
      </w:pPr>
      <w:r>
        <w:rP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pPr>
        <w:pStyle w:val="Style28"/>
        <w:rPr/>
      </w:pPr>
      <w:r>
        <w:rPr/>
        <w:t xml:space="preserve">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w:t>
      </w:r>
      <w:bookmarkStart w:id="90" w:name="_Hlk219296901"/>
      <w:r>
        <w:rPr/>
        <w:t>в процессе участия в закупке, заключения и последующего исполнения Договора</w:t>
      </w:r>
      <w:bookmarkEnd w:id="90"/>
      <w:r>
        <w:rPr/>
        <w:t>;</w:t>
      </w:r>
    </w:p>
    <w:p>
      <w:pPr>
        <w:pStyle w:val="Style28"/>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8"/>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8"/>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7"/>
        <w:rPr/>
      </w:pPr>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4"/>
          </w:rPr>
          <w:t>Приложение № 4</w:t>
        </w:r>
      </w:hyperlink>
      <w:r>
        <w:rPr/>
        <w:t>) на то, что он представляет интересы Коллективного участника.</w:t>
      </w:r>
    </w:p>
    <w:p>
      <w:pPr>
        <w:pStyle w:val="Style27"/>
        <w:rPr/>
      </w:pPr>
      <w:bookmarkStart w:id="91"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91"/>
    </w:p>
    <w:p>
      <w:pPr>
        <w:pStyle w:val="Style27"/>
        <w:rPr/>
      </w:pPr>
      <w:r>
        <w:rPr/>
        <w:t>При рассмотрении и оценке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pPr>
        <w:pStyle w:val="Style27"/>
        <w:rPr/>
      </w:pPr>
      <w:bookmarkStart w:id="92" w:name="_Ref134705077"/>
      <w:r>
        <w:rPr/>
        <w:t>При рассмотрении и оценке Коллективного участника на соответствие квалификационным требованиям (подраздел </w:t>
      </w:r>
      <w:r>
        <w:rPr/>
        <w:fldChar w:fldCharType="begin"/>
      </w:r>
      <w:r>
        <w:rPr/>
        <w:instrText xml:space="preserve"> REF _Ref125550270 \r \h </w:instrText>
      </w:r>
      <w:r>
        <w:rPr/>
        <w:fldChar w:fldCharType="separate"/>
      </w:r>
      <w:r>
        <w:rPr/>
        <w:t>8.4</w:t>
      </w:r>
      <w:r>
        <w:rPr/>
        <w:fldChar w:fldCharType="end"/>
      </w:r>
      <w:r>
        <w:rP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 будет поручена непосредственная поставка продукции, требующая наличия указанного опыта.</w:t>
      </w:r>
      <w:bookmarkEnd w:id="92"/>
    </w:p>
    <w:p>
      <w:pPr>
        <w:pStyle w:val="Style27"/>
        <w:keepNext w:val="true"/>
        <w:rPr/>
      </w:pPr>
      <w:bookmarkStart w:id="93"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3"/>
    </w:p>
    <w:p>
      <w:pPr>
        <w:pStyle w:val="Style28"/>
        <w:rPr/>
      </w:pPr>
      <w:r>
        <w:rPr/>
        <w:t>принимать участие в этой же закупке самостоятельно;</w:t>
      </w:r>
    </w:p>
    <w:p>
      <w:pPr>
        <w:pStyle w:val="Style28"/>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31"/>
        <w:ind w:left="1134" w:hanging="0"/>
        <w:rPr/>
      </w:pPr>
      <w:r>
        <w:rPr/>
        <w:t>В случае невыполнения данного требования все заявки с участием таких лиц будут отклонены.</w:t>
      </w:r>
    </w:p>
    <w:p>
      <w:pPr>
        <w:pStyle w:val="Style27"/>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4"/>
          </w:rPr>
          <w:t>Приложение № 3</w:t>
        </w:r>
      </w:hyperlink>
      <w:r>
        <w:rPr>
          <w:rStyle w:val="Style14"/>
        </w:rPr>
        <w:t>)</w:t>
      </w:r>
      <w:r>
        <w:rPr/>
        <w:t>, а также при несоблюдении вышеуказанных норм настоящего подраздела, заявка такого Коллективного участника отклоняется.</w:t>
      </w:r>
    </w:p>
    <w:p>
      <w:pPr>
        <w:pStyle w:val="Style27"/>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7"/>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6"/>
        <w:rPr/>
      </w:pPr>
      <w:bookmarkStart w:id="94" w:name="_Ref125361702"/>
      <w:bookmarkStart w:id="95" w:name="_Toc228976337"/>
      <w:r>
        <w:rPr/>
        <w:t>Генеральные подрядчики</w:t>
      </w:r>
      <w:bookmarkEnd w:id="94"/>
      <w:bookmarkEnd w:id="95"/>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8.6</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left="1134" w:hanging="0"/>
        <w:rPr/>
      </w:pPr>
      <w:bookmarkStart w:id="96"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96"/>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97"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97"/>
    </w:p>
    <w:p>
      <w:pPr>
        <w:sectPr>
          <w:headerReference w:type="default" r:id="rId8"/>
          <w:footerReference w:type="default" r:id="rId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8.6</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98" w:name="_Ref125367974"/>
      <w:bookmarkStart w:id="99" w:name="_Toc228976338"/>
      <w:bookmarkStart w:id="100" w:name="_Ref125367107"/>
      <w:bookmarkStart w:id="101" w:name="_Ref125367098"/>
      <w:bookmarkStart w:id="102" w:name="_Ref125361211"/>
      <w:r>
        <w:rPr/>
        <w:t>Порядок проведения закупки</w:t>
      </w:r>
      <w:bookmarkEnd w:id="98"/>
      <w:bookmarkEnd w:id="99"/>
      <w:bookmarkEnd w:id="100"/>
      <w:bookmarkEnd w:id="101"/>
      <w:bookmarkEnd w:id="102"/>
    </w:p>
    <w:p>
      <w:pPr>
        <w:pStyle w:val="Style26"/>
        <w:rPr/>
      </w:pPr>
      <w:bookmarkStart w:id="103" w:name="_Ref126141932"/>
      <w:bookmarkStart w:id="104" w:name="_Toc228976339"/>
      <w:r>
        <w:rPr/>
        <w:t>Общий порядок проведения закупки</w:t>
      </w:r>
      <w:bookmarkEnd w:id="103"/>
      <w:bookmarkEnd w:id="104"/>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noVBand="1" w:val="04a0" w:noHBand="0" w:lastColumn="0" w:firstColumn="1" w:lastRow="0" w:firstRow="1"/>
      </w:tblPr>
      <w:tblGrid>
        <w:gridCol w:w="428"/>
        <w:gridCol w:w="3334"/>
        <w:gridCol w:w="1108"/>
        <w:gridCol w:w="2229"/>
        <w:gridCol w:w="2407"/>
        <w:gridCol w:w="2266"/>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71"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restart"/>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Предоставление разъяснений положений Документации о закупке</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_Ref130394802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4.4</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c>
          <w:tcPr>
            <w:tcW w:w="2266" w:type="dxa"/>
            <w:vMerge w:val="restart"/>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Внесение изменений в Извещение и (или) Документацию о закупке</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_Ref125362076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4.5</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Отказ от проведения закупки (отмена закупки)</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_Ref126141962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4.16</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Открытие доступа к заявкам (подраздел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_Ref130221619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4.8</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_Ref125362364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4.9</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tc>
        <w:tc>
          <w:tcPr>
            <w:tcW w:w="3337" w:type="dxa"/>
            <w:gridSpan w:val="2"/>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_Ref130985951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4.13</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tc>
        <w:tc>
          <w:tcPr>
            <w:tcW w:w="2407" w:type="dxa"/>
            <w:vMerge w:val="restart"/>
            <w:tcBorders/>
            <w:vAlign w:val="center"/>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Направление дополнительных запросов разъяснений заявок</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_Ref125362381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4.10</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c>
          <w:tcPr>
            <w:tcW w:w="2266" w:type="dxa"/>
            <w:vMerge w:val="restart"/>
            <w:tcBorders/>
            <w:vAlign w:val="center"/>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Признание закупки</w:t>
              <w:br/>
              <w:t>несостоявшейся</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_Ref125364149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4.15</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71" w:type="dxa"/>
            <w:gridSpan w:val="3"/>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Переторжка (подраздел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_Ref127536359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4.11</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c>
          <w:tcPr>
            <w:tcW w:w="2407" w:type="dxa"/>
            <w:vMerge w:val="continue"/>
            <w:tcBorders/>
          </w:tcPr>
          <w:p>
            <w:pPr>
              <w:pStyle w:val="Style31"/>
              <w:widowControl w:val="false"/>
              <w:suppressAutoHyphens w:val="true"/>
              <w:spacing w:before="40" w:after="40"/>
              <w:jc w:val="center"/>
              <w:rPr>
                <w:rFonts w:ascii="Times New Roman" w:hAnsi="Times New Roman" w:eastAsia="Calibri" w:cs=""/>
                <w:bCs/>
                <w:kern w:val="0"/>
                <w:sz w:val="22"/>
                <w:szCs w:val="22"/>
                <w:lang w:val="ru-RU" w:eastAsia="en-US" w:bidi="ar-SA"/>
              </w:rPr>
            </w:pPr>
            <w:r>
              <w:rPr>
                <w:rFonts w:eastAsia="Calibri" w:cs=""/>
                <w:bCs/>
                <w:kern w:val="0"/>
                <w:sz w:val="22"/>
                <w:szCs w:val="22"/>
                <w:lang w:val="ru-RU" w:eastAsia="en-US" w:bidi="ar-SA"/>
              </w:rPr>
            </w:r>
          </w:p>
        </w:tc>
        <w:tc>
          <w:tcPr>
            <w:tcW w:w="2266" w:type="dxa"/>
            <w:vMerge w:val="continue"/>
            <w:tcBorders/>
          </w:tcPr>
          <w:p>
            <w:pPr>
              <w:pStyle w:val="Style31"/>
              <w:widowControl w:val="false"/>
              <w:suppressAutoHyphens w:val="true"/>
              <w:spacing w:before="40" w:after="40"/>
              <w:jc w:val="center"/>
              <w:rPr>
                <w:rFonts w:ascii="Times New Roman" w:hAnsi="Times New Roman" w:eastAsia="Calibri" w:cs=""/>
                <w:bCs/>
                <w:kern w:val="0"/>
                <w:sz w:val="22"/>
                <w:szCs w:val="22"/>
                <w:lang w:val="ru-RU" w:eastAsia="en-US" w:bidi="ar-SA"/>
              </w:rPr>
            </w:pPr>
            <w:r>
              <w:rPr>
                <w:rFonts w:eastAsia="Calibri" w:cs=""/>
                <w:bCs/>
                <w:kern w:val="0"/>
                <w:sz w:val="22"/>
                <w:szCs w:val="22"/>
                <w:lang w:val="ru-RU" w:eastAsia="en-US" w:bidi="ar-SA"/>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vAlign w:val="center"/>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Оценка и сопоставление заявок</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_Ref125362626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4.12</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tc>
        <w:tc>
          <w:tcPr>
            <w:tcW w:w="3337" w:type="dxa"/>
            <w:gridSpan w:val="2"/>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_Ref130985951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4.13</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tc>
        <w:tc>
          <w:tcPr>
            <w:tcW w:w="2407" w:type="dxa"/>
            <w:vMerge w:val="continue"/>
            <w:tcBorders/>
          </w:tcPr>
          <w:p>
            <w:pPr>
              <w:pStyle w:val="Style31"/>
              <w:widowControl w:val="false"/>
              <w:suppressAutoHyphens w:val="true"/>
              <w:spacing w:before="40" w:after="40"/>
              <w:jc w:val="center"/>
              <w:rPr>
                <w:rFonts w:ascii="Times New Roman" w:hAnsi="Times New Roman" w:eastAsia="Calibri" w:cs=""/>
                <w:bCs/>
                <w:kern w:val="0"/>
                <w:sz w:val="22"/>
                <w:szCs w:val="22"/>
                <w:lang w:val="ru-RU" w:eastAsia="en-US" w:bidi="ar-SA"/>
              </w:rPr>
            </w:pPr>
            <w:r>
              <w:rPr>
                <w:rFonts w:eastAsia="Calibri" w:cs=""/>
                <w:bCs/>
                <w:kern w:val="0"/>
                <w:sz w:val="22"/>
                <w:szCs w:val="22"/>
                <w:lang w:val="ru-RU" w:eastAsia="en-US" w:bidi="ar-SA"/>
              </w:rPr>
            </w:r>
          </w:p>
        </w:tc>
        <w:tc>
          <w:tcPr>
            <w:tcW w:w="2266" w:type="dxa"/>
            <w:vMerge w:val="continue"/>
            <w:tcBorders/>
          </w:tcPr>
          <w:p>
            <w:pPr>
              <w:pStyle w:val="Style31"/>
              <w:widowControl w:val="false"/>
              <w:suppressAutoHyphens w:val="true"/>
              <w:spacing w:before="40" w:after="40"/>
              <w:jc w:val="center"/>
              <w:rPr>
                <w:rFonts w:ascii="Times New Roman" w:hAnsi="Times New Roman" w:eastAsia="Calibri" w:cs=""/>
                <w:bCs/>
                <w:kern w:val="0"/>
                <w:sz w:val="22"/>
                <w:szCs w:val="22"/>
                <w:lang w:val="ru-RU" w:eastAsia="en-US" w:bidi="ar-SA"/>
              </w:rPr>
            </w:pPr>
            <w:r>
              <w:rPr>
                <w:rFonts w:eastAsia="Calibri" w:cs=""/>
                <w:bCs/>
                <w:kern w:val="0"/>
                <w:sz w:val="22"/>
                <w:szCs w:val="22"/>
                <w:lang w:val="ru-RU" w:eastAsia="en-US" w:bidi="ar-SA"/>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8" w:type="dxa"/>
            <w:gridSpan w:val="4"/>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Подведение итогов закупки (определение Победителя) (подраздел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_Ref125362658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4.14</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tc>
        <w:tc>
          <w:tcPr>
            <w:tcW w:w="2266" w:type="dxa"/>
            <w:vMerge w:val="continue"/>
            <w:tcBorders/>
          </w:tcPr>
          <w:p>
            <w:pPr>
              <w:pStyle w:val="Style31"/>
              <w:widowControl w:val="false"/>
              <w:suppressAutoHyphens w:val="true"/>
              <w:spacing w:before="40" w:after="40"/>
              <w:jc w:val="center"/>
              <w:rPr>
                <w:rFonts w:ascii="Times New Roman" w:hAnsi="Times New Roman" w:eastAsia="Calibri" w:cs=""/>
                <w:bCs/>
                <w:kern w:val="0"/>
                <w:sz w:val="22"/>
                <w:szCs w:val="22"/>
                <w:lang w:val="ru-RU" w:eastAsia="en-US" w:bidi="ar-SA"/>
              </w:rPr>
            </w:pPr>
            <w:r>
              <w:rPr>
                <w:rFonts w:eastAsia="Calibri" w:cs=""/>
                <w:bCs/>
                <w:kern w:val="0"/>
                <w:sz w:val="22"/>
                <w:szCs w:val="22"/>
                <w:lang w:val="ru-RU" w:eastAsia="en-US" w:bidi="ar-SA"/>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Заключение Договора</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_Ref138232981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5.2</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r>
          </w:p>
          <w:p>
            <w:pPr>
              <w:pStyle w:val="Style31"/>
              <w:widowControl w:val="false"/>
              <w:suppressAutoHyphens w:val="true"/>
              <w:spacing w:before="40" w:after="40"/>
              <w:jc w:val="center"/>
              <w:rPr>
                <w:rFonts w:ascii="Times New Roman" w:hAnsi="Times New Roman" w:eastAsia="Calibri" w:cs=""/>
                <w:bCs/>
                <w:kern w:val="0"/>
                <w:sz w:val="22"/>
                <w:szCs w:val="22"/>
                <w:lang w:val="ru-RU" w:eastAsia="en-US" w:bidi="ar-SA"/>
              </w:rPr>
            </w:pPr>
            <w:r>
              <w:rPr>
                <w:rFonts w:eastAsia="Calibri" w:cs=""/>
                <w:bCs/>
                <w:kern w:val="0"/>
                <w:sz w:val="22"/>
                <w:szCs w:val="22"/>
                <w:lang w:val="ru-RU" w:eastAsia="en-US" w:bidi="ar-SA"/>
              </w:rPr>
            </w:r>
          </w:p>
        </w:tc>
        <w:tc>
          <w:tcPr>
            <w:tcW w:w="4636" w:type="dxa"/>
            <w:gridSpan w:val="2"/>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Проведение преддоговорных переговоров</w:t>
              <w:br/>
              <w:t>(подраздел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_Ref125552570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5.3</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c>
          <w:tcPr>
            <w:tcW w:w="4496" w:type="dxa"/>
            <w:gridSpan w:val="2"/>
            <w:tcBorders>
              <w:right w:val="nil"/>
            </w:tcBorders>
          </w:tcPr>
          <w:p>
            <w:pPr>
              <w:pStyle w:val="Style31"/>
              <w:widowControl w:val="false"/>
              <w:suppressAutoHyphens w:val="true"/>
              <w:spacing w:before="40" w:after="40"/>
              <w:jc w:val="center"/>
              <w:rPr>
                <w:rFonts w:ascii="Times New Roman" w:hAnsi="Times New Roman" w:eastAsia="Calibri" w:cs=""/>
                <w:kern w:val="0"/>
                <w:sz w:val="22"/>
                <w:szCs w:val="22"/>
                <w:lang w:val="ru-RU" w:eastAsia="en-US" w:bidi="ar-SA"/>
              </w:rPr>
            </w:pPr>
            <w:r>
              <w:rPr>
                <w:rFonts w:eastAsia="Calibri" w:cs=""/>
                <w:bCs/>
                <w:kern w:val="0"/>
                <w:sz w:val="22"/>
                <w:szCs w:val="22"/>
                <w:lang w:val="ru-RU" w:eastAsia="en-US" w:bidi="ar-SA"/>
              </w:rPr>
              <w:t>Уклонение Победителя</w:t>
              <w:br/>
              <w:t>от заключения Договора (подраздел </w:t>
            </w:r>
            <w:r>
              <w:rPr>
                <w:rFonts w:eastAsia="Calibri" w:cs=""/>
                <w:bCs/>
                <w:kern w:val="0"/>
                <w:sz w:val="22"/>
                <w:szCs w:val="22"/>
                <w:lang w:val="ru-RU" w:eastAsia="en-US" w:bidi="ar-SA"/>
              </w:rPr>
              <w:fldChar w:fldCharType="begin"/>
            </w:r>
            <w:r>
              <w:rPr>
                <w:sz w:val="22"/>
                <w:kern w:val="0"/>
                <w:szCs w:val="22"/>
                <w:bCs/>
                <w:rFonts w:eastAsia="Calibri" w:cs=""/>
                <w:lang w:val="ru-RU" w:eastAsia="en-US" w:bidi="ar-SA"/>
              </w:rPr>
              <w:instrText xml:space="preserve"> REF _Ref125367068 \r \h </w:instrText>
            </w:r>
            <w:r>
              <w:rPr>
                <w:sz w:val="22"/>
                <w:kern w:val="0"/>
                <w:szCs w:val="22"/>
                <w:bCs/>
                <w:rFonts w:eastAsia="Calibri" w:cs=""/>
                <w:lang w:val="ru-RU" w:eastAsia="en-US" w:bidi="ar-SA"/>
              </w:rPr>
              <w:fldChar w:fldCharType="separate"/>
            </w:r>
            <w:r>
              <w:rPr>
                <w:sz w:val="22"/>
                <w:kern w:val="0"/>
                <w:szCs w:val="22"/>
                <w:bCs/>
                <w:rFonts w:eastAsia="Calibri" w:cs=""/>
                <w:lang w:val="ru-RU" w:eastAsia="en-US" w:bidi="ar-SA"/>
              </w:rPr>
              <w:t>5.4</w:t>
            </w:r>
            <w:r>
              <w:rPr>
                <w:sz w:val="22"/>
                <w:kern w:val="0"/>
                <w:szCs w:val="22"/>
                <w:bCs/>
                <w:rFonts w:eastAsia="Calibri" w:cs=""/>
                <w:lang w:val="ru-RU" w:eastAsia="en-US" w:bidi="ar-SA"/>
              </w:rPr>
              <w:fldChar w:fldCharType="end"/>
            </w:r>
            <w:r>
              <w:rPr>
                <w:rFonts w:eastAsia="Calibri" w:cs=""/>
                <w:bCs/>
                <w:kern w:val="0"/>
                <w:sz w:val="22"/>
                <w:szCs w:val="22"/>
                <w:lang w:val="ru-RU" w:eastAsia="en-US" w:bidi="ar-SA"/>
              </w:rPr>
              <w:t>)</w:t>
              <w:br/>
            </w:r>
            <w:r>
              <w:rPr>
                <w:rFonts w:eastAsia="Calibri" w:cs=""/>
                <w:bCs/>
                <w:i/>
                <w:iCs/>
                <w:kern w:val="0"/>
                <w:sz w:val="22"/>
                <w:szCs w:val="22"/>
                <w:lang w:val="ru-RU" w:eastAsia="en-US" w:bidi="ar-SA"/>
              </w:rPr>
              <w:t>(опциональная процедура закупки)</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05" w:name="_Ref130286532"/>
      <w:bookmarkStart w:id="106" w:name="_Toc228976340"/>
      <w:r>
        <w:rPr/>
        <w:t>Официальное размещение Извещения и Документации о закупке</w:t>
      </w:r>
      <w:bookmarkEnd w:id="105"/>
      <w:bookmarkEnd w:id="106"/>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07" w:name="_Ref125362785"/>
      <w:r>
        <w:rPr/>
        <w:t>Порядок получения информации через ЭП определяется Регламентом ЭП, с использованием которой проводится закупка.</w:t>
      </w:r>
      <w:bookmarkEnd w:id="107"/>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08" w:name="_Ref130281199"/>
      <w:bookmarkStart w:id="109" w:name="_Ref130394681"/>
      <w:bookmarkStart w:id="110" w:name="_Toc228976341"/>
      <w:r>
        <w:rPr/>
        <w:t>Подготовка заявки</w:t>
      </w:r>
      <w:bookmarkEnd w:id="108"/>
      <w:bookmarkEnd w:id="109"/>
      <w:bookmarkEnd w:id="110"/>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11" w:name="_Ref130394854"/>
      <w:bookmarkStart w:id="112"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1"/>
      <w:bookmarkEnd w:id="112"/>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13" w:name="_Ref125370700"/>
      <w:bookmarkStart w:id="114"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 xml:space="preserve">за исключением НДС, в случае его уплаты) </w:t>
      </w:r>
      <w:r>
        <w:rPr/>
        <w:t>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3"/>
      <w:bookmarkEnd w:id="114"/>
    </w:p>
    <w:p>
      <w:pPr>
        <w:pStyle w:val="Style27"/>
        <w:rPr/>
      </w:pPr>
      <w:r>
        <w:rPr/>
        <w:t>Нормы настоящего пункта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r>
          <w:rPr>
            <w:rStyle w:val="Style14"/>
          </w:rPr>
          <w:t>Приложение № 4</w:t>
        </w:r>
      </w:hyperlink>
      <w:r>
        <w:rPr/>
        <w:t xml:space="preserve">), в виде согласия (декларации) на поставку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7"/>
        <w:rPr/>
      </w:pPr>
      <w:bookmarkStart w:id="115" w:name="_Ref130379863"/>
      <w:r>
        <w:rPr/>
        <w:t>Нормы настоящего пункта и пунктов </w:t>
      </w:r>
      <w:r>
        <w:rPr/>
        <w:fldChar w:fldCharType="begin"/>
      </w:r>
      <w:r>
        <w:rPr/>
        <w:instrText xml:space="preserve"> REF _Ref164251545 \r \h </w:instrText>
      </w:r>
      <w:r>
        <w:rPr/>
        <w:fldChar w:fldCharType="separate"/>
      </w:r>
      <w:r>
        <w:rPr/>
        <w:t>4.3.12</w:t>
      </w:r>
      <w:r>
        <w:rPr/>
        <w:fldChar w:fldCharType="end"/>
      </w:r>
      <w:r>
        <w:rPr/>
        <w:t xml:space="preserve"> – </w:t>
      </w:r>
      <w:r>
        <w:rPr/>
        <w:fldChar w:fldCharType="begin"/>
      </w:r>
      <w:r>
        <w:rPr/>
        <w:instrText xml:space="preserve"> REF _Ref130455500 \r \h </w:instrText>
      </w:r>
      <w:r>
        <w:rPr/>
        <w:fldChar w:fldCharType="separate"/>
      </w:r>
      <w:r>
        <w:rPr/>
        <w:t>4.3.15</w:t>
      </w:r>
      <w:r>
        <w:rPr/>
        <w:fldChar w:fldCharType="end"/>
      </w:r>
      <w:r>
        <w:rPr/>
        <w:t xml:space="preserve">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r>
          <w:rPr>
            <w:rStyle w:val="Style14"/>
          </w:rPr>
          <w:t>Приложение № 4</w:t>
        </w:r>
      </w:hyperlink>
      <w:r>
        <w:rPr/>
        <w:t>), в виде подробного предложения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15"/>
    </w:p>
    <w:p>
      <w:pPr>
        <w:pStyle w:val="Style27"/>
        <w:rPr/>
      </w:pPr>
      <w:bookmarkStart w:id="116" w:name="_Ref164251545"/>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16"/>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17"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17"/>
    </w:p>
    <w:p>
      <w:pPr>
        <w:pStyle w:val="Style27"/>
        <w:rPr/>
      </w:pPr>
      <w:bookmarkStart w:id="118"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4.3.11</w:t>
      </w:r>
      <w:r>
        <w:rPr/>
        <w:fldChar w:fldCharType="end"/>
      </w:r>
      <w:r>
        <w:rPr/>
        <w:t xml:space="preserve"> – </w:t>
      </w:r>
      <w:r>
        <w:rPr/>
        <w:fldChar w:fldCharType="begin"/>
      </w:r>
      <w:r>
        <w:rPr/>
        <w:instrText xml:space="preserve"> REF _Ref130379876 \r \h </w:instrText>
      </w:r>
      <w:r>
        <w:rPr/>
        <w:fldChar w:fldCharType="separate"/>
      </w:r>
      <w:r>
        <w:rPr/>
        <w:t>4.3.14</w:t>
      </w:r>
      <w:r>
        <w:rPr/>
        <w:fldChar w:fldCharType="end"/>
      </w:r>
      <w:r>
        <w:rPr/>
        <w:t>) Организатор вправе отклонить заявку такого Участника от дальнейшего участия в закупке.</w:t>
      </w:r>
      <w:bookmarkEnd w:id="118"/>
      <w:r>
        <w:rPr/>
        <w:t xml:space="preserve"> </w:t>
      </w:r>
    </w:p>
    <w:p>
      <w:pPr>
        <w:pStyle w:val="Style27"/>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19" w:name="_Ref125370398"/>
      <w:bookmarkStart w:id="120" w:name="_Ref125714384"/>
      <w:r>
        <w:rPr/>
        <w:t>противоречия между документами заявки и сведениями, указанными Участником в структурированных формах на ЭП.</w:t>
      </w:r>
      <w:bookmarkEnd w:id="119"/>
      <w:bookmarkEnd w:id="120"/>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1" w:name="_Ref130394785"/>
      <w:bookmarkStart w:id="122" w:name="_Ref130394802"/>
      <w:bookmarkStart w:id="123" w:name="_Ref130394205"/>
      <w:bookmarkStart w:id="124" w:name="_Toc228976342"/>
      <w:bookmarkStart w:id="125" w:name="_Ref125362071"/>
      <w:bookmarkStart w:id="126" w:name="_Ref125361260"/>
      <w:bookmarkStart w:id="127" w:name="_Ref125366672"/>
      <w:r>
        <w:rPr/>
        <w:t>Разъяснение Документации о закупке</w:t>
      </w:r>
      <w:bookmarkEnd w:id="121"/>
      <w:bookmarkEnd w:id="122"/>
      <w:bookmarkEnd w:id="123"/>
      <w:bookmarkEnd w:id="124"/>
      <w:bookmarkEnd w:id="125"/>
      <w:bookmarkEnd w:id="126"/>
      <w:bookmarkEnd w:id="127"/>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28" w:name="_Toc228976343"/>
      <w:bookmarkStart w:id="129" w:name="_Ref125362076"/>
      <w:bookmarkStart w:id="130" w:name="_Ref125363891"/>
      <w:bookmarkStart w:id="131" w:name="_Ref125364404"/>
      <w:r>
        <w:rPr/>
        <w:t>Изменения Извещения и (или) Документации о закупке</w:t>
      </w:r>
      <w:bookmarkEnd w:id="128"/>
      <w:bookmarkEnd w:id="129"/>
      <w:bookmarkEnd w:id="130"/>
      <w:bookmarkEnd w:id="13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3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3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3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3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34" w:name="_Ref125362119"/>
      <w:bookmarkStart w:id="135" w:name="_Toc228976344"/>
      <w:r>
        <w:rPr/>
        <w:t>Подача заявок и их прием</w:t>
      </w:r>
      <w:bookmarkEnd w:id="134"/>
      <w:bookmarkEnd w:id="135"/>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36" w:name="_Hlk219296949"/>
      <w:r>
        <w:rPr/>
        <w:t xml:space="preserve">усиленной квалифицированной </w:t>
      </w:r>
      <w:bookmarkEnd w:id="136"/>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37" w:name="_Toc228976345"/>
      <w:bookmarkStart w:id="138" w:name="_Ref125365136"/>
      <w:bookmarkStart w:id="139" w:name="_Ref125362192"/>
      <w:bookmarkStart w:id="140" w:name="_Ref125362130"/>
      <w:bookmarkStart w:id="141" w:name="_Ref125363819"/>
      <w:r>
        <w:rPr/>
        <w:t>Изменение и отзыв заявок</w:t>
      </w:r>
      <w:bookmarkEnd w:id="137"/>
      <w:bookmarkEnd w:id="138"/>
      <w:bookmarkEnd w:id="139"/>
      <w:bookmarkEnd w:id="140"/>
      <w:bookmarkEnd w:id="141"/>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42" w:name="_Ref130221619"/>
      <w:bookmarkStart w:id="143" w:name="_Toc228976346"/>
      <w:bookmarkStart w:id="144" w:name="_Ref125364340"/>
      <w:bookmarkEnd w:id="144"/>
      <w:r>
        <w:rPr/>
        <w:t>Открытие доступа к заявкам</w:t>
      </w:r>
      <w:bookmarkEnd w:id="142"/>
      <w:bookmarkEnd w:id="143"/>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45" w:name="_Ref135749133"/>
      <w:bookmarkStart w:id="146" w:name="_Toc228976347"/>
      <w:bookmarkStart w:id="147" w:name="_Ref125362364"/>
      <w:bookmarkStart w:id="148" w:name="_Ref125366689"/>
      <w:bookmarkStart w:id="149" w:name="_Ref125364340_Копия_1"/>
      <w:bookmarkEnd w:id="149"/>
      <w:r>
        <w:rPr/>
        <w:t>Рассмотрение заявок (отборочная стадия)</w:t>
      </w:r>
      <w:bookmarkEnd w:id="147"/>
      <w:bookmarkEnd w:id="148"/>
      <w:r>
        <w:rPr/>
        <w:t>, в том числе (при необходимости) проведение аккредитации</w:t>
      </w:r>
      <w:bookmarkEnd w:id="145"/>
      <w:bookmarkEnd w:id="146"/>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50" w:name="_Ref228878865"/>
      <w:r>
        <w:rPr/>
        <w:t>При выявлении в рамках рассмотрения заявок наличия арифметических ошибок, в том числе:</w:t>
      </w:r>
      <w:bookmarkEnd w:id="150"/>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51"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51"/>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_Ref228878865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_Ref125359973 \r \h </w:instrText>
      </w:r>
      <w:r>
        <w:rPr/>
        <w:fldChar w:fldCharType="separate"/>
      </w:r>
      <w:r>
        <w:rPr/>
        <w:t>1.2</w:t>
      </w:r>
      <w:r>
        <w:rPr/>
        <w:fldChar w:fldCharType="end"/>
      </w:r>
      <w:r>
        <w:rPr/>
        <w:t>,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52" w:name="_Ref125551524"/>
      <w:r>
        <w:rPr/>
        <w:t>решение о проведении или непроведении переторжки,</w:t>
      </w:r>
      <w:bookmarkEnd w:id="152"/>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53" w:name="_Ref125362381"/>
      <w:bookmarkStart w:id="154" w:name="_Ref125362425"/>
      <w:bookmarkStart w:id="155" w:name="_Ref125362464"/>
      <w:bookmarkStart w:id="156" w:name="_Ref125362610"/>
      <w:bookmarkStart w:id="157" w:name="_Toc228976348"/>
      <w:r>
        <w:rPr/>
        <w:t>Дополнительные запросы разъяснений заявок</w:t>
      </w:r>
      <w:bookmarkEnd w:id="153"/>
      <w:bookmarkEnd w:id="154"/>
      <w:bookmarkEnd w:id="155"/>
      <w:bookmarkEnd w:id="156"/>
      <w:bookmarkEnd w:id="157"/>
    </w:p>
    <w:p>
      <w:pPr>
        <w:pStyle w:val="Style27"/>
        <w:rPr/>
      </w:pPr>
      <w:bookmarkStart w:id="158"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58"/>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_Ref186217606 \r \h </w:instrText>
      </w:r>
      <w:r>
        <w:rPr/>
        <w:fldChar w:fldCharType="separate"/>
      </w:r>
      <w:r>
        <w:rPr/>
        <w:t>4.13</w:t>
      </w:r>
      <w:r>
        <w:rPr/>
        <w:fldChar w:fldCharType="end"/>
      </w:r>
      <w:r>
        <w:rPr/>
        <w:t>)),  договорных условий и расчета цены Договора;</w:t>
      </w:r>
    </w:p>
    <w:p>
      <w:pPr>
        <w:pStyle w:val="Style28"/>
        <w:rPr/>
      </w:pPr>
      <w:bookmarkStart w:id="159"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59"/>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60" w:name="_Ref125362430"/>
      <w:bookmarkStart w:id="161" w:name="_Ref125362537"/>
      <w:bookmarkStart w:id="162" w:name="_Ref127536359"/>
      <w:bookmarkStart w:id="163" w:name="_Toc228976349"/>
      <w:r>
        <w:rPr/>
        <w:t>Переторжка</w:t>
      </w:r>
      <w:bookmarkEnd w:id="160"/>
      <w:bookmarkEnd w:id="161"/>
      <w:bookmarkEnd w:id="162"/>
      <w:bookmarkEnd w:id="16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64"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64"/>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65" w:name="_Ref136244167"/>
      <w:r>
        <w:rPr/>
        <w:t>Документы заявки, подлежащие корректировке по результатам переторжки:</w:t>
      </w:r>
      <w:bookmarkEnd w:id="165"/>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Коллективным участником или Генеральным подрядчиком;</w:t>
      </w:r>
    </w:p>
    <w:p>
      <w:pPr>
        <w:pStyle w:val="Style28"/>
        <w:rPr/>
      </w:pPr>
      <w:bookmarkStart w:id="166" w:name="_Ref130376111"/>
      <w:r>
        <w:rPr/>
        <w:t>иной документ, указанный в протоколе закупки (которым назначена переторжка), связанный с предметом проводимой переторжки.</w:t>
      </w:r>
      <w:bookmarkEnd w:id="166"/>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67" w:name="_Ref125362626"/>
      <w:bookmarkStart w:id="168" w:name="_Ref125365335"/>
      <w:bookmarkStart w:id="169" w:name="_Ref125365519"/>
      <w:bookmarkStart w:id="170" w:name="_Ref125366534"/>
      <w:bookmarkStart w:id="171" w:name="_Ref125369041"/>
      <w:bookmarkStart w:id="172" w:name="_Ref125369308"/>
      <w:bookmarkStart w:id="173" w:name="_Toc228976350"/>
      <w:r>
        <w:rPr/>
        <w:t>Оценка и сопоставление заявок</w:t>
      </w:r>
      <w:bookmarkEnd w:id="167"/>
      <w:bookmarkEnd w:id="168"/>
      <w:bookmarkEnd w:id="169"/>
      <w:bookmarkEnd w:id="170"/>
      <w:bookmarkEnd w:id="171"/>
      <w:bookmarkEnd w:id="172"/>
      <w:bookmarkEnd w:id="173"/>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74" w:name="_Ref186217606"/>
      <w:bookmarkStart w:id="175" w:name="_Ref130985951"/>
      <w:bookmarkStart w:id="176" w:name="_Ref132894106"/>
      <w:bookmarkStart w:id="177" w:name="_Ref132894111"/>
      <w:bookmarkStart w:id="178" w:name="_Toc228976351"/>
      <w:bookmarkStart w:id="179" w:name="_Ref125370507"/>
      <w:bookmarkStart w:id="180" w:name="_Ref130458671"/>
      <w:bookmarkStart w:id="181" w:name="_Ref125369991"/>
      <w:bookmarkStart w:id="182" w:name="_Ref125366064"/>
      <w:r>
        <w:rPr/>
        <w:t>Применение законодательства о национальном режиме</w:t>
      </w:r>
      <w:bookmarkEnd w:id="174"/>
      <w:bookmarkEnd w:id="175"/>
      <w:bookmarkEnd w:id="176"/>
      <w:bookmarkEnd w:id="177"/>
      <w:bookmarkEnd w:id="178"/>
      <w:bookmarkEnd w:id="179"/>
      <w:bookmarkEnd w:id="180"/>
      <w:bookmarkEnd w:id="181"/>
      <w:bookmarkEnd w:id="182"/>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183" w:name="_Ref207797062"/>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3"/>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p>
    <w:p>
      <w:pPr>
        <w:pStyle w:val="Style27"/>
        <w:rPr/>
      </w:pPr>
      <w:bookmarkStart w:id="184"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185"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186" w:name="_Hlk198901350"/>
      <w:r>
        <w:rPr/>
        <w:t>(в том числе поставляемых при выполнении закупаемых работ, оказании закупаемых услуг))</w:t>
      </w:r>
      <w:bookmarkEnd w:id="186"/>
      <w:r>
        <w:rPr/>
        <w:t>, при условии наличия допущенной заявки с иностранной продукцией (на поставку товара иностранного происхождения)</w:t>
      </w:r>
      <w:bookmarkEnd w:id="185"/>
      <w:r>
        <w:rPr/>
        <w:t>.</w:t>
      </w:r>
      <w:bookmarkEnd w:id="184"/>
    </w:p>
    <w:p>
      <w:pPr>
        <w:pStyle w:val="Style27"/>
        <w:rPr/>
      </w:pPr>
      <w:bookmarkStart w:id="187" w:name="_Ref192700787"/>
      <w:bookmarkStart w:id="188" w:name="_Ref196303561"/>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7"/>
      <w:bookmarkEnd w:id="188"/>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_Ref207797062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189" w:name="_Hlk207281039"/>
      <w:r>
        <w:rPr/>
        <w:t>а также в Технических требованиях (Приложение №1) в части установления требований к подтверждающим документам</w:t>
      </w:r>
      <w:bookmarkEnd w:id="189"/>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190"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90"/>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left="1134" w:hanging="0"/>
        <w:outlineLvl w:val="9"/>
        <w:rPr>
          <w:sz w:val="12"/>
          <w:szCs w:val="12"/>
        </w:rPr>
      </w:pPr>
      <w:r>
        <w:rPr>
          <w:sz w:val="12"/>
          <w:szCs w:val="12"/>
        </w:rPr>
      </w:r>
    </w:p>
    <w:p>
      <w:pPr>
        <w:pStyle w:val="Style26"/>
        <w:rPr/>
      </w:pPr>
      <w:bookmarkStart w:id="191" w:name="_Ref125362658"/>
      <w:bookmarkStart w:id="192" w:name="_Ref125366091"/>
      <w:bookmarkStart w:id="193" w:name="_Ref125367242"/>
      <w:bookmarkStart w:id="194" w:name="_Toc228976352"/>
      <w:r>
        <w:rPr/>
        <w:t>Подведение итогов закупки (определение Победителя)</w:t>
      </w:r>
      <w:bookmarkEnd w:id="191"/>
      <w:bookmarkEnd w:id="192"/>
      <w:bookmarkEnd w:id="193"/>
      <w:bookmarkEnd w:id="19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19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9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196" w:name="_Ref125365570"/>
      <w:bookmarkStart w:id="197" w:name="_Toc228976353"/>
      <w:bookmarkStart w:id="198" w:name="_Ref125366796"/>
      <w:bookmarkStart w:id="199" w:name="_Ref125366631"/>
      <w:bookmarkStart w:id="200" w:name="_Ref125365305"/>
      <w:bookmarkStart w:id="201" w:name="_Ref125364187"/>
      <w:bookmarkStart w:id="202" w:name="_Ref125364149"/>
      <w:r>
        <w:rPr/>
        <w:t>Признание закупки несостоявшейся</w:t>
      </w:r>
      <w:bookmarkEnd w:id="196"/>
      <w:bookmarkEnd w:id="197"/>
      <w:bookmarkEnd w:id="198"/>
      <w:bookmarkEnd w:id="199"/>
      <w:bookmarkEnd w:id="200"/>
      <w:bookmarkEnd w:id="201"/>
      <w:bookmarkEnd w:id="202"/>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03"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03"/>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7"/>
        </w:numPr>
        <w:tabs>
          <w:tab w:val="clear" w:pos="2552"/>
        </w:tabs>
        <w:ind w:left="2127" w:hanging="426"/>
        <w:rPr>
          <w:sz w:val="26"/>
          <w:szCs w:val="26"/>
        </w:rPr>
      </w:pPr>
      <w:r>
        <w:rPr>
          <w:sz w:val="26"/>
          <w:szCs w:val="26"/>
        </w:rPr>
        <w:t>повторное проведение закупки;</w:t>
      </w:r>
    </w:p>
    <w:p>
      <w:pPr>
        <w:pStyle w:val="-1"/>
        <w:numPr>
          <w:ilvl w:val="0"/>
          <w:numId w:val="17"/>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8"/>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8"/>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7"/>
        </w:numPr>
        <w:tabs>
          <w:tab w:val="clear" w:pos="2552"/>
        </w:tabs>
        <w:ind w:left="2127" w:hanging="426"/>
        <w:rPr>
          <w:sz w:val="26"/>
          <w:szCs w:val="26"/>
        </w:rPr>
      </w:pPr>
      <w:bookmarkStart w:id="204"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04"/>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05" w:name="_Hlk219297054"/>
      <w:r>
        <w:rPr/>
        <w:t>либо по результатам проведения закупки от заключения договора уклонились все допущенные Участники</w:t>
      </w:r>
      <w:bookmarkEnd w:id="205"/>
      <w:r>
        <w:rPr/>
        <w:t xml:space="preserve"> – Заказчик проводит повторную закупку.</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8"/>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8"/>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06" w:name="_Toc228976354"/>
      <w:bookmarkStart w:id="207" w:name="_Ref126141962"/>
      <w:r>
        <w:rPr/>
        <w:t>Отказ от проведения закупки</w:t>
      </w:r>
      <w:bookmarkEnd w:id="207"/>
      <w:r>
        <w:rPr/>
        <w:t xml:space="preserve"> (отмена закупки)</w:t>
      </w:r>
      <w:bookmarkEnd w:id="206"/>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08" w:name="_Toc228976355"/>
      <w:bookmarkStart w:id="209" w:name="_Ref130455226"/>
      <w:r>
        <w:rPr/>
        <w:t>Особенности проведения закупки с необходимостью обеспечения заявки</w:t>
      </w:r>
      <w:bookmarkEnd w:id="208"/>
      <w:bookmarkEnd w:id="20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рос6 птсийских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_Ref228968767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FootnoteReference"/>
        </w:rPr>
        <w:footnoteReference w:id="12"/>
      </w:r>
      <w:r>
        <w:rPr/>
        <w:t xml:space="preserve">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10" w:name="_Ref228968767"/>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10"/>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11" w:name="_Ref149317414"/>
      <w:bookmarkStart w:id="212" w:name="_Toc228976356"/>
      <w:bookmarkStart w:id="213" w:name="_Ref130225422"/>
      <w:r>
        <w:rPr/>
        <w:t>Особенности проведения многолотовой закупки</w:t>
      </w:r>
      <w:bookmarkEnd w:id="211"/>
      <w:bookmarkEnd w:id="212"/>
      <w:bookmarkEnd w:id="21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14" w:name="_Ref125550863"/>
      <w:bookmarkStart w:id="215" w:name="_Toc228976357"/>
      <w:r>
        <w:rPr/>
        <w:t>Особенности проведения закупки с возможностью подачи альтернативных предложений</w:t>
      </w:r>
      <w:bookmarkEnd w:id="214"/>
      <w:bookmarkEnd w:id="215"/>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5"/>
        <w:rPr/>
      </w:pPr>
      <w:bookmarkStart w:id="216" w:name="_Ref126142429"/>
      <w:bookmarkStart w:id="217" w:name="_Ref130224037"/>
      <w:bookmarkStart w:id="218" w:name="_Toc228976358"/>
      <w:bookmarkStart w:id="219" w:name="_Ref125367087"/>
      <w:bookmarkStart w:id="220" w:name="_Ref125367083"/>
      <w:bookmarkStart w:id="221" w:name="_Ref125366769"/>
      <w:bookmarkStart w:id="222" w:name="_Ref125363439"/>
      <w:bookmarkStart w:id="223" w:name="_Ref125362671"/>
      <w:bookmarkStart w:id="224" w:name="_Ref125361212"/>
      <w:r>
        <w:rPr/>
        <w:t>Порядок заключения Договора</w:t>
      </w:r>
      <w:bookmarkEnd w:id="216"/>
      <w:bookmarkEnd w:id="217"/>
      <w:bookmarkEnd w:id="218"/>
      <w:bookmarkEnd w:id="219"/>
      <w:bookmarkEnd w:id="220"/>
      <w:bookmarkEnd w:id="221"/>
      <w:bookmarkEnd w:id="222"/>
      <w:bookmarkEnd w:id="223"/>
      <w:bookmarkEnd w:id="224"/>
    </w:p>
    <w:p>
      <w:pPr>
        <w:pStyle w:val="Style26"/>
        <w:rPr/>
      </w:pPr>
      <w:bookmarkStart w:id="225" w:name="_Toc228976359"/>
      <w:bookmarkStart w:id="226" w:name="_Ref139028625"/>
      <w:r>
        <w:rPr/>
        <w:t>Общие положения</w:t>
      </w:r>
      <w:bookmarkEnd w:id="225"/>
      <w:bookmarkEnd w:id="226"/>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27" w:name="_Ref138232981"/>
      <w:bookmarkStart w:id="228" w:name="_Toc228976360"/>
      <w:bookmarkStart w:id="229" w:name="_Ref125366947"/>
      <w:bookmarkStart w:id="230" w:name="_Ref135736094"/>
      <w:bookmarkStart w:id="231" w:name="_Ref125368755"/>
      <w:r>
        <w:rPr/>
        <w:t>Заключение Договора</w:t>
      </w:r>
      <w:bookmarkEnd w:id="227"/>
      <w:bookmarkEnd w:id="228"/>
      <w:bookmarkEnd w:id="229"/>
      <w:bookmarkEnd w:id="230"/>
      <w:bookmarkEnd w:id="231"/>
    </w:p>
    <w:p>
      <w:pPr>
        <w:pStyle w:val="Style27"/>
        <w:rPr/>
      </w:pPr>
      <w:bookmarkStart w:id="232" w:name="_Ref125362935"/>
      <w:bookmarkStart w:id="233"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2"/>
      <w:bookmarkEnd w:id="233"/>
    </w:p>
    <w:p>
      <w:pPr>
        <w:pStyle w:val="Style27"/>
        <w:rPr/>
      </w:pPr>
      <w:r>
        <w:rPr/>
        <w:t>Договор не может быть заключен, если это запрещено законодательством о национальном режиме .</w:t>
      </w:r>
    </w:p>
    <w:p>
      <w:pPr>
        <w:pStyle w:val="Style27"/>
        <w:rPr/>
      </w:pPr>
      <w:bookmarkStart w:id="234" w:name="_Ref125363464"/>
      <w:bookmarkStart w:id="235" w:name="_Hlk207281466"/>
      <w:bookmarkEnd w:id="235"/>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36" w:name="_Hlk207281494"/>
      <w:bookmarkStart w:id="237" w:name="_Hlk207281466_Копия_1"/>
      <w:bookmarkEnd w:id="237"/>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5"/>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36"/>
    </w:p>
    <w:p>
      <w:pPr>
        <w:pStyle w:val="Style27"/>
        <w:numPr>
          <w:ilvl w:val="0"/>
          <w:numId w:val="15"/>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34"/>
    </w:p>
    <w:p>
      <w:pPr>
        <w:pStyle w:val="Style27"/>
        <w:keepNext w:val="true"/>
        <w:rPr/>
      </w:pPr>
      <w:bookmarkStart w:id="238"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39" w:name="_Hlk207281699"/>
      <w:r>
        <w:rPr/>
        <w:t xml:space="preserve">Portable Document Format </w:t>
      </w:r>
      <w:bookmarkEnd w:id="239"/>
      <w:r>
        <w:rPr/>
        <w:t>(*.</w:t>
      </w:r>
      <w:r>
        <w:rPr>
          <w:lang w:val="en-US"/>
        </w:rPr>
        <w:t>pdf</w:t>
      </w:r>
      <w:r>
        <w:rPr/>
        <w:t>)):</w:t>
      </w:r>
      <w:bookmarkEnd w:id="238"/>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40"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40"/>
      <w:r>
        <w:rPr/>
        <w:t>.</w:t>
      </w:r>
    </w:p>
    <w:p>
      <w:pPr>
        <w:pStyle w:val="Style27"/>
        <w:keepNext w:val="true"/>
        <w:rPr/>
      </w:pPr>
      <w:bookmarkStart w:id="241"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r>
        <w:rPr>
          <w:rStyle w:val="FootnoteReference"/>
        </w:rPr>
        <w:footnoteReference w:id="13"/>
      </w:r>
      <w:r>
        <w:rPr/>
        <w:t>:</w:t>
      </w:r>
      <w:bookmarkEnd w:id="241"/>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42"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42"/>
    </w:p>
    <w:p>
      <w:pPr>
        <w:pStyle w:val="Style29"/>
        <w:rPr/>
      </w:pPr>
      <w:r>
        <w:rP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pPr>
        <w:pStyle w:val="Style29"/>
        <w:rPr/>
      </w:pPr>
      <w:r>
        <w:rP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8"/>
        <w:rPr/>
      </w:pPr>
      <w:bookmarkStart w:id="243"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43"/>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44"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44"/>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45"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45"/>
    </w:p>
    <w:p>
      <w:pPr>
        <w:pStyle w:val="Style27"/>
        <w:keepNext w:val="true"/>
        <w:rPr/>
      </w:pPr>
      <w:bookmarkStart w:id="246" w:name="_Ref125552524"/>
      <w:r>
        <w:rPr/>
        <w:t>Если Договор заключается в электронной форме:</w:t>
      </w:r>
    </w:p>
    <w:p>
      <w:pPr>
        <w:pStyle w:val="Style28"/>
        <w:rPr/>
      </w:pPr>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46"/>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47" w:name="_Ref125552570"/>
      <w:bookmarkStart w:id="248" w:name="_Toc228976361"/>
      <w:r>
        <w:rPr/>
        <w:t>Преддоговорные переговоры</w:t>
      </w:r>
      <w:bookmarkEnd w:id="247"/>
      <w:bookmarkEnd w:id="248"/>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4"/>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49" w:name="_Ref125367068"/>
      <w:bookmarkStart w:id="250" w:name="_Toc228976362"/>
      <w:r>
        <w:rPr/>
        <w:t>Уклонение Победителя от заключения Договора</w:t>
      </w:r>
      <w:bookmarkEnd w:id="249"/>
      <w:bookmarkEnd w:id="250"/>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51" w:name="_Ref125364201"/>
      <w:bookmarkStart w:id="252" w:name="Прил01_ТехТребования"/>
      <w:bookmarkStart w:id="253" w:name="_Ref125370843"/>
      <w:bookmarkStart w:id="254" w:name="_Ref125370750"/>
      <w:bookmarkStart w:id="255" w:name="_Toc228976363"/>
      <w:bookmarkStart w:id="256" w:name="_Ref125370741"/>
      <w:bookmarkStart w:id="257" w:name="_Ref125370732"/>
      <w:bookmarkStart w:id="258" w:name="_Ref125364088"/>
      <w:bookmarkStart w:id="259" w:name="_Ref125363752"/>
      <w:bookmarkStart w:id="260" w:name="_Ref125363600"/>
      <w:bookmarkStart w:id="261" w:name="_Ref125363034"/>
      <w:bookmarkStart w:id="262" w:name="_Ref125363023"/>
      <w:bookmarkStart w:id="263" w:name="_Ref125363016"/>
      <w:bookmarkStart w:id="264" w:name="_Ref125370746"/>
      <w:r>
        <w:rPr/>
        <w:t>Приложение № 1 – Технические требования</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Style26"/>
        <w:rPr/>
      </w:pPr>
      <w:bookmarkStart w:id="265" w:name="_Toc228976364"/>
      <w:r>
        <w:rPr/>
        <w:t>Пояснения к Техническим требованиям</w:t>
      </w:r>
      <w:bookmarkEnd w:id="265"/>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266" w:name="_Toc228976365"/>
      <w:bookmarkStart w:id="267" w:name="Прил02_ПроектДоговора"/>
      <w:bookmarkStart w:id="268" w:name="_Ref125370754"/>
      <w:bookmarkStart w:id="269" w:name="_Ref125364081"/>
      <w:bookmarkStart w:id="270" w:name="_Ref125363759"/>
      <w:bookmarkStart w:id="271" w:name="_Ref125363605"/>
      <w:bookmarkStart w:id="272" w:name="_Ref125363040"/>
      <w:bookmarkStart w:id="273" w:name="_Ref125361746"/>
      <w:bookmarkStart w:id="274" w:name="_Ref125364206"/>
      <w:r>
        <w:rPr/>
        <w:t>Приложение № 2 – Проект договора</w:t>
      </w:r>
      <w:bookmarkEnd w:id="266"/>
      <w:bookmarkEnd w:id="267"/>
      <w:bookmarkEnd w:id="268"/>
      <w:bookmarkEnd w:id="269"/>
      <w:bookmarkEnd w:id="270"/>
      <w:bookmarkEnd w:id="271"/>
      <w:bookmarkEnd w:id="272"/>
      <w:bookmarkEnd w:id="273"/>
      <w:bookmarkEnd w:id="274"/>
    </w:p>
    <w:p>
      <w:pPr>
        <w:pStyle w:val="Style26"/>
        <w:rPr/>
      </w:pPr>
      <w:bookmarkStart w:id="275" w:name="_Toc228976366"/>
      <w:r>
        <w:rPr/>
        <w:t>Пояснения к Проекту договора</w:t>
      </w:r>
      <w:bookmarkEnd w:id="275"/>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276" w:name="_Hlk132883778"/>
      <w:r>
        <w:rPr/>
        <w:t>как «Некритичные пункты Проекта договора»</w:t>
      </w:r>
      <w:bookmarkEnd w:id="276"/>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7" w:name="_MON_1736255517"/>
      <w:bookmarkEnd w:id="277"/>
    </w:p>
    <w:p>
      <w:pPr>
        <w:sectPr>
          <w:headerReference w:type="default" r:id="rId16"/>
          <w:headerReference w:type="first" r:id="rId17"/>
          <w:footerReference w:type="default" r:id="rId18"/>
          <w:footerReference w:type="first" r:id="rId1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4" coordsize="21600,21600" o:spt="ole_rId1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4" type="_x0000_tole_rId14" style="width:79.85pt;height:49pt;mso-wrap-distance-right:0pt" filled="f" o:ole="">
            <v:imagedata r:id="rId15" o:title=""/>
          </v:shape>
          <o:OLEObject Type="Embed" ProgID="Word.Document.12" ShapeID="ole_rId14" DrawAspect="Icon" ObjectID="_759185034" r:id="rId14"/>
        </w:object>
      </w:r>
    </w:p>
    <w:p>
      <w:pPr>
        <w:pStyle w:val="Style25"/>
        <w:rPr/>
      </w:pPr>
      <w:bookmarkStart w:id="278" w:name="_Ref125365476"/>
      <w:bookmarkStart w:id="279" w:name="Прил03_ТребованияУчастникам"/>
      <w:bookmarkStart w:id="280" w:name="_Ref125370013"/>
      <w:bookmarkStart w:id="281" w:name="_Ref125361908"/>
      <w:bookmarkStart w:id="282" w:name="_Ref125361494"/>
      <w:bookmarkStart w:id="283" w:name="_Toc228976367"/>
      <w:r>
        <w:rPr/>
        <w:t>Приложение № 3 – Требования к Участникам</w:t>
      </w:r>
      <w:bookmarkEnd w:id="278"/>
      <w:bookmarkEnd w:id="279"/>
      <w:bookmarkEnd w:id="280"/>
      <w:bookmarkEnd w:id="281"/>
      <w:bookmarkEnd w:id="282"/>
      <w:bookmarkEnd w:id="283"/>
    </w:p>
    <w:p>
      <w:pPr>
        <w:pStyle w:val="Style26"/>
        <w:rPr/>
      </w:pPr>
      <w:bookmarkStart w:id="284" w:name="_Toc228976368"/>
      <w:r>
        <w:rPr/>
        <w:t>Пояснения к требованиям к Участникам</w:t>
      </w:r>
      <w:bookmarkEnd w:id="284"/>
    </w:p>
    <w:p>
      <w:pPr>
        <w:pStyle w:val="Style27"/>
        <w:rPr/>
      </w:pPr>
      <w:bookmarkStart w:id="285"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85"/>
    </w:p>
    <w:p>
      <w:pPr>
        <w:pStyle w:val="Style26"/>
        <w:spacing w:before="360" w:after="120"/>
        <w:rPr/>
      </w:pPr>
      <w:bookmarkStart w:id="286" w:name="_Ref125368812"/>
      <w:bookmarkStart w:id="287" w:name="_Ref125370071"/>
      <w:bookmarkStart w:id="288" w:name="_Ref125370064"/>
      <w:bookmarkStart w:id="289" w:name="_Toc228976369"/>
      <w:bookmarkStart w:id="290" w:name="_Ref125370058"/>
      <w:bookmarkStart w:id="291" w:name="_Ref125369088"/>
      <w:bookmarkStart w:id="292" w:name="_Ref125368895"/>
      <w:bookmarkStart w:id="293" w:name="_Ref125366879"/>
      <w:bookmarkStart w:id="294" w:name="_Ref125361926"/>
      <w:bookmarkStart w:id="295" w:name="_Ref125361846"/>
      <w:bookmarkStart w:id="296" w:name="_Ref125361832"/>
      <w:bookmarkStart w:id="297" w:name="_Ref125361590"/>
      <w:bookmarkStart w:id="298" w:name="_Ref125361435"/>
      <w:bookmarkStart w:id="299" w:name="_Ref125361617"/>
      <w:r>
        <w:rPr/>
        <w:t>Обязательные требования</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128"/>
        <w:gridCol w:w="5890"/>
        <w:gridCol w:w="8108"/>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890"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10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0" w:name="_Ref125552433"/>
            <w:bookmarkStart w:id="301" w:name="_Ref125552433"/>
            <w:bookmarkEnd w:id="301"/>
          </w:p>
        </w:tc>
        <w:tc>
          <w:tcPr>
            <w:tcW w:w="5890"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  </w:t>
            </w:r>
            <w:r>
              <w:rPr>
                <w:rFonts w:eastAsia="Calibri" w:cs=""/>
                <w:kern w:val="0"/>
                <w:sz w:val="24"/>
                <w:szCs w:val="24"/>
                <w:lang w:val="ru-RU" w:eastAsia="en-US" w:bidi="ar-SA"/>
              </w:rPr>
              <w:t>(</w:t>
            </w:r>
            <w:hyperlink r:id="rId20">
              <w:r>
                <w:rPr>
                  <w:rStyle w:val="Hyperlink"/>
                  <w:rFonts w:eastAsia="Calibri" w:cs=""/>
                  <w:kern w:val="0"/>
                  <w:sz w:val="24"/>
                  <w:szCs w:val="24"/>
                  <w:lang w:val="ru-RU" w:eastAsia="en-US" w:bidi="ar-SA"/>
                </w:rPr>
                <w:t>http://accreditation.rushydro.ru/accreditation/information</w:t>
              </w:r>
            </w:hyperlink>
            <w:r>
              <w:rPr>
                <w:rFonts w:eastAsia="Calibri" w:cs=""/>
                <w:kern w:val="0"/>
                <w:sz w:val="24"/>
                <w:szCs w:val="24"/>
                <w:lang w:val="ru-RU" w:eastAsia="en-US" w:bidi="ar-SA"/>
              </w:rPr>
              <w:t>)</w:t>
            </w:r>
          </w:p>
        </w:tc>
        <w:tc>
          <w:tcPr>
            <w:tcW w:w="8108"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4"/>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2" w:name="_Ref139028406"/>
            <w:bookmarkStart w:id="303" w:name="_Ref139028406"/>
            <w:bookmarkEnd w:id="303"/>
          </w:p>
        </w:tc>
        <w:tc>
          <w:tcPr>
            <w:tcW w:w="5890"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5"/>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6"/>
            </w:r>
            <w:r>
              <w:rPr>
                <w:rFonts w:eastAsia="Calibri" w:cs=""/>
                <w:kern w:val="0"/>
                <w:sz w:val="26"/>
                <w:szCs w:val="22"/>
                <w:lang w:val="ru-RU" w:eastAsia="en-US" w:bidi="ar-SA"/>
              </w:rPr>
              <w:t>:</w:t>
            </w:r>
          </w:p>
        </w:tc>
        <w:tc>
          <w:tcPr>
            <w:tcW w:w="8108"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4" w:name="_Ref186217850"/>
            <w:bookmarkStart w:id="305" w:name="_Ref186217850"/>
            <w:bookmarkEnd w:id="305"/>
          </w:p>
        </w:tc>
        <w:tc>
          <w:tcPr>
            <w:tcW w:w="5890"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108"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6" w:name="_Ref186217855"/>
            <w:bookmarkStart w:id="307" w:name="_Ref186217855"/>
            <w:bookmarkEnd w:id="307"/>
          </w:p>
        </w:tc>
        <w:tc>
          <w:tcPr>
            <w:tcW w:w="5890"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108"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p>
            <w:pPr>
              <w:pStyle w:val="Style31"/>
              <w:widowControl w:val="false"/>
              <w:suppressAutoHyphens w:val="true"/>
              <w:spacing w:before="60" w:after="60"/>
              <w:rPr>
                <w:i/>
                <w:i/>
                <w:iCs/>
              </w:rPr>
            </w:pPr>
            <w:r>
              <w:rPr>
                <w:i/>
                <w:iCs/>
              </w:rPr>
            </w:r>
          </w:p>
        </w:tc>
      </w:tr>
    </w:tbl>
    <w:p>
      <w:pPr>
        <w:pStyle w:val="Style26"/>
        <w:spacing w:before="360" w:after="120"/>
        <w:rPr/>
      </w:pPr>
      <w:bookmarkStart w:id="308" w:name="_Ref125709888"/>
      <w:bookmarkStart w:id="309" w:name="_Ref125709401"/>
      <w:bookmarkStart w:id="310" w:name="_Ref125709250"/>
      <w:bookmarkStart w:id="311" w:name="_Ref125709153"/>
      <w:bookmarkStart w:id="312" w:name="_Ref125370079"/>
      <w:bookmarkStart w:id="313" w:name="_Ref125369099"/>
      <w:bookmarkStart w:id="314" w:name="_Ref125368916"/>
      <w:bookmarkStart w:id="315" w:name="_Ref125368901"/>
      <w:bookmarkStart w:id="316" w:name="_Ref125368818"/>
      <w:bookmarkStart w:id="317" w:name="_Ref125367539"/>
      <w:bookmarkStart w:id="318" w:name="_Ref125367521"/>
      <w:bookmarkStart w:id="319" w:name="_Ref125365459"/>
      <w:bookmarkStart w:id="320" w:name="_Ref125361937"/>
      <w:bookmarkStart w:id="321" w:name="_Ref125361869"/>
      <w:bookmarkStart w:id="322" w:name="_Ref125361671"/>
      <w:bookmarkStart w:id="323" w:name="_Ref125361633"/>
      <w:bookmarkStart w:id="324" w:name="_Ref125361442"/>
      <w:bookmarkStart w:id="325" w:name="_Toc228976370"/>
      <w:r>
        <w:rPr/>
        <w:t>Специальные требования</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26" w:name="_Ref125709541"/>
      <w:bookmarkStart w:id="327" w:name="_Ref125709256"/>
      <w:bookmarkStart w:id="328" w:name="_Ref125709895"/>
      <w:bookmarkStart w:id="329" w:name="_Toc228976371"/>
      <w:bookmarkStart w:id="330" w:name="_Ref125553681"/>
      <w:bookmarkStart w:id="331" w:name="_Ref125709154"/>
      <w:bookmarkStart w:id="332" w:name="_Ref125553475"/>
      <w:bookmarkStart w:id="333" w:name="_Ref125553296"/>
      <w:bookmarkStart w:id="334" w:name="_Ref125553242"/>
      <w:bookmarkStart w:id="335" w:name="_Ref125550353"/>
      <w:bookmarkStart w:id="336" w:name="_Ref125550270"/>
      <w:r>
        <w:rPr/>
        <w:t>Квалификационные требования</w:t>
      </w:r>
      <w:bookmarkEnd w:id="326"/>
      <w:bookmarkEnd w:id="327"/>
      <w:bookmarkEnd w:id="328"/>
      <w:bookmarkEnd w:id="329"/>
      <w:bookmarkEnd w:id="330"/>
      <w:bookmarkEnd w:id="331"/>
      <w:bookmarkEnd w:id="332"/>
      <w:bookmarkEnd w:id="333"/>
      <w:bookmarkEnd w:id="334"/>
      <w:bookmarkEnd w:id="335"/>
      <w:bookmarkEnd w:id="336"/>
      <w:r>
        <w:rPr/>
        <w:t xml:space="preserve"> (</w:t>
      </w:r>
      <w:r>
        <w:rPr>
          <w:u w:val="single"/>
        </w:rPr>
        <w:t>оценочный)</w:t>
      </w:r>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10"/>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Normal"/>
              <w:widowControl w:val="false"/>
              <w:tabs>
                <w:tab w:val="clear" w:pos="708"/>
                <w:tab w:val="left" w:pos="426" w:leader="none"/>
              </w:tabs>
              <w:spacing w:before="120" w:after="0"/>
              <w:rPr>
                <w:b/>
                <w:sz w:val="24"/>
                <w:szCs w:val="24"/>
              </w:rPr>
            </w:pPr>
            <w:r>
              <w:rPr>
                <w:b/>
                <w:sz w:val="24"/>
                <w:szCs w:val="24"/>
              </w:rPr>
              <w:t>Требования к наличию опыта:</w:t>
            </w:r>
          </w:p>
          <w:p>
            <w:pPr>
              <w:pStyle w:val="Normal"/>
              <w:widowControl w:val="false"/>
              <w:rPr>
                <w:b/>
              </w:rPr>
            </w:pPr>
            <w:r>
              <w:rPr>
                <w:rFonts w:eastAsia="Calibri"/>
                <w:iCs/>
                <w:sz w:val="24"/>
                <w:szCs w:val="24"/>
              </w:rPr>
              <w:t>Наличие опыта за последние 3 года выполнения поставок ГСМ, при этом Участником должны быть исполнены обязательства в общем/совокупном объеме не менее 50 % от начальной (максимальной) цены договора, указанной в извещении о закупке; с учетом правопреемства.</w:t>
            </w:r>
          </w:p>
          <w:p>
            <w:pPr>
              <w:pStyle w:val="Normal"/>
              <w:widowControl w:val="false"/>
              <w:rPr>
                <w:b/>
              </w:rPr>
            </w:pPr>
            <w:r>
              <w:rPr>
                <w:b/>
              </w:rPr>
            </w:r>
          </w:p>
          <w:p>
            <w:pPr>
              <w:pStyle w:val="Normal"/>
              <w:widowControl w:val="false"/>
              <w:rPr>
                <w:b/>
              </w:rPr>
            </w:pPr>
            <w:r>
              <w:rPr>
                <w:b/>
              </w:rPr>
            </w:r>
          </w:p>
          <w:p>
            <w:pPr>
              <w:pStyle w:val="Normal"/>
              <w:widowControl w:val="false"/>
              <w:spacing w:before="120" w:after="120"/>
              <w:rPr>
                <w:b/>
                <w:i/>
                <w:i/>
                <w:shd w:fill="FFFF99" w:val="clear"/>
              </w:rPr>
            </w:pPr>
            <w:r>
              <w:rPr>
                <w:rFonts w:eastAsia="Calibri"/>
                <w:b/>
                <w:iCs/>
                <w:sz w:val="24"/>
                <w:szCs w:val="24"/>
              </w:rPr>
              <w:t>Отсутствие опыта не является основанием для отклонения заявки Участника.</w:t>
            </w:r>
          </w:p>
        </w:tc>
        <w:tc>
          <w:tcPr>
            <w:tcW w:w="8327" w:type="dxa"/>
            <w:tcBorders/>
          </w:tcPr>
          <w:p>
            <w:pPr>
              <w:pStyle w:val="Normal"/>
              <w:widowControl w:val="false"/>
              <w:spacing w:before="120" w:after="0"/>
              <w:rPr>
                <w:rFonts w:eastAsia="Calibri"/>
                <w:sz w:val="24"/>
                <w:szCs w:val="24"/>
              </w:rPr>
            </w:pPr>
            <w:r>
              <w:rPr>
                <w:rFonts w:eastAsia="Calibri"/>
                <w:iCs/>
                <w:sz w:val="24"/>
                <w:szCs w:val="24"/>
              </w:rPr>
              <w:t>В составе заявки Участник должен предоставить сведения о ранее выполненных договорах по форме «Справка об опыте Участника»(</w:t>
            </w:r>
            <w:r>
              <w:rPr>
                <w:rFonts w:eastAsia="Calibri" w:cs=""/>
                <w:iCs/>
                <w:kern w:val="0"/>
                <w:sz w:val="26"/>
                <w:szCs w:val="22"/>
                <w:lang w:val="ru-RU" w:eastAsia="en-US" w:bidi="ar-SA"/>
              </w:rPr>
              <w:t xml:space="preserve">форма 6 </w:t>
            </w:r>
            <w:hyperlink w:anchor="Прил04_ФормыЗаявки">
              <w:r>
                <w:rPr>
                  <w:rStyle w:val="Style14"/>
                  <w:rFonts w:eastAsia="Calibri" w:cs=""/>
                  <w:iCs/>
                  <w:kern w:val="0"/>
                  <w:sz w:val="26"/>
                  <w:szCs w:val="22"/>
                  <w:lang w:val="ru-RU" w:eastAsia="en-US" w:bidi="ar-SA"/>
                </w:rPr>
                <w:t>Приложение № 4</w:t>
              </w:r>
            </w:hyperlink>
            <w:r>
              <w:rPr>
                <w:rFonts w:eastAsia="Calibri" w:cs=""/>
                <w:iCs/>
                <w:kern w:val="0"/>
                <w:sz w:val="26"/>
                <w:szCs w:val="22"/>
                <w:lang w:val="ru-RU" w:eastAsia="en-US" w:bidi="ar-SA"/>
              </w:rPr>
              <w:t>), с необходимыми приложениями к ней с указанием подтверждающей соответствия Участника установленным требованиям информацией</w:t>
            </w:r>
            <w:r>
              <w:rPr>
                <w:rFonts w:eastAsia="Calibri"/>
                <w:iCs/>
                <w:sz w:val="24"/>
                <w:szCs w:val="24"/>
              </w:rPr>
              <w:t>, а именно</w:t>
            </w:r>
            <w:r>
              <w:rPr>
                <w:rFonts w:eastAsia="Calibri"/>
                <w:sz w:val="24"/>
                <w:szCs w:val="24"/>
              </w:rPr>
              <w:t>:</w:t>
            </w:r>
          </w:p>
          <w:p>
            <w:pPr>
              <w:pStyle w:val="ListParagraph"/>
              <w:widowControl w:val="false"/>
              <w:numPr>
                <w:ilvl w:val="0"/>
                <w:numId w:val="19"/>
              </w:numPr>
              <w:spacing w:before="0" w:after="0"/>
              <w:contextualSpacing/>
              <w:jc w:val="both"/>
              <w:rPr>
                <w:rFonts w:ascii="Times New Roman" w:hAnsi="Times New Roman"/>
                <w:iCs/>
              </w:rPr>
            </w:pPr>
            <w:r>
              <w:rPr>
                <w:iCs/>
              </w:rPr>
              <w:t>Товарно-транспортная накладная формы №1-Т (для учёта товарно-материальных ценностей и расчётов за их перевозки).</w:t>
            </w:r>
          </w:p>
          <w:p>
            <w:pPr>
              <w:pStyle w:val="ListParagraph"/>
              <w:widowControl w:val="false"/>
              <w:numPr>
                <w:ilvl w:val="0"/>
                <w:numId w:val="19"/>
              </w:numPr>
              <w:spacing w:before="0" w:after="0"/>
              <w:contextualSpacing/>
              <w:jc w:val="both"/>
              <w:rPr>
                <w:rFonts w:ascii="Times New Roman" w:hAnsi="Times New Roman"/>
                <w:iCs/>
              </w:rPr>
            </w:pPr>
            <w:r>
              <w:rPr>
                <w:iCs/>
              </w:rPr>
              <w:t>Товарная накладная унифицированной формы ТОРГ-12.</w:t>
            </w:r>
          </w:p>
          <w:p>
            <w:pPr>
              <w:pStyle w:val="ListParagraph"/>
              <w:widowControl w:val="false"/>
              <w:numPr>
                <w:ilvl w:val="0"/>
                <w:numId w:val="19"/>
              </w:numPr>
              <w:spacing w:before="0" w:after="120"/>
              <w:contextualSpacing/>
              <w:jc w:val="both"/>
              <w:rPr>
                <w:rFonts w:ascii="Times New Roman" w:hAnsi="Times New Roman"/>
                <w:i/>
                <w:i/>
                <w:shd w:fill="FFFF99" w:val="clear"/>
              </w:rPr>
            </w:pPr>
            <w:r>
              <w:rPr>
                <w:iCs/>
              </w:rPr>
              <w:t xml:space="preserve">Оригинал счета </w:t>
            </w:r>
          </w:p>
          <w:p>
            <w:pPr>
              <w:pStyle w:val="ListParagraph"/>
              <w:widowControl w:val="false"/>
              <w:numPr>
                <w:ilvl w:val="0"/>
                <w:numId w:val="19"/>
              </w:numPr>
              <w:spacing w:before="0" w:after="120"/>
              <w:contextualSpacing/>
              <w:jc w:val="both"/>
              <w:rPr>
                <w:rFonts w:ascii="Times New Roman" w:hAnsi="Times New Roman"/>
                <w:iCs/>
              </w:rPr>
            </w:pPr>
            <w:r>
              <w:rPr>
                <w:iCs/>
              </w:rPr>
              <w:t>Копия договора</w:t>
            </w:r>
          </w:p>
          <w:p>
            <w:pPr>
              <w:pStyle w:val="Normal"/>
              <w:widowControl w:val="false"/>
              <w:rPr>
                <w:rFonts w:eastAsia="Calibri"/>
                <w:sz w:val="24"/>
                <w:szCs w:val="24"/>
              </w:rPr>
            </w:pPr>
            <w:r>
              <w:rPr>
                <w:rFonts w:eastAsia="Calibri"/>
                <w:iCs/>
                <w:sz w:val="24"/>
                <w:szCs w:val="24"/>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rFonts w:eastAsia="Calibri"/>
                <w:sz w:val="24"/>
                <w:szCs w:val="24"/>
              </w:rPr>
              <w:t>.</w:t>
            </w:r>
          </w:p>
          <w:p>
            <w:pPr>
              <w:pStyle w:val="Normal"/>
              <w:widowControl w:val="false"/>
              <w:spacing w:before="120" w:after="120"/>
              <w:rPr>
                <w:b/>
                <w:i/>
                <w:i/>
                <w:shd w:fill="FFFF99" w:val="clear"/>
              </w:rPr>
            </w:pPr>
            <w:r>
              <w:rPr>
                <w:rFonts w:eastAsia="Calibri"/>
                <w:b/>
                <w:sz w:val="24"/>
                <w:szCs w:val="24"/>
              </w:rPr>
              <w:t>Отсутствие Справки и документов, подтверждающих наличие опыта не является основанием для отклонения заявки Участника.</w:t>
            </w:r>
          </w:p>
        </w:tc>
      </w:tr>
    </w:tbl>
    <w:p>
      <w:pPr>
        <w:pStyle w:val="Style26"/>
        <w:spacing w:before="360" w:after="120"/>
        <w:rPr/>
      </w:pPr>
      <w:bookmarkStart w:id="337" w:name="_Ref125552455"/>
      <w:bookmarkStart w:id="338" w:name="_Ref125553500"/>
      <w:bookmarkStart w:id="339" w:name="_Ref125553692"/>
      <w:bookmarkStart w:id="340" w:name="_Ref125553703"/>
      <w:bookmarkStart w:id="341" w:name="_Ref125709228"/>
      <w:bookmarkStart w:id="342" w:name="_Toc228976372"/>
      <w:r>
        <w:rPr/>
        <w:t>Дополнительные требования к Коллективным участникам</w:t>
      </w:r>
      <w:bookmarkEnd w:id="337"/>
      <w:bookmarkEnd w:id="338"/>
      <w:bookmarkEnd w:id="339"/>
      <w:bookmarkEnd w:id="340"/>
      <w:bookmarkEnd w:id="341"/>
      <w:bookmarkEnd w:id="342"/>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3" w:name="_Ref125370156"/>
            <w:bookmarkStart w:id="344" w:name="_Ref125370156"/>
            <w:bookmarkEnd w:id="34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Члены Коллективного участника должны иметь между собой соглашение (или иной документ), соответствующее нормам ГК РФ:</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_Ref125366972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5" w:name="_Ref125553738"/>
            <w:bookmarkStart w:id="346" w:name="_Ref125553738"/>
            <w:bookmarkEnd w:id="346"/>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7" w:name="_Ref125370162"/>
            <w:bookmarkStart w:id="348" w:name="_Ref125370162"/>
            <w:bookmarkEnd w:id="348"/>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_Ref134705077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3.2.7</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6"/>
        <w:spacing w:before="360" w:after="120"/>
        <w:rPr/>
      </w:pPr>
      <w:bookmarkStart w:id="349" w:name="_Toc228976373"/>
      <w:bookmarkStart w:id="350" w:name="_Ref125709973"/>
      <w:bookmarkStart w:id="351" w:name="_Ref125370209"/>
      <w:bookmarkStart w:id="352" w:name="_Ref125370180"/>
      <w:bookmarkStart w:id="353" w:name="_Ref125370173"/>
      <w:bookmarkStart w:id="354" w:name="_Ref125369117"/>
      <w:bookmarkStart w:id="355" w:name="_Ref125362031"/>
      <w:bookmarkStart w:id="356" w:name="_Ref125361823"/>
      <w:bookmarkStart w:id="357" w:name="_Ref125709777"/>
      <w:r>
        <w:rPr/>
        <w:t>Дополнительные требования к Генеральным подрядчикам</w:t>
      </w:r>
      <w:bookmarkEnd w:id="349"/>
      <w:bookmarkEnd w:id="350"/>
      <w:bookmarkEnd w:id="351"/>
      <w:bookmarkEnd w:id="352"/>
      <w:bookmarkEnd w:id="353"/>
      <w:bookmarkEnd w:id="354"/>
      <w:bookmarkEnd w:id="355"/>
      <w:bookmarkEnd w:id="356"/>
      <w:bookmarkEnd w:id="357"/>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8" w:name="_Ref125370187"/>
            <w:bookmarkStart w:id="359" w:name="_Ref125370187"/>
            <w:bookmarkEnd w:id="35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0" w:name="_Ref125370199"/>
            <w:bookmarkStart w:id="361" w:name="_Ref125370199"/>
            <w:bookmarkEnd w:id="361"/>
          </w:p>
        </w:tc>
        <w:tc>
          <w:tcPr>
            <w:tcW w:w="5671" w:type="dxa"/>
            <w:tcBorders/>
          </w:tcPr>
          <w:p>
            <w:pPr>
              <w:pStyle w:val="Style31"/>
              <w:widowControl w:val="false"/>
              <w:suppressAutoHyphens w:val="true"/>
              <w:spacing w:before="60" w:after="60"/>
              <w:rPr>
                <w:sz w:val="24"/>
                <w:szCs w:val="24"/>
              </w:rPr>
            </w:pPr>
            <w:r>
              <w:rPr>
                <w:rFonts w:eastAsia="Calibri" w:cs=""/>
                <w:kern w:val="0"/>
                <w:sz w:val="24"/>
                <w:szCs w:val="24"/>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3"/>
              </w:numPr>
              <w:suppressAutoHyphens w:val="true"/>
              <w:spacing w:before="60" w:after="60"/>
              <w:ind w:left="284" w:hanging="284"/>
              <w:rPr>
                <w:sz w:val="24"/>
                <w:szCs w:val="24"/>
              </w:rPr>
            </w:pPr>
            <w:r>
              <w:rPr>
                <w:rFonts w:eastAsia="Calibri" w:cs=""/>
                <w:kern w:val="0"/>
                <w:sz w:val="24"/>
                <w:szCs w:val="24"/>
                <w:lang w:val="ru-RU" w:eastAsia="en-US" w:bidi="ar-SA"/>
              </w:rPr>
              <w:t>осведомлен о привлечении его в качестве субподрядчика;</w:t>
            </w:r>
          </w:p>
          <w:p>
            <w:pPr>
              <w:pStyle w:val="Style31"/>
              <w:widowControl w:val="false"/>
              <w:numPr>
                <w:ilvl w:val="0"/>
                <w:numId w:val="13"/>
              </w:numPr>
              <w:suppressAutoHyphens w:val="true"/>
              <w:spacing w:before="60" w:after="60"/>
              <w:ind w:left="284" w:hanging="284"/>
              <w:rPr>
                <w:sz w:val="24"/>
                <w:szCs w:val="24"/>
              </w:rPr>
            </w:pPr>
            <w:r>
              <w:rPr>
                <w:rFonts w:eastAsia="Calibri" w:cs=""/>
                <w:kern w:val="0"/>
                <w:sz w:val="24"/>
                <w:szCs w:val="24"/>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2" w:name="_Ref125370193"/>
            <w:bookmarkStart w:id="363" w:name="_Ref125370193"/>
            <w:bookmarkEnd w:id="363"/>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21"/>
          <w:headerReference w:type="first" r:id="rId22"/>
          <w:footerReference w:type="default" r:id="rId23"/>
          <w:footerReference w:type="first" r:id="rId2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64" w:name="_Toc228976374"/>
      <w:bookmarkStart w:id="365" w:name="Прил04_ФормыЗаявки"/>
      <w:bookmarkEnd w:id="365"/>
      <w:r>
        <w:rPr/>
        <w:t>Приложение № 4 – Образцы форм документов, включаемых в состав заявки</w:t>
      </w:r>
      <w:bookmarkEnd w:id="364"/>
    </w:p>
    <w:p>
      <w:pPr>
        <w:pStyle w:val="Style26"/>
        <w:rPr/>
      </w:pPr>
      <w:bookmarkStart w:id="366" w:name="_Toc228976375"/>
      <w:r>
        <w:rPr/>
        <w:t>Пояснения к Образцам форм документов, включаемых в состав заявки</w:t>
      </w:r>
      <w:bookmarkEnd w:id="366"/>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367" w:name="_Toc228976376"/>
      <w:bookmarkStart w:id="368" w:name="Прил05_ФормыПобедителя"/>
      <w:bookmarkEnd w:id="368"/>
      <w:r>
        <w:rPr/>
        <w:t>Приложение № 5 – Образцы форм документов, предоставляемых Победителем</w:t>
      </w:r>
      <w:bookmarkEnd w:id="367"/>
    </w:p>
    <w:p>
      <w:pPr>
        <w:pStyle w:val="Style26"/>
        <w:rPr/>
      </w:pPr>
      <w:bookmarkStart w:id="369" w:name="_Toc228976377"/>
      <w:r>
        <w:rPr/>
        <w:t>Пояснения к Образцам форм документов, предоставляемых Победителем</w:t>
      </w:r>
      <w:bookmarkEnd w:id="369"/>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370" w:name="_Ref130395470"/>
      <w:bookmarkStart w:id="371" w:name="_Toc228976378"/>
      <w:r>
        <w:rPr/>
        <w:t>Форма справки «Сведения о цепочке собственников, включая бенефициаров (в том числе конечных)»</w:t>
      </w:r>
      <w:bookmarkEnd w:id="370"/>
      <w:bookmarkEnd w:id="37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31"/>
        <w:jc w:val="center"/>
        <w:rPr/>
      </w:pPr>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5.65pt;height:49pt;mso-wrap-distance-right:0pt" filled="f" o:ole="">
            <v:imagedata r:id="rId26" o:title=""/>
          </v:shape>
          <o:OLEObject Type="Embed" ProgID="Word.Document.12" ShapeID="ole_rId25" DrawAspect="Icon" ObjectID="_1230879167" r:id="rId25"/>
        </w:object>
      </w:r>
    </w:p>
    <w:p>
      <w:pPr>
        <w:pStyle w:val="Style26"/>
        <w:rPr/>
      </w:pPr>
      <w:bookmarkStart w:id="372" w:name="_Ref130395475"/>
      <w:bookmarkStart w:id="373" w:name="_Toc228976379"/>
      <w:r>
        <w:rPr/>
        <w:t>Форма «Заверение об обстоятельствах»</w:t>
      </w:r>
      <w:bookmarkEnd w:id="372"/>
      <w:bookmarkEnd w:id="373"/>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74" w:name="_MON_1741074184"/>
    </w:p>
    <w:p>
      <w:pPr>
        <w:pStyle w:val="Style31"/>
        <w:spacing w:before="120" w:after="120"/>
        <w:jc w:val="center"/>
        <w:rPr/>
      </w:pPr>
      <w:bookmarkEnd w:id="374"/>
      <w:r>
        <w:rPr/>
        <w:object>
          <v:shapetype id="_x0000_tole_rId27" coordsize="21600,21600" o:spt="ole_rId2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7" type="_x0000_tole_rId27" style="width:79.85pt;height:49pt;mso-wrap-distance-right:0pt;mso-wrap-distance-bottom:6pt" filled="f" o:ole="">
            <v:imagedata r:id="rId28" o:title=""/>
          </v:shape>
          <o:OLEObject Type="Embed" ProgID="Word.Document.12" ShapeID="ole_rId27" DrawAspect="Icon" ObjectID="_986613404" r:id="rId27"/>
        </w:object>
      </w:r>
    </w:p>
    <w:p>
      <w:pPr>
        <w:pStyle w:val="Style25"/>
        <w:rPr/>
      </w:pPr>
      <w:bookmarkStart w:id="375" w:name="_Toc228976380"/>
      <w:bookmarkStart w:id="376" w:name="_Ref125362865"/>
      <w:bookmarkStart w:id="377" w:name="_Ref125362900"/>
      <w:bookmarkStart w:id="378" w:name="Прил06_СоставЗаявки"/>
      <w:bookmarkEnd w:id="378"/>
      <w:r>
        <w:rPr/>
        <w:t>Приложение № 6 – Состав заявки</w:t>
      </w:r>
      <w:bookmarkEnd w:id="375"/>
      <w:bookmarkEnd w:id="376"/>
      <w:bookmarkEnd w:id="377"/>
    </w:p>
    <w:p>
      <w:pPr>
        <w:pStyle w:val="Style26"/>
        <w:rPr/>
      </w:pPr>
      <w:bookmarkStart w:id="379" w:name="_Toc228976381"/>
      <w:r>
        <w:rPr/>
        <w:t>Состав заявки</w:t>
      </w:r>
      <w:bookmarkEnd w:id="379"/>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29" w:type="dxa"/>
        <w:tblLayout w:type="fixed"/>
        <w:tblCellMar>
          <w:top w:w="0" w:type="dxa"/>
          <w:left w:w="57" w:type="dxa"/>
          <w:bottom w:w="0" w:type="dxa"/>
          <w:right w:w="57" w:type="dxa"/>
        </w:tblCellMar>
        <w:tblLook w:noVBand="1" w:val="04a0"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0" w:name="_Ref130389408"/>
            <w:bookmarkStart w:id="381" w:name="_Ref130389408"/>
            <w:bookmarkEnd w:id="381"/>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2" w:name="_Ref130389413"/>
            <w:bookmarkStart w:id="383" w:name="_Ref130389413"/>
            <w:bookmarkEnd w:id="383"/>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4" w:name="_Ref130389419"/>
            <w:bookmarkStart w:id="385" w:name="_Ref130389419"/>
            <w:bookmarkEnd w:id="38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_Ref125366972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Документации о закупке;</w:t>
            </w:r>
          </w:p>
          <w:p>
            <w:pPr>
              <w:pStyle w:val="Style31"/>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9"/>
          <w:headerReference w:type="first" r:id="rId30"/>
          <w:footerReference w:type="default" r:id="rId31"/>
          <w:footerReference w:type="first" r:id="rId32"/>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386" w:name="_Ref125365264"/>
      <w:bookmarkStart w:id="387" w:name="_Toc228976382"/>
      <w:bookmarkStart w:id="388" w:name="Прил07_ОтборочныеКритерии"/>
      <w:bookmarkEnd w:id="388"/>
      <w:r>
        <w:rPr/>
        <w:t>Приложение № 7 – Отборочные критерии рассмотрения заявок</w:t>
      </w:r>
      <w:bookmarkEnd w:id="386"/>
      <w:bookmarkEnd w:id="387"/>
    </w:p>
    <w:p>
      <w:pPr>
        <w:pStyle w:val="Style26"/>
        <w:spacing w:before="360" w:after="120"/>
        <w:rPr>
          <w:rStyle w:val="Style11"/>
          <w:i w:val="false"/>
          <w:i w:val="false"/>
          <w:iCs w:val="false"/>
          <w:shd w:fill="auto" w:val="clear"/>
        </w:rPr>
      </w:pPr>
      <w:bookmarkStart w:id="389" w:name="_Toc228976383"/>
      <w:r>
        <w:rPr>
          <w:rStyle w:val="Style11"/>
          <w:i w:val="false"/>
          <w:iCs w:val="false"/>
          <w:shd w:fill="auto" w:val="clear"/>
        </w:rPr>
        <w:t>Отборочные критерии рассмотрения заявок</w:t>
      </w:r>
      <w:bookmarkEnd w:id="389"/>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_Ref186217850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_Ref186217855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_Ref125370156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p>
            <w:pPr>
              <w:pStyle w:val="Style31"/>
              <w:widowControl w:val="false"/>
              <w:suppressAutoHyphens w:val="true"/>
              <w:spacing w:before="60" w:after="60"/>
              <w:ind w:left="219"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Юр</w:t>
            </w:r>
          </w:p>
        </w:tc>
      </w:tr>
      <w:tr>
        <w:trPr/>
        <w:tc>
          <w:tcPr>
            <w:tcW w:w="1412" w:type="dxa"/>
            <w:tcBorders/>
          </w:tcPr>
          <w:p>
            <w:pPr>
              <w:pStyle w:val="Style31"/>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p>
            <w:pPr>
              <w:pStyle w:val="Style31"/>
              <w:widowControl w:val="false"/>
              <w:suppressAutoHyphens w:val="true"/>
              <w:spacing w:before="60" w:after="60"/>
              <w:ind w:left="219"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Ошибка: источник перекрёстной ссылки не найден</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 xml:space="preserve">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390" w:name="_Toc228976384"/>
      <w:r>
        <w:rPr>
          <w:rStyle w:val="Style11"/>
          <w:i w:val="false"/>
          <w:iCs w:val="false"/>
          <w:shd w:fill="auto" w:val="clear"/>
        </w:rPr>
        <w:t>Дополнительные критерии проверки заявок на соответствие условиям Документации о закупке</w:t>
      </w:r>
      <w:bookmarkEnd w:id="390"/>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_Ref132894106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left="1701" w:hanging="1701"/>
        <w:rPr/>
      </w:pPr>
      <w:r>
        <w:rPr>
          <w:b/>
          <w:bCs/>
        </w:rPr>
        <w:t>Орг</w:t>
      </w:r>
      <w:r>
        <w:rPr/>
        <w:tab/>
        <w:t>–</w:t>
        <w:tab/>
      </w:r>
      <w:bookmarkStart w:id="391" w:name="_Hlk138342484"/>
      <w:r>
        <w:rP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91"/>
      <w:r>
        <w:rPr/>
        <w:t xml:space="preserve">; </w:t>
      </w:r>
      <w:bookmarkStart w:id="392" w:name="_Hlk138342546"/>
      <w:r>
        <w:rPr/>
        <w:t xml:space="preserve">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w:t>
      </w:r>
      <w:bookmarkEnd w:id="392"/>
      <w:r>
        <w:rPr/>
        <w:t>,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p>
    <w:p>
      <w:pPr>
        <w:pStyle w:val="Style3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93"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93"/>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394"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394"/>
      <w:r>
        <w:rPr/>
        <w:t>;</w:t>
      </w:r>
    </w:p>
    <w:p>
      <w:pPr>
        <w:pStyle w:val="Style3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left="1701" w:hanging="1701"/>
        <w:rPr/>
      </w:pPr>
      <w:r>
        <w:rPr>
          <w:b/>
          <w:bCs/>
        </w:rPr>
        <w:t>Цена</w:t>
      </w:r>
      <w:r>
        <w:rPr/>
        <w:tab/>
        <w:t>–</w:t>
        <w:tab/>
      </w:r>
      <w:bookmarkStart w:id="395" w:name="_Hlk207643647"/>
      <w:r>
        <w:rPr/>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395"/>
      <w:r>
        <w:rPr/>
        <w:t xml:space="preserve"> непревышения ценового предложения участника установленного размера НМЦ;</w:t>
      </w:r>
    </w:p>
    <w:p>
      <w:pPr>
        <w:pStyle w:val="Style31"/>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3"/>
          <w:headerReference w:type="first" r:id="rId34"/>
          <w:footerReference w:type="default" r:id="rId35"/>
          <w:footerReference w:type="first" r:id="rId36"/>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396" w:name="_Toc228976385"/>
      <w:bookmarkStart w:id="397" w:name="_Ref125369438"/>
      <w:bookmarkStart w:id="398" w:name="_Ref125369021"/>
      <w:bookmarkStart w:id="399" w:name="_Ref125368331"/>
      <w:bookmarkStart w:id="400" w:name="_Ref125368313"/>
      <w:bookmarkStart w:id="401" w:name="_Ref125368302"/>
      <w:bookmarkStart w:id="402" w:name="_Ref125368291"/>
      <w:bookmarkStart w:id="403" w:name="_Ref125368283"/>
      <w:bookmarkStart w:id="404" w:name="_Ref125368184"/>
      <w:bookmarkStart w:id="405" w:name="_Ref125368172"/>
      <w:bookmarkStart w:id="406" w:name="_Ref125368150"/>
      <w:bookmarkStart w:id="407" w:name="_Ref125368140"/>
      <w:bookmarkStart w:id="408" w:name="_Ref125366285"/>
      <w:bookmarkStart w:id="409" w:name="_Ref125366280"/>
      <w:bookmarkStart w:id="410" w:name="_Ref125366013"/>
      <w:bookmarkStart w:id="411" w:name="_Ref125361951"/>
      <w:bookmarkStart w:id="412" w:name="_Ref125361648"/>
      <w:bookmarkStart w:id="413" w:name="_Ref125368165"/>
      <w:bookmarkStart w:id="414" w:name="Прил08_ПорядокОценки"/>
      <w:bookmarkEnd w:id="414"/>
      <w:r>
        <w:rPr/>
        <w:t>Приложение № 8 – Порядок и критерии оценки и сопоставления заявок</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Style26"/>
        <w:rPr/>
      </w:pPr>
      <w:bookmarkStart w:id="415" w:name="_Toc228976386"/>
      <w:r>
        <w:rPr/>
        <w:t>Порядок и критерии оценки и сопоставления заявок</w:t>
      </w:r>
      <w:bookmarkEnd w:id="415"/>
    </w:p>
    <w:p>
      <w:pPr>
        <w:pStyle w:val="Style27"/>
        <w:rPr/>
      </w:pPr>
      <w:r>
        <w:rPr/>
        <w:t>Расчет итоговой оценки предпочтительности каждой заявки, успешно прошедшей отборочную стадию (подраздел </w:t>
      </w:r>
      <w:r>
        <w:rPr/>
        <w:fldChar w:fldCharType="begin"/>
      </w:r>
      <w:r>
        <w:rPr/>
        <w:instrText xml:space="preserve"> REF _Ref125362364 \w \h </w:instrText>
      </w:r>
      <w:r>
        <w:rPr/>
        <w:fldChar w:fldCharType="separate"/>
      </w:r>
      <w:r>
        <w:rPr/>
        <w:t>4.9</w:t>
      </w:r>
      <w:r>
        <w:rPr/>
        <w:fldChar w:fldCharType="end"/>
      </w:r>
      <w:r>
        <w:rPr/>
        <w:t>),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31"/>
        <w:spacing w:before="120" w:after="120"/>
        <w:ind w:left="1134" w:hanging="0"/>
        <w:rPr>
          <w:rStyle w:val="Style11"/>
        </w:rPr>
      </w:pPr>
      <w:r>
        <w:rPr/>
      </w:r>
    </w:p>
    <w:tbl>
      <w:tblPr>
        <w:tblStyle w:val="af6"/>
        <w:tblW w:w="15210" w:type="dxa"/>
        <w:jc w:val="left"/>
        <w:tblInd w:w="-46" w:type="dxa"/>
        <w:tblLayout w:type="fixed"/>
        <w:tblCellMar>
          <w:top w:w="0" w:type="dxa"/>
          <w:left w:w="57" w:type="dxa"/>
          <w:bottom w:w="0" w:type="dxa"/>
          <w:right w:w="57" w:type="dxa"/>
        </w:tblCellMar>
        <w:tblLook w:noVBand="1" w:val="04a0" w:noHBand="0" w:lastColumn="0" w:firstColumn="1" w:lastRow="0" w:firstRow="1"/>
      </w:tblPr>
      <w:tblGrid>
        <w:gridCol w:w="1078"/>
        <w:gridCol w:w="1696"/>
        <w:gridCol w:w="1711"/>
        <w:gridCol w:w="1589"/>
        <w:gridCol w:w="2206"/>
        <w:gridCol w:w="1755"/>
        <w:gridCol w:w="5174"/>
      </w:tblGrid>
      <w:tr>
        <w:trPr>
          <w:cnfStyle w:val="100000000000" w:firstRow="1" w:lastRow="0" w:firstColumn="0" w:lastColumn="0" w:oddVBand="0" w:evenVBand="0" w:oddHBand="0" w:evenHBand="0" w:firstRowFirstColumn="0" w:firstRowLastColumn="0" w:lastRowFirstColumn="0" w:lastRowLastColumn="0"/>
        </w:trPr>
        <w:tc>
          <w:tcPr>
            <w:tcW w:w="1078" w:type="dxa"/>
            <w:vMerge w:val="restart"/>
            <w:tcBorders/>
          </w:tcPr>
          <w:p>
            <w:pPr>
              <w:pStyle w:val="Style31"/>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Номер критерия оценки в</w:t>
            </w:r>
            <w:r>
              <w:rPr>
                <w:rFonts w:eastAsia="Calibri" w:cs=""/>
                <w:b/>
                <w:kern w:val="0"/>
                <w:sz w:val="18"/>
                <w:szCs w:val="18"/>
                <w:lang w:val="en-US" w:eastAsia="en-US" w:bidi="ar-SA"/>
              </w:rPr>
              <w:t> </w:t>
            </w:r>
            <w:r>
              <w:rPr>
                <w:rFonts w:eastAsia="Calibri" w:cs=""/>
                <w:b/>
                <w:kern w:val="0"/>
                <w:sz w:val="18"/>
                <w:szCs w:val="18"/>
                <w:lang w:val="ru-RU" w:eastAsia="en-US" w:bidi="ar-SA"/>
              </w:rPr>
              <w:t>структуре</w:t>
            </w:r>
          </w:p>
        </w:tc>
        <w:tc>
          <w:tcPr>
            <w:tcW w:w="1696" w:type="dxa"/>
            <w:vMerge w:val="restart"/>
            <w:tcBorders/>
          </w:tcPr>
          <w:p>
            <w:pPr>
              <w:pStyle w:val="Style31"/>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Вид критерия оценки / направление оценки заявок</w:t>
            </w:r>
          </w:p>
        </w:tc>
        <w:tc>
          <w:tcPr>
            <w:tcW w:w="3300" w:type="dxa"/>
            <w:gridSpan w:val="2"/>
            <w:tcBorders/>
          </w:tcPr>
          <w:p>
            <w:pPr>
              <w:pStyle w:val="Style31"/>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Наименование критерия оценки</w:t>
            </w:r>
          </w:p>
        </w:tc>
        <w:tc>
          <w:tcPr>
            <w:tcW w:w="2206" w:type="dxa"/>
            <w:vMerge w:val="restart"/>
            <w:tcBorders/>
          </w:tcPr>
          <w:p>
            <w:pPr>
              <w:pStyle w:val="Style31"/>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Значимость</w:t>
              <w:br/>
              <w:t>критерия оценки</w:t>
            </w:r>
          </w:p>
        </w:tc>
        <w:tc>
          <w:tcPr>
            <w:tcW w:w="1755" w:type="dxa"/>
            <w:vMerge w:val="restart"/>
            <w:tcBorders/>
          </w:tcPr>
          <w:p>
            <w:pPr>
              <w:pStyle w:val="Style31"/>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Содержание частного критерия оценки</w:t>
            </w:r>
          </w:p>
        </w:tc>
        <w:tc>
          <w:tcPr>
            <w:tcW w:w="5174" w:type="dxa"/>
            <w:vMerge w:val="restart"/>
            <w:tcBorders/>
          </w:tcPr>
          <w:p>
            <w:pPr>
              <w:pStyle w:val="Style31"/>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Расчет оценки предпочтительности заявки</w:t>
            </w:r>
          </w:p>
        </w:tc>
      </w:tr>
      <w:tr>
        <w:trPr/>
        <w:tc>
          <w:tcPr>
            <w:tcW w:w="1078" w:type="dxa"/>
            <w:vMerge w:val="continue"/>
            <w:tcBorders/>
          </w:tcPr>
          <w:p>
            <w:pPr>
              <w:pStyle w:val="Style31"/>
              <w:widowControl w:val="false"/>
              <w:suppressAutoHyphens w:val="true"/>
              <w:spacing w:before="40" w:after="40"/>
              <w:jc w:val="center"/>
              <w:rPr>
                <w:sz w:val="18"/>
                <w:szCs w:val="18"/>
              </w:rPr>
            </w:pPr>
            <w:r>
              <w:rPr>
                <w:sz w:val="18"/>
                <w:szCs w:val="18"/>
              </w:rPr>
            </w:r>
          </w:p>
        </w:tc>
        <w:tc>
          <w:tcPr>
            <w:tcW w:w="1696" w:type="dxa"/>
            <w:vMerge w:val="continue"/>
            <w:tcBorders/>
          </w:tcPr>
          <w:p>
            <w:pPr>
              <w:pStyle w:val="Style31"/>
              <w:widowControl w:val="false"/>
              <w:suppressAutoHyphens w:val="true"/>
              <w:spacing w:before="40" w:after="40"/>
              <w:jc w:val="center"/>
              <w:rPr>
                <w:sz w:val="18"/>
                <w:szCs w:val="18"/>
              </w:rPr>
            </w:pPr>
            <w:r>
              <w:rPr>
                <w:sz w:val="18"/>
                <w:szCs w:val="18"/>
              </w:rPr>
            </w:r>
          </w:p>
        </w:tc>
        <w:tc>
          <w:tcPr>
            <w:tcW w:w="1711" w:type="dxa"/>
            <w:tcBorders/>
          </w:tcPr>
          <w:p>
            <w:pPr>
              <w:pStyle w:val="Style31"/>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первого уровня</w:t>
            </w:r>
          </w:p>
        </w:tc>
        <w:tc>
          <w:tcPr>
            <w:tcW w:w="1589" w:type="dxa"/>
            <w:tcBorders/>
          </w:tcPr>
          <w:p>
            <w:pPr>
              <w:pStyle w:val="Style31"/>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второго уровня</w:t>
            </w:r>
          </w:p>
        </w:tc>
        <w:tc>
          <w:tcPr>
            <w:tcW w:w="2206" w:type="dxa"/>
            <w:vMerge w:val="continue"/>
            <w:tcBorders/>
          </w:tcPr>
          <w:p>
            <w:pPr>
              <w:pStyle w:val="Style31"/>
              <w:widowControl w:val="false"/>
              <w:suppressAutoHyphens w:val="true"/>
              <w:spacing w:before="40" w:after="40"/>
              <w:jc w:val="center"/>
              <w:rPr>
                <w:sz w:val="18"/>
                <w:szCs w:val="18"/>
              </w:rPr>
            </w:pPr>
            <w:r>
              <w:rPr>
                <w:sz w:val="18"/>
                <w:szCs w:val="18"/>
              </w:rPr>
            </w:r>
          </w:p>
        </w:tc>
        <w:tc>
          <w:tcPr>
            <w:tcW w:w="1755" w:type="dxa"/>
            <w:vMerge w:val="continue"/>
            <w:tcBorders/>
          </w:tcPr>
          <w:p>
            <w:pPr>
              <w:pStyle w:val="Style31"/>
              <w:widowControl w:val="false"/>
              <w:suppressAutoHyphens w:val="true"/>
              <w:spacing w:before="40" w:after="40"/>
              <w:jc w:val="center"/>
              <w:rPr>
                <w:sz w:val="18"/>
                <w:szCs w:val="18"/>
              </w:rPr>
            </w:pPr>
            <w:r>
              <w:rPr>
                <w:sz w:val="18"/>
                <w:szCs w:val="18"/>
              </w:rPr>
            </w:r>
          </w:p>
        </w:tc>
        <w:tc>
          <w:tcPr>
            <w:tcW w:w="5174" w:type="dxa"/>
            <w:vMerge w:val="continue"/>
            <w:tcBorders/>
          </w:tcPr>
          <w:p>
            <w:pPr>
              <w:pStyle w:val="Style31"/>
              <w:widowControl w:val="false"/>
              <w:suppressAutoHyphens w:val="true"/>
              <w:spacing w:before="40" w:after="40"/>
              <w:jc w:val="center"/>
              <w:rPr>
                <w:sz w:val="18"/>
                <w:szCs w:val="18"/>
              </w:rPr>
            </w:pPr>
            <w:r>
              <w:rPr>
                <w:sz w:val="18"/>
                <w:szCs w:val="18"/>
              </w:rPr>
            </w:r>
          </w:p>
        </w:tc>
      </w:tr>
      <w:tr>
        <w:trPr/>
        <w:tc>
          <w:tcPr>
            <w:tcW w:w="1078" w:type="dxa"/>
            <w:tcBorders/>
          </w:tcPr>
          <w:p>
            <w:pPr>
              <w:pStyle w:val="Normal"/>
              <w:widowControl w:val="false"/>
              <w:suppressAutoHyphens w:val="true"/>
              <w:spacing w:before="0" w:after="0"/>
              <w:jc w:val="left"/>
              <w:rPr>
                <w:sz w:val="24"/>
                <w:szCs w:val="24"/>
              </w:rPr>
            </w:pPr>
            <w:r>
              <w:rPr>
                <w:rFonts w:eastAsia="Calibri" w:cs="Times New Roman"/>
                <w:kern w:val="0"/>
                <w:sz w:val="24"/>
                <w:szCs w:val="24"/>
                <w:lang w:val="ru-RU" w:eastAsia="en-US" w:bidi="ar-SA"/>
              </w:rPr>
              <w:t>1</w:t>
            </w:r>
          </w:p>
        </w:tc>
        <w:tc>
          <w:tcPr>
            <w:tcW w:w="1696" w:type="dxa"/>
            <w:tcBorders/>
          </w:tcPr>
          <w:p>
            <w:pPr>
              <w:pStyle w:val="Normal"/>
              <w:widowControl w:val="false"/>
              <w:suppressAutoHyphens w:val="true"/>
              <w:spacing w:before="0" w:after="0"/>
              <w:jc w:val="left"/>
              <w:rPr>
                <w:sz w:val="24"/>
                <w:szCs w:val="24"/>
              </w:rPr>
            </w:pPr>
            <w:r>
              <w:rPr>
                <w:rFonts w:eastAsia="Calibri" w:cs="Times New Roman"/>
                <w:kern w:val="0"/>
                <w:sz w:val="24"/>
                <w:szCs w:val="24"/>
                <w:lang w:val="ru-RU" w:eastAsia="en-US" w:bidi="ar-SA"/>
              </w:rPr>
              <w:t>ЦЕНА</w:t>
            </w:r>
          </w:p>
        </w:tc>
        <w:tc>
          <w:tcPr>
            <w:tcW w:w="1711" w:type="dxa"/>
            <w:tcBorders/>
          </w:tcPr>
          <w:p>
            <w:pPr>
              <w:pStyle w:val="Normal"/>
              <w:widowControl w:val="false"/>
              <w:suppressAutoHyphens w:val="true"/>
              <w:spacing w:before="0" w:after="0"/>
              <w:jc w:val="left"/>
              <w:rPr>
                <w:sz w:val="22"/>
                <w:szCs w:val="22"/>
              </w:rPr>
            </w:pPr>
            <w:r>
              <w:rPr>
                <w:rFonts w:eastAsia="Calibri" w:cs="Times New Roman"/>
                <w:kern w:val="0"/>
                <w:sz w:val="22"/>
                <w:szCs w:val="22"/>
                <w:lang w:val="ru-RU" w:eastAsia="en-US" w:bidi="ar-SA"/>
              </w:rPr>
              <w:t>Ценовой (стоимостной) частный критерий оценки первого уровня</w:t>
            </w:r>
          </w:p>
        </w:tc>
        <w:tc>
          <w:tcPr>
            <w:tcW w:w="1589" w:type="dxa"/>
            <w:tcBorders/>
          </w:tcPr>
          <w:p>
            <w:pPr>
              <w:pStyle w:val="Style31"/>
              <w:widowControl w:val="false"/>
              <w:suppressAutoHyphens w:val="true"/>
              <w:spacing w:before="40" w:after="40"/>
              <w:jc w:val="center"/>
              <w:rPr>
                <w:sz w:val="18"/>
                <w:szCs w:val="18"/>
              </w:rPr>
            </w:pPr>
            <w:r>
              <w:rPr>
                <w:rFonts w:eastAsia="Calibri" w:cs=""/>
                <w:i/>
                <w:iCs/>
                <w:kern w:val="0"/>
                <w:sz w:val="18"/>
                <w:szCs w:val="18"/>
                <w:lang w:val="ru-RU" w:eastAsia="en-US" w:bidi="ar-SA"/>
              </w:rPr>
              <w:t>отсутствует</w:t>
            </w:r>
          </w:p>
        </w:tc>
        <w:tc>
          <w:tcPr>
            <w:tcW w:w="2206" w:type="dxa"/>
            <w:tcBorders/>
          </w:tcPr>
          <w:p>
            <w:pPr>
              <w:pStyle w:val="Style31"/>
              <w:widowControl w:val="false"/>
              <w:suppressAutoHyphens w:val="true"/>
              <w:spacing w:before="40" w:after="40"/>
              <w:jc w:val="center"/>
              <w:rPr>
                <w:rStyle w:val="Style11"/>
                <w:sz w:val="18"/>
                <w:szCs w:val="18"/>
              </w:rPr>
            </w:pPr>
            <w:r>
              <w:rPr>
                <w:sz w:val="18"/>
                <w:szCs w:val="18"/>
              </w:rPr>
            </w:r>
          </w:p>
          <w:p>
            <w:pPr>
              <w:pStyle w:val="Style31"/>
              <w:widowControl w:val="false"/>
              <w:suppressAutoHyphens w:val="true"/>
              <w:spacing w:before="40" w:after="40"/>
              <w:jc w:val="center"/>
              <w:rPr>
                <w:rStyle w:val="Style11"/>
                <w:sz w:val="18"/>
                <w:szCs w:val="18"/>
              </w:rPr>
            </w:pPr>
            <w:r>
              <w:rPr/>
            </w:r>
            <m:oMathPara xmlns:m="http://schemas.openxmlformats.org/officeDocument/2006/math">
              <m:oMathParaPr>
                <m:jc m:val="center"/>
              </m:oMathParaPr>
              <m:oMath>
                <m:r>
                  <w:rPr>
                    <w:rFonts w:ascii="Cambria Math" w:hAnsi="Cambria Math"/>
                  </w:rPr>
                  <m:t xml:space="preserve">90</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1</m:t>
                        </m:r>
                      </m:sub>
                    </m:sSub>
                    <m:r>
                      <w:rPr>
                        <w:rFonts w:ascii="Cambria Math" w:hAnsi="Cambria Math"/>
                      </w:rPr>
                      <m:t xml:space="preserve">=</m:t>
                    </m:r>
                    <m:r>
                      <w:rPr>
                        <w:rFonts w:ascii="Cambria Math" w:hAnsi="Cambria Math"/>
                      </w:rPr>
                      <m:t xml:space="preserve">0,9</m:t>
                    </m:r>
                  </m:e>
                </m:d>
              </m:oMath>
            </m:oMathPara>
          </w:p>
          <w:p>
            <w:pPr>
              <w:pStyle w:val="Style31"/>
              <w:widowControl w:val="false"/>
              <w:suppressAutoHyphens w:val="true"/>
              <w:spacing w:before="40" w:after="40"/>
              <w:jc w:val="center"/>
              <w:rPr/>
            </w:pPr>
            <w:r>
              <w:rPr>
                <w:rStyle w:val="Style11"/>
                <w:rFonts w:eastAsia="Calibri" w:cs="" w:cstheme="minorBidi" w:eastAsiaTheme="minorHAnsi"/>
                <w:kern w:val="0"/>
                <w:sz w:val="18"/>
                <w:szCs w:val="18"/>
                <w:shd w:fill="auto" w:val="clear"/>
                <w:lang w:val="ru-RU" w:eastAsia="en-US" w:bidi="ar-SA"/>
              </w:rPr>
              <w:t>где В</w:t>
            </w:r>
            <w:r>
              <w:rPr>
                <w:rStyle w:val="Style11"/>
                <w:rFonts w:eastAsia="Calibri" w:cs="" w:cstheme="minorBidi" w:eastAsiaTheme="minorHAnsi"/>
                <w:kern w:val="0"/>
                <w:sz w:val="18"/>
                <w:szCs w:val="18"/>
                <w:shd w:fill="auto" w:val="clear"/>
                <w:vertAlign w:val="subscript"/>
                <w:lang w:val="ru-RU" w:eastAsia="en-US" w:bidi="ar-SA"/>
              </w:rPr>
              <w:t>1</w:t>
            </w:r>
            <w:r>
              <w:rPr>
                <w:rStyle w:val="Style11"/>
                <w:rFonts w:eastAsia="Calibri" w:cs="" w:cstheme="minorBidi" w:eastAsiaTheme="minorHAnsi"/>
                <w:color w:val="000000"/>
                <w:kern w:val="0"/>
                <w:sz w:val="18"/>
                <w:szCs w:val="18"/>
                <w:shd w:fill="auto" w:val="clear"/>
                <w:lang w:val="ru-RU" w:eastAsia="en-US" w:bidi="ar-SA"/>
              </w:rPr>
              <w:t xml:space="preserve"> – значимость (вес) критерия оценки]</w:t>
            </w:r>
          </w:p>
        </w:tc>
        <w:tc>
          <w:tcPr>
            <w:tcW w:w="1755" w:type="dxa"/>
            <w:tcBorders/>
          </w:tcPr>
          <w:p>
            <w:pPr>
              <w:pStyle w:val="Style31"/>
              <w:widowControl w:val="false"/>
              <w:suppressAutoHyphens w:val="true"/>
              <w:spacing w:before="40" w:after="40"/>
              <w:jc w:val="left"/>
              <w:rPr/>
            </w:pPr>
            <w:r>
              <w:rPr>
                <w:rStyle w:val="Style11"/>
                <w:rFonts w:eastAsia="Calibri" w:cs=""/>
                <w:i w:val="false"/>
                <w:iCs w:val="false"/>
                <w:kern w:val="0"/>
                <w:sz w:val="18"/>
                <w:szCs w:val="18"/>
                <w:shd w:fill="auto" w:val="clear"/>
                <w:lang w:val="ru-RU" w:eastAsia="en-US" w:bidi="ar-SA"/>
              </w:rPr>
              <w:t xml:space="preserve">Чем меньше стоимость заявки Участника, тем выше предпочтительность» </w:t>
            </w:r>
          </w:p>
        </w:tc>
        <w:tc>
          <w:tcPr>
            <w:tcW w:w="5174" w:type="dxa"/>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Расчет оценки предпочтительности по частному критерию по методу «</w:t>
            </w:r>
            <w:r>
              <w:rPr>
                <w:rFonts w:eastAsia="Calibri" w:cs="Times New Roman"/>
                <w:kern w:val="0"/>
                <w:sz w:val="20"/>
                <w:szCs w:val="20"/>
                <w:lang w:val="ru-RU" w:eastAsia="en-US" w:bidi="ar-SA"/>
              </w:rPr>
              <w:t>Математическая формула, задающая «функцию ценности»»:</w:t>
            </w:r>
          </w:p>
          <w:p>
            <w:pPr>
              <w:pStyle w:val="Style31"/>
              <w:widowControl w:val="false"/>
              <w:suppressAutoHyphens w:val="true"/>
              <w:spacing w:before="40" w:after="40"/>
              <w:jc w:val="center"/>
              <w:rPr>
                <w:rStyle w:val="Style11"/>
                <w:rFonts w:eastAsia="" w:eastAsiaTheme="minorEastAsia"/>
                <w:iCs w:val="false"/>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31"/>
              <w:widowControl w:val="false"/>
              <w:suppressAutoHyphens w:val="true"/>
              <w:spacing w:before="40" w:after="40"/>
              <w:jc w:val="left"/>
              <w:rPr/>
            </w:pPr>
            <w:r>
              <w:rPr>
                <w:rStyle w:val="Style11"/>
                <w:rFonts w:eastAsia="Calibri" w:cs=""/>
                <w:i w:val="false"/>
                <w:iCs w:val="false"/>
                <w:kern w:val="0"/>
                <w:sz w:val="18"/>
                <w:szCs w:val="18"/>
                <w:shd w:fill="auto" w:val="clear"/>
                <w:lang w:val="ru-RU" w:eastAsia="en-US" w:bidi="ar-SA"/>
              </w:rPr>
              <w:t>где:</w:t>
            </w:r>
          </w:p>
          <w:p>
            <w:pPr>
              <w:pStyle w:val="Style31"/>
              <w:widowControl w:val="false"/>
              <w:suppressAutoHyphens w:val="true"/>
              <w:spacing w:before="40" w:after="40"/>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11"/>
                <w:rFonts w:eastAsia="Calibri" w:cs=""/>
                <w:i w:val="false"/>
                <w:iCs w:val="false"/>
                <w:kern w:val="0"/>
                <w:sz w:val="18"/>
                <w:szCs w:val="18"/>
                <w:shd w:fill="auto" w:val="clear"/>
                <w:lang w:val="ru-RU" w:eastAsia="en-US" w:bidi="ar-SA"/>
              </w:rPr>
              <w:t xml:space="preserve"> – </w:t>
            </w:r>
            <w:r>
              <w:rPr>
                <w:rStyle w:val="Style11"/>
                <w:rFonts w:eastAsia="Calibri" w:cs=""/>
                <w:i w:val="false"/>
                <w:iCs w:val="false"/>
                <w:kern w:val="0"/>
                <w:sz w:val="18"/>
                <w:szCs w:val="18"/>
                <w:shd w:fill="auto" w:val="clear"/>
                <w:lang w:val="ru-RU" w:eastAsia="en-US" w:bidi="ar-SA"/>
              </w:rPr>
              <w:t>рассчитанная оценка предпочтительности по данному частному критерию оценки в баллах;</w:t>
            </w:r>
          </w:p>
          <w:p>
            <w:pPr>
              <w:pStyle w:val="Style31"/>
              <w:widowControl w:val="false"/>
              <w:suppressAutoHyphens w:val="tru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11"/>
                <w:rFonts w:eastAsia="Calibri" w:cs=""/>
                <w:i w:val="false"/>
                <w:iCs w:val="false"/>
                <w:kern w:val="0"/>
                <w:sz w:val="18"/>
                <w:szCs w:val="18"/>
                <w:shd w:fill="auto" w:val="clear"/>
                <w:lang w:val="ru-RU" w:eastAsia="en-US" w:bidi="ar-SA"/>
              </w:rPr>
              <w:t xml:space="preserve"> – </w:t>
            </w:r>
            <w:r>
              <w:rPr>
                <w:rStyle w:val="Style11"/>
                <w:rFonts w:eastAsia="Calibri" w:cs=""/>
                <w:i w:val="false"/>
                <w:iCs w:val="false"/>
                <w:kern w:val="0"/>
                <w:sz w:val="18"/>
                <w:szCs w:val="18"/>
                <w:shd w:fill="auto" w:val="clear"/>
                <w:lang w:val="ru-RU" w:eastAsia="en-US" w:bidi="ar-SA"/>
              </w:rPr>
              <w:t>цена договора (стоимость заявки), указанная в заявке допущенного участника, руб. без учета НДС;</w:t>
            </w:r>
          </w:p>
          <w:p>
            <w:pPr>
              <w:pStyle w:val="Style31"/>
              <w:widowControl w:val="false"/>
              <w:suppressAutoHyphens w:val="tru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min</m:t>
                  </m:r>
                </m:sub>
              </m:sSub>
            </m:oMath>
            <w:r>
              <w:rPr>
                <w:rStyle w:val="Style11"/>
                <w:rFonts w:eastAsia="Calibri" w:cs=""/>
                <w:i w:val="false"/>
                <w:iCs w:val="false"/>
                <w:kern w:val="0"/>
                <w:sz w:val="18"/>
                <w:szCs w:val="18"/>
                <w:shd w:fill="auto" w:val="clear"/>
                <w:lang w:val="ru-RU" w:eastAsia="en-US" w:bidi="ar-SA"/>
              </w:rPr>
              <w:t xml:space="preserve"> – </w:t>
            </w:r>
            <w:r>
              <w:rPr>
                <w:rStyle w:val="Style11"/>
                <w:rFonts w:eastAsia="Calibri" w:cs=""/>
                <w:i w:val="false"/>
                <w:iCs w:val="false"/>
                <w:kern w:val="0"/>
                <w:sz w:val="18"/>
                <w:szCs w:val="18"/>
                <w:shd w:fill="auto" w:val="clear"/>
                <w:lang w:val="ru-RU" w:eastAsia="en-US" w:bidi="ar-SA"/>
              </w:rPr>
              <w:t>минимальная цена договора (стоимость заявки) среди всех допущенных заявок участников, руб. без учета НДС;</w:t>
            </w:r>
          </w:p>
          <w:p>
            <w:pPr>
              <w:pStyle w:val="Style31"/>
              <w:widowControl w:val="false"/>
              <w:suppressAutoHyphens w:val="true"/>
              <w:spacing w:before="40" w:after="40"/>
              <w:jc w:val="left"/>
              <w:rPr/>
            </w:pPr>
            <w:r>
              <w:rPr/>
            </w:r>
            <m:oMath xmlns:m="http://schemas.openxmlformats.org/officeDocument/2006/math">
              <m:r>
                <w:rPr>
                  <w:rFonts w:ascii="Cambria Math" w:hAnsi="Cambria Math"/>
                </w:rPr>
                <m:t xml:space="preserve">Ш</m:t>
              </m:r>
            </m:oMath>
            <w:r>
              <w:rPr>
                <w:rStyle w:val="Style11"/>
                <w:rFonts w:eastAsia="Calibri" w:cs=""/>
                <w:i w:val="false"/>
                <w:iCs w:val="false"/>
                <w:kern w:val="0"/>
                <w:sz w:val="18"/>
                <w:szCs w:val="18"/>
                <w:shd w:fill="auto" w:val="clear"/>
                <w:lang w:val="ru-RU" w:eastAsia="en-US" w:bidi="ar-SA"/>
              </w:rPr>
              <w:t xml:space="preserve"> – </w:t>
            </w:r>
            <w:r>
              <w:rPr>
                <w:rStyle w:val="Style11"/>
                <w:rFonts w:eastAsia="Calibri" w:cs=""/>
                <w:i w:val="false"/>
                <w:iCs w:val="false"/>
                <w:kern w:val="0"/>
                <w:sz w:val="18"/>
                <w:szCs w:val="18"/>
                <w:shd w:fill="auto" w:val="clear"/>
                <w:lang w:val="ru-RU" w:eastAsia="en-US" w:bidi="ar-SA"/>
              </w:rPr>
              <w:t>максимально возможный балл (максимальная возможная оценка предпочтительности) по шкале оценок</w:t>
              <w:br/>
              <w:t>(</w:t>
            </w:r>
            <w:r>
              <w:rPr/>
            </w:r>
            <m:oMath xmlns:m="http://schemas.openxmlformats.org/officeDocument/2006/math">
              <m:r>
                <w:rPr>
                  <w:rFonts w:ascii="Cambria Math" w:hAnsi="Cambria Math"/>
                </w:rPr>
                <m:t xml:space="preserve">Ш</m:t>
              </m:r>
              <m:r>
                <w:rPr>
                  <w:rFonts w:ascii="Cambria Math" w:hAnsi="Cambria Math"/>
                </w:rPr>
                <m:t xml:space="preserve">=</m:t>
              </m:r>
              <m:r>
                <w:rPr>
                  <w:rFonts w:ascii="Cambria Math" w:hAnsi="Cambria Math"/>
                </w:rPr>
                <m:t xml:space="preserve">5</m:t>
              </m:r>
            </m:oMath>
            <w:r>
              <w:rPr>
                <w:rStyle w:val="Style11"/>
                <w:rFonts w:eastAsia="Calibri" w:cs=""/>
                <w:i w:val="false"/>
                <w:iCs w:val="false"/>
                <w:kern w:val="0"/>
                <w:sz w:val="18"/>
                <w:szCs w:val="18"/>
                <w:shd w:fill="auto" w:val="clear"/>
                <w:lang w:val="ru-RU" w:eastAsia="en-US" w:bidi="ar-SA"/>
              </w:rPr>
              <w:t>)]</w:t>
            </w:r>
            <w:r>
              <w:rPr>
                <w:rFonts w:eastAsia="Calibri" w:cs=""/>
                <w:i w:val="false"/>
                <w:iCs w:val="false"/>
                <w:kern w:val="0"/>
                <w:sz w:val="18"/>
                <w:szCs w:val="18"/>
                <w:shd w:fill="auto" w:val="clear"/>
                <w:lang w:val="ru-RU" w:eastAsia="en-US" w:bidi="ar-SA"/>
              </w:rPr>
              <w:t>.</w:t>
            </w:r>
          </w:p>
          <w:p>
            <w:pPr>
              <w:pStyle w:val="Style31"/>
              <w:widowControl w:val="false"/>
              <w:suppressAutoHyphens w:val="true"/>
              <w:spacing w:before="40" w:after="40"/>
              <w:jc w:val="left"/>
              <w:rPr/>
            </w:pPr>
            <w:r>
              <w:rPr>
                <w:rStyle w:val="Style11"/>
                <w:rFonts w:eastAsia="Calibri" w:cs=""/>
                <w:kern w:val="0"/>
                <w:sz w:val="18"/>
                <w:szCs w:val="18"/>
                <w:shd w:fill="auto" w:val="clear"/>
                <w:lang w:val="ru-RU" w:eastAsia="en-US" w:bidi="ar-SA"/>
              </w:rPr>
              <w:t xml:space="preserve">«Оценка предпочтительности заявок осуществляется в едином базисе сопоставления ценовых (стоимостных) предложений: без учета НДС» </w:t>
            </w:r>
          </w:p>
          <w:p>
            <w:pPr>
              <w:pStyle w:val="Style31"/>
              <w:widowControl w:val="false"/>
              <w:suppressAutoHyphens w:val="true"/>
              <w:spacing w:before="40" w:after="40"/>
              <w:jc w:val="left"/>
              <w:rPr>
                <w:b/>
                <w:bCs/>
                <w:i/>
                <w:i/>
                <w:iCs/>
                <w:highlight w:val="none"/>
                <w:shd w:fill="auto" w:val="clear"/>
              </w:rPr>
            </w:pPr>
            <w:r>
              <w:rPr>
                <w:rFonts w:eastAsia="Calibri" w:cs=""/>
                <w:b/>
                <w:bCs/>
                <w:i/>
                <w:iCs/>
                <w:kern w:val="0"/>
                <w:sz w:val="18"/>
                <w:szCs w:val="18"/>
                <w:shd w:fill="auto" w:val="clear"/>
                <w:lang w:val="ru-RU" w:eastAsia="en-US" w:bidi="ar-SA"/>
              </w:rPr>
              <w:t>Шкала оценок от 0 до 5 баллов.</w:t>
            </w:r>
          </w:p>
        </w:tc>
      </w:tr>
      <w:tr>
        <w:trPr/>
        <w:tc>
          <w:tcPr>
            <w:tcW w:w="1078"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sz w:val="24"/>
                <w:szCs w:val="24"/>
              </w:rPr>
              <w:t>2</w:t>
            </w:r>
          </w:p>
        </w:tc>
        <w:tc>
          <w:tcPr>
            <w:tcW w:w="1696"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sz w:val="24"/>
                <w:szCs w:val="24"/>
              </w:rPr>
              <w:t>КВАЛИФИКАЦИЯ/ТЕХ</w:t>
            </w:r>
          </w:p>
        </w:tc>
        <w:tc>
          <w:tcPr>
            <w:tcW w:w="1711" w:type="dxa"/>
            <w:tcBorders/>
          </w:tcPr>
          <w:p>
            <w:pPr>
              <w:pStyle w:val="3"/>
              <w:widowControl w:val="false"/>
              <w:suppressAutoHyphens w:val="true"/>
              <w:bidi w:val="0"/>
              <w:spacing w:lineRule="auto" w:line="240" w:before="0" w:after="0"/>
              <w:ind w:left="113" w:right="-794" w:hanging="0"/>
              <w:jc w:val="both"/>
              <w:rPr>
                <w:rFonts w:ascii="Times New Roman" w:hAnsi="Times New Roman" w:cs="Times New Roman"/>
                <w:sz w:val="20"/>
                <w:szCs w:val="20"/>
              </w:rPr>
            </w:pPr>
            <w:r>
              <w:rPr>
                <w:rFonts w:cs="Times New Roman" w:ascii="Times New Roman" w:hAnsi="Times New Roman"/>
                <w:sz w:val="20"/>
                <w:szCs w:val="20"/>
              </w:rPr>
              <w:t xml:space="preserve">Неценовой </w:t>
            </w:r>
          </w:p>
        </w:tc>
        <w:tc>
          <w:tcPr>
            <w:tcW w:w="1589" w:type="dxa"/>
            <w:tcBorders/>
          </w:tcPr>
          <w:p>
            <w:pPr>
              <w:pStyle w:val="Style31"/>
              <w:widowControl w:val="false"/>
              <w:suppressAutoHyphens w:val="true"/>
              <w:spacing w:before="40" w:after="40"/>
              <w:jc w:val="center"/>
              <w:rPr>
                <w:i/>
                <w:i/>
                <w:iCs/>
                <w:sz w:val="18"/>
                <w:szCs w:val="18"/>
              </w:rPr>
            </w:pPr>
            <w:r>
              <w:rPr>
                <w:rFonts w:eastAsia="Calibri" w:cs=""/>
                <w:i/>
                <w:iCs/>
                <w:kern w:val="0"/>
                <w:sz w:val="18"/>
                <w:szCs w:val="18"/>
                <w:lang w:val="ru-RU" w:eastAsia="en-US" w:bidi="ar-SA"/>
              </w:rPr>
              <w:t>отсутствует</w:t>
            </w:r>
          </w:p>
        </w:tc>
        <w:tc>
          <w:tcPr>
            <w:tcW w:w="2206" w:type="dxa"/>
            <w:tcBorders/>
          </w:tcPr>
          <w:p>
            <w:pPr>
              <w:pStyle w:val="Style31"/>
              <w:widowControl w:val="false"/>
              <w:suppressAutoHyphens w:val="true"/>
              <w:spacing w:before="40" w:after="40"/>
              <w:jc w:val="center"/>
              <w:rPr>
                <w:i w:val="false"/>
                <w:i w:val="false"/>
                <w:iCs w:val="false"/>
                <w:highlight w:val="none"/>
                <w:shd w:fill="auto" w:val="clear"/>
              </w:rPr>
            </w:pPr>
            <w:r>
              <w:rPr/>
            </w:r>
            <m:oMathPara xmlns:m="http://schemas.openxmlformats.org/officeDocument/2006/math">
              <m:oMathParaPr>
                <m:jc m:val="center"/>
              </m:oMathParaPr>
              <m:o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1</m:t>
                        </m:r>
                      </m:sub>
                    </m:sSub>
                    <m:r>
                      <w:rPr>
                        <w:rFonts w:ascii="Cambria Math" w:hAnsi="Cambria Math"/>
                      </w:rPr>
                      <m:t xml:space="preserve">=</m:t>
                    </m:r>
                    <m:r>
                      <w:rPr>
                        <w:rFonts w:ascii="Cambria Math" w:hAnsi="Cambria Math"/>
                      </w:rPr>
                      <m:t xml:space="preserve">0,05</m:t>
                    </m:r>
                  </m:e>
                </m:d>
              </m:oMath>
            </m:oMathPara>
          </w:p>
          <w:p>
            <w:pPr>
              <w:pStyle w:val="Style31"/>
              <w:widowControl w:val="false"/>
              <w:suppressAutoHyphens w:val="true"/>
              <w:spacing w:before="40" w:after="40"/>
              <w:jc w:val="center"/>
              <w:rPr/>
            </w:pPr>
            <w:r>
              <w:rPr>
                <w:rStyle w:val="Style11"/>
                <w:rFonts w:eastAsia="Calibri" w:cs=""/>
                <w:i w:val="false"/>
                <w:iCs w:val="false"/>
                <w:kern w:val="0"/>
                <w:sz w:val="18"/>
                <w:szCs w:val="18"/>
                <w:shd w:fill="auto" w:val="clear"/>
                <w:lang w:val="ru-RU" w:eastAsia="en-US" w:bidi="ar-SA"/>
              </w:rPr>
              <w:t xml:space="preserve">где  </w:t>
            </w:r>
            <w:r>
              <w:rPr>
                <w:rStyle w:val="Style11"/>
                <w:rFonts w:eastAsia="Calibri" w:cs=""/>
                <w:i w:val="false"/>
                <w:iCs w:val="false"/>
                <w:kern w:val="0"/>
                <w:sz w:val="22"/>
                <w:szCs w:val="22"/>
                <w:shd w:fill="auto" w:val="clear"/>
                <w:lang w:val="ru-RU" w:eastAsia="en-US" w:bidi="ar-SA"/>
              </w:rPr>
              <w:t>В</w:t>
            </w:r>
            <w:r>
              <w:rPr>
                <w:rStyle w:val="Style11"/>
                <w:rFonts w:eastAsia="Calibri" w:cs=""/>
                <w:i w:val="false"/>
                <w:iCs w:val="false"/>
                <w:kern w:val="0"/>
                <w:sz w:val="22"/>
                <w:szCs w:val="22"/>
                <w:shd w:fill="auto" w:val="clear"/>
                <w:vertAlign w:val="subscript"/>
                <w:lang w:val="ru-RU" w:eastAsia="en-US" w:bidi="ar-SA"/>
              </w:rPr>
              <w:t>1</w:t>
            </w:r>
            <w:r>
              <w:rPr>
                <w:rStyle w:val="Style11"/>
                <w:rFonts w:eastAsia="Calibri" w:cs=""/>
                <w:i w:val="false"/>
                <w:iCs w:val="false"/>
                <w:kern w:val="0"/>
                <w:sz w:val="18"/>
                <w:szCs w:val="18"/>
                <w:shd w:fill="auto" w:val="clear"/>
                <w:lang w:val="ru-RU" w:eastAsia="en-US" w:bidi="ar-SA"/>
              </w:rPr>
              <w:t>– значимость (вес) критерия оценки]</w:t>
            </w:r>
          </w:p>
        </w:tc>
        <w:tc>
          <w:tcPr>
            <w:tcW w:w="1755" w:type="dxa"/>
            <w:tcBorders/>
          </w:tcPr>
          <w:p>
            <w:pPr>
              <w:pStyle w:val="Style31"/>
              <w:widowControl w:val="false"/>
              <w:suppressAutoHyphens w:val="true"/>
              <w:spacing w:before="40" w:after="40"/>
              <w:jc w:val="left"/>
              <w:rPr/>
            </w:pPr>
            <w:r>
              <w:rPr>
                <w:rStyle w:val="Style11"/>
                <w:rFonts w:eastAsia="Calibri" w:cs="Times New Roman"/>
                <w:i w:val="false"/>
                <w:iCs w:val="false"/>
                <w:kern w:val="0"/>
                <w:sz w:val="21"/>
                <w:szCs w:val="21"/>
                <w:shd w:fill="auto" w:val="clear"/>
                <w:lang w:val="ru-RU" w:eastAsia="en-US" w:bidi="ar-SA"/>
              </w:rPr>
              <w:t xml:space="preserve">Чем больше опыт (от оцениваемого предела — 50%), (в стоимостном выражении) </w:t>
            </w:r>
            <w:r>
              <w:rPr>
                <w:rStyle w:val="Style11"/>
                <w:rFonts w:eastAsia="Calibri" w:cs="Times New Roman"/>
                <w:i w:val="false"/>
                <w:iCs w:val="false"/>
                <w:kern w:val="0"/>
                <w:sz w:val="20"/>
                <w:szCs w:val="20"/>
                <w:shd w:fill="auto" w:val="clear"/>
                <w:lang w:val="ru-RU" w:eastAsia="en-US" w:bidi="ar-SA"/>
              </w:rPr>
              <w:t xml:space="preserve"> </w:t>
            </w:r>
            <w:r>
              <w:rPr>
                <w:rStyle w:val="Style11"/>
                <w:rFonts w:eastAsia="Calibri" w:cs="Times New Roman"/>
                <w:i w:val="false"/>
                <w:iCs w:val="false"/>
                <w:kern w:val="0"/>
                <w:sz w:val="21"/>
                <w:szCs w:val="21"/>
                <w:shd w:fill="auto" w:val="clear"/>
                <w:lang w:val="ru-RU" w:eastAsia="en-US" w:bidi="ar-SA"/>
              </w:rPr>
              <w:t>выполнения поставок ГСМ  за последние 3 года</w:t>
            </w:r>
            <w:r>
              <w:rPr>
                <w:rStyle w:val="Style11"/>
                <w:rFonts w:eastAsia="Calibri" w:cs="Times New Roman"/>
                <w:bCs/>
                <w:i w:val="false"/>
                <w:iCs w:val="false"/>
                <w:kern w:val="0"/>
                <w:sz w:val="21"/>
                <w:szCs w:val="21"/>
                <w:shd w:fill="auto" w:val="clear"/>
                <w:lang w:val="ru-RU" w:eastAsia="en-US" w:bidi="ar-SA"/>
              </w:rPr>
              <w:t xml:space="preserve">, </w:t>
            </w:r>
            <w:r>
              <w:rPr>
                <w:rStyle w:val="Style11"/>
                <w:rFonts w:eastAsia="Calibri" w:cs="Times New Roman"/>
                <w:i w:val="false"/>
                <w:iCs w:val="false"/>
                <w:kern w:val="0"/>
                <w:sz w:val="21"/>
                <w:szCs w:val="21"/>
                <w:shd w:fill="auto" w:val="clear"/>
                <w:lang w:val="ru-RU" w:eastAsia="en-US" w:bidi="ar-SA"/>
              </w:rPr>
              <w:t>тем выше предпочтительность</w:t>
            </w:r>
          </w:p>
        </w:tc>
        <w:tc>
          <w:tcPr>
            <w:tcW w:w="5174" w:type="dxa"/>
            <w:tcBorders/>
          </w:tcPr>
          <w:p>
            <w:pPr>
              <w:pStyle w:val="Style31"/>
              <w:widowControl w:val="false"/>
              <w:suppressAutoHyphens w:val="true"/>
              <w:spacing w:before="40" w:after="40"/>
              <w:jc w:val="left"/>
              <w:rPr>
                <w:sz w:val="18"/>
                <w:szCs w:val="18"/>
              </w:rPr>
            </w:pPr>
            <w:r>
              <w:rPr>
                <w:sz w:val="20"/>
                <w:szCs w:val="20"/>
              </w:rPr>
              <w:t>«Оценка предпочтительности посредством однозначной числовой шкалы измерений»</w:t>
            </w:r>
          </w:p>
          <w:p>
            <w:pPr>
              <w:pStyle w:val="Style31"/>
              <w:widowControl w:val="false"/>
              <w:suppressAutoHyphens w:val="true"/>
              <w:spacing w:before="40" w:after="40"/>
              <w:jc w:val="left"/>
              <w:rPr>
                <w:sz w:val="20"/>
                <w:szCs w:val="20"/>
              </w:rPr>
            </w:pPr>
            <w:r>
              <w:rPr>
                <w:sz w:val="20"/>
                <w:szCs w:val="20"/>
              </w:rPr>
              <w:t>Порядок осуществления оценки (значение оцениваемого параметра), в зависимости от предоставленных в заявке документов, подтверждающих опыт, требуемый в соответствии с документацией о закупке (</w:t>
            </w:r>
            <w:r>
              <w:rPr>
                <w:b/>
                <w:bCs/>
                <w:i/>
                <w:iCs/>
                <w:sz w:val="20"/>
                <w:szCs w:val="20"/>
              </w:rPr>
              <w:t>п.8.4.</w:t>
            </w:r>
            <w:r>
              <w:rPr>
                <w:rFonts w:eastAsia="Calibri" w:cs="" w:cstheme="minorBidi" w:eastAsiaTheme="minorHAnsi"/>
                <w:b/>
                <w:bCs/>
                <w:i/>
                <w:iCs/>
                <w:sz w:val="20"/>
                <w:szCs w:val="20"/>
                <w:shd w:fill="auto" w:val="clear"/>
              </w:rPr>
              <w:t xml:space="preserve"> ДоЗ)</w:t>
            </w:r>
            <w:r>
              <w:rPr>
                <w:rFonts w:eastAsia="Calibri" w:cs="" w:cstheme="minorBidi" w:eastAsiaTheme="minorHAnsi"/>
                <w:sz w:val="20"/>
                <w:szCs w:val="20"/>
                <w:shd w:fill="auto" w:val="clear"/>
              </w:rPr>
              <w:t>:</w:t>
            </w:r>
          </w:p>
          <w:p>
            <w:pPr>
              <w:pStyle w:val="Style31"/>
              <w:widowControl w:val="false"/>
              <w:suppressAutoHyphens w:val="true"/>
              <w:spacing w:before="40" w:after="40"/>
              <w:jc w:val="left"/>
              <w:rPr>
                <w:sz w:val="20"/>
                <w:szCs w:val="20"/>
              </w:rPr>
            </w:pPr>
            <w:r>
              <w:rPr>
                <w:sz w:val="20"/>
                <w:szCs w:val="20"/>
              </w:rPr>
            </w:r>
          </w:p>
          <w:tbl>
            <w:tblPr>
              <w:tblW w:w="5055" w:type="dxa"/>
              <w:jc w:val="left"/>
              <w:tblInd w:w="0" w:type="dxa"/>
              <w:tblLayout w:type="fixed"/>
              <w:tblCellMar>
                <w:top w:w="0" w:type="dxa"/>
                <w:left w:w="108" w:type="dxa"/>
                <w:bottom w:w="0" w:type="dxa"/>
                <w:right w:w="108" w:type="dxa"/>
              </w:tblCellMar>
            </w:tblPr>
            <w:tblGrid>
              <w:gridCol w:w="889"/>
              <w:gridCol w:w="4165"/>
            </w:tblGrid>
            <w:tr>
              <w:trPr>
                <w:cantSplit w:val="true"/>
              </w:trPr>
              <w:tc>
                <w:tcPr>
                  <w:tcW w:w="889" w:type="dxa"/>
                  <w:tcBorders>
                    <w:bottom w:val="single" w:sz="8" w:space="0" w:color="000000"/>
                    <w:right w:val="single" w:sz="8" w:space="0" w:color="000000"/>
                  </w:tcBorders>
                </w:tcPr>
                <w:p>
                  <w:pPr>
                    <w:pStyle w:val="Normal"/>
                    <w:widowControl w:val="false"/>
                    <w:numPr>
                      <w:ilvl w:val="7"/>
                      <w:numId w:val="20"/>
                    </w:numPr>
                    <w:spacing w:before="0" w:after="160"/>
                    <w:rPr/>
                  </w:pPr>
                  <w:r>
                    <w:rPr>
                      <w:rFonts w:cs="Times New Roman"/>
                      <w:sz w:val="20"/>
                      <w:szCs w:val="20"/>
                    </w:rPr>
                    <w:t>Б</w:t>
                  </w:r>
                  <w:r>
                    <w:rPr>
                      <w:rFonts w:cs="Times New Roman"/>
                      <w:sz w:val="20"/>
                      <w:szCs w:val="20"/>
                      <w:vertAlign w:val="subscript"/>
                      <w:lang w:val="en-US"/>
                    </w:rPr>
                    <w:t>2</w:t>
                  </w:r>
                  <w:r>
                    <w:rPr>
                      <w:rFonts w:cs="Times New Roman"/>
                      <w:sz w:val="20"/>
                      <w:szCs w:val="20"/>
                      <w:vertAlign w:val="subscript"/>
                    </w:rPr>
                    <w:t xml:space="preserve"> </w:t>
                  </w:r>
                  <w:r>
                    <w:rPr>
                      <w:rFonts w:cs="Times New Roman"/>
                      <w:sz w:val="20"/>
                      <w:szCs w:val="20"/>
                    </w:rPr>
                    <w:t>= 0</w:t>
                  </w:r>
                </w:p>
              </w:tc>
              <w:tc>
                <w:tcPr>
                  <w:tcW w:w="4165" w:type="dxa"/>
                  <w:tcBorders>
                    <w:bottom w:val="single" w:sz="8" w:space="0" w:color="000000"/>
                  </w:tcBorders>
                </w:tcPr>
                <w:p>
                  <w:pPr>
                    <w:pStyle w:val="Normal"/>
                    <w:widowControl w:val="false"/>
                    <w:numPr>
                      <w:ilvl w:val="7"/>
                      <w:numId w:val="20"/>
                    </w:numPr>
                    <w:suppressAutoHyphens w:val="true"/>
                    <w:bidi w:val="0"/>
                    <w:spacing w:before="0" w:after="160"/>
                    <w:ind w:left="113" w:right="1077" w:hanging="0"/>
                    <w:jc w:val="left"/>
                    <w:rPr>
                      <w:rFonts w:ascii="Times New Roman" w:hAnsi="Times New Roman" w:cs="Times New Roman"/>
                      <w:sz w:val="20"/>
                      <w:szCs w:val="20"/>
                    </w:rPr>
                  </w:pPr>
                  <w:r>
                    <w:rPr>
                      <w:rFonts w:cs="Times New Roman"/>
                      <w:sz w:val="20"/>
                      <w:szCs w:val="20"/>
                    </w:rPr>
                    <w:t>до 50 % НМЦ без учета НДС (включительно)</w:t>
                  </w:r>
                </w:p>
              </w:tc>
            </w:tr>
            <w:tr>
              <w:trPr>
                <w:cantSplit w:val="true"/>
              </w:trPr>
              <w:tc>
                <w:tcPr>
                  <w:tcW w:w="889" w:type="dxa"/>
                  <w:tcBorders>
                    <w:top w:val="single" w:sz="4" w:space="0" w:color="000000"/>
                    <w:bottom w:val="single" w:sz="4" w:space="0" w:color="000000"/>
                    <w:right w:val="single" w:sz="4" w:space="0" w:color="000000"/>
                  </w:tcBorders>
                </w:tcPr>
                <w:p>
                  <w:pPr>
                    <w:pStyle w:val="Normal"/>
                    <w:widowControl w:val="false"/>
                    <w:numPr>
                      <w:ilvl w:val="7"/>
                      <w:numId w:val="20"/>
                    </w:numPr>
                    <w:spacing w:before="0" w:after="160"/>
                    <w:rPr/>
                  </w:pPr>
                  <w:r>
                    <w:rPr>
                      <w:rFonts w:cs="Times New Roman"/>
                      <w:sz w:val="20"/>
                      <w:szCs w:val="20"/>
                    </w:rPr>
                    <w:t>Б</w:t>
                  </w:r>
                  <w:r>
                    <w:rPr>
                      <w:rFonts w:cs="Times New Roman"/>
                      <w:sz w:val="20"/>
                      <w:szCs w:val="20"/>
                      <w:vertAlign w:val="subscript"/>
                      <w:lang w:val="en-US"/>
                    </w:rPr>
                    <w:t>2</w:t>
                  </w:r>
                  <w:r>
                    <w:rPr>
                      <w:rFonts w:cs="Times New Roman"/>
                      <w:sz w:val="20"/>
                      <w:szCs w:val="20"/>
                    </w:rPr>
                    <w:t xml:space="preserve"> = 1</w:t>
                  </w:r>
                </w:p>
              </w:tc>
              <w:tc>
                <w:tcPr>
                  <w:tcW w:w="4165" w:type="dxa"/>
                  <w:tcBorders>
                    <w:top w:val="single" w:sz="4" w:space="0" w:color="000000"/>
                    <w:left w:val="single" w:sz="4" w:space="0" w:color="000000"/>
                    <w:bottom w:val="single" w:sz="4" w:space="0" w:color="000000"/>
                  </w:tcBorders>
                </w:tcPr>
                <w:p>
                  <w:pPr>
                    <w:pStyle w:val="Normal"/>
                    <w:widowControl w:val="false"/>
                    <w:numPr>
                      <w:ilvl w:val="7"/>
                      <w:numId w:val="20"/>
                    </w:numPr>
                    <w:spacing w:before="0" w:after="160"/>
                    <w:rPr>
                      <w:rFonts w:ascii="Times New Roman" w:hAnsi="Times New Roman" w:cs="Times New Roman"/>
                      <w:sz w:val="20"/>
                      <w:szCs w:val="20"/>
                    </w:rPr>
                  </w:pPr>
                  <w:r>
                    <w:rPr>
                      <w:rFonts w:cs="Times New Roman"/>
                      <w:sz w:val="20"/>
                      <w:szCs w:val="20"/>
                    </w:rPr>
                    <w:t>более 50% НМЦ без учета НДС, но менее 60% НМЦ без учета НДС;</w:t>
                  </w:r>
                </w:p>
              </w:tc>
            </w:tr>
            <w:tr>
              <w:trPr>
                <w:cantSplit w:val="true"/>
              </w:trPr>
              <w:tc>
                <w:tcPr>
                  <w:tcW w:w="889" w:type="dxa"/>
                  <w:tcBorders>
                    <w:top w:val="single" w:sz="4" w:space="0" w:color="000000"/>
                    <w:bottom w:val="single" w:sz="4" w:space="0" w:color="000000"/>
                    <w:right w:val="single" w:sz="4" w:space="0" w:color="000000"/>
                  </w:tcBorders>
                </w:tcPr>
                <w:p>
                  <w:pPr>
                    <w:pStyle w:val="Normal"/>
                    <w:widowControl w:val="false"/>
                    <w:numPr>
                      <w:ilvl w:val="7"/>
                      <w:numId w:val="20"/>
                    </w:numPr>
                    <w:spacing w:before="0" w:after="160"/>
                    <w:rPr/>
                  </w:pPr>
                  <w:r>
                    <w:rPr>
                      <w:rFonts w:cs="Times New Roman"/>
                      <w:sz w:val="20"/>
                      <w:szCs w:val="20"/>
                    </w:rPr>
                    <w:t>Б</w:t>
                  </w:r>
                  <w:r>
                    <w:rPr>
                      <w:rFonts w:cs="Times New Roman"/>
                      <w:sz w:val="20"/>
                      <w:szCs w:val="20"/>
                      <w:vertAlign w:val="subscript"/>
                      <w:lang w:val="en-US"/>
                    </w:rPr>
                    <w:t>2</w:t>
                  </w:r>
                  <w:r>
                    <w:rPr>
                      <w:rFonts w:cs="Times New Roman"/>
                      <w:sz w:val="20"/>
                      <w:szCs w:val="20"/>
                    </w:rPr>
                    <w:t xml:space="preserve"> = 2</w:t>
                  </w:r>
                </w:p>
              </w:tc>
              <w:tc>
                <w:tcPr>
                  <w:tcW w:w="4165" w:type="dxa"/>
                  <w:tcBorders>
                    <w:top w:val="single" w:sz="4" w:space="0" w:color="000000"/>
                    <w:left w:val="single" w:sz="4" w:space="0" w:color="000000"/>
                    <w:bottom w:val="single" w:sz="4" w:space="0" w:color="000000"/>
                  </w:tcBorders>
                </w:tcPr>
                <w:p>
                  <w:pPr>
                    <w:pStyle w:val="Normal"/>
                    <w:widowControl w:val="false"/>
                    <w:numPr>
                      <w:ilvl w:val="7"/>
                      <w:numId w:val="20"/>
                    </w:numPr>
                    <w:spacing w:before="0" w:after="160"/>
                    <w:rPr>
                      <w:rFonts w:ascii="Times New Roman" w:hAnsi="Times New Roman" w:cs="Times New Roman"/>
                      <w:sz w:val="20"/>
                      <w:szCs w:val="20"/>
                    </w:rPr>
                  </w:pPr>
                  <w:r>
                    <w:rPr>
                      <w:rFonts w:cs="Times New Roman"/>
                      <w:sz w:val="20"/>
                      <w:szCs w:val="20"/>
                    </w:rPr>
                    <w:t>более 60% НМЦ без учета НДС (включительно), но менее 70% НМЦ без учета НДС;</w:t>
                  </w:r>
                </w:p>
              </w:tc>
            </w:tr>
            <w:tr>
              <w:trPr>
                <w:cantSplit w:val="true"/>
              </w:trPr>
              <w:tc>
                <w:tcPr>
                  <w:tcW w:w="889" w:type="dxa"/>
                  <w:tcBorders>
                    <w:top w:val="single" w:sz="4" w:space="0" w:color="000000"/>
                    <w:bottom w:val="single" w:sz="4" w:space="0" w:color="000000"/>
                    <w:right w:val="single" w:sz="4" w:space="0" w:color="000000"/>
                  </w:tcBorders>
                </w:tcPr>
                <w:p>
                  <w:pPr>
                    <w:pStyle w:val="Normal"/>
                    <w:widowControl w:val="false"/>
                    <w:numPr>
                      <w:ilvl w:val="7"/>
                      <w:numId w:val="20"/>
                    </w:numPr>
                    <w:spacing w:before="0" w:after="160"/>
                    <w:rPr/>
                  </w:pPr>
                  <w:r>
                    <w:rPr>
                      <w:rFonts w:cs="Times New Roman"/>
                      <w:sz w:val="20"/>
                      <w:szCs w:val="20"/>
                    </w:rPr>
                    <w:t>Б</w:t>
                  </w:r>
                  <w:r>
                    <w:rPr>
                      <w:rFonts w:cs="Times New Roman"/>
                      <w:sz w:val="20"/>
                      <w:szCs w:val="20"/>
                      <w:vertAlign w:val="subscript"/>
                      <w:lang w:val="en-US"/>
                    </w:rPr>
                    <w:t>2</w:t>
                  </w:r>
                  <w:r>
                    <w:rPr>
                      <w:rFonts w:cs="Times New Roman"/>
                      <w:sz w:val="20"/>
                      <w:szCs w:val="20"/>
                    </w:rPr>
                    <w:t xml:space="preserve"> = 3</w:t>
                  </w:r>
                </w:p>
              </w:tc>
              <w:tc>
                <w:tcPr>
                  <w:tcW w:w="4165" w:type="dxa"/>
                  <w:tcBorders>
                    <w:top w:val="single" w:sz="4" w:space="0" w:color="000000"/>
                    <w:left w:val="single" w:sz="4" w:space="0" w:color="000000"/>
                    <w:bottom w:val="single" w:sz="4" w:space="0" w:color="000000"/>
                  </w:tcBorders>
                </w:tcPr>
                <w:p>
                  <w:pPr>
                    <w:pStyle w:val="Normal"/>
                    <w:widowControl w:val="false"/>
                    <w:numPr>
                      <w:ilvl w:val="7"/>
                      <w:numId w:val="20"/>
                    </w:numPr>
                    <w:spacing w:before="0" w:after="160"/>
                    <w:rPr>
                      <w:rFonts w:ascii="Times New Roman" w:hAnsi="Times New Roman" w:cs="Times New Roman"/>
                      <w:sz w:val="20"/>
                      <w:szCs w:val="20"/>
                    </w:rPr>
                  </w:pPr>
                  <w:r>
                    <w:rPr>
                      <w:rFonts w:cs="Times New Roman"/>
                      <w:sz w:val="20"/>
                      <w:szCs w:val="20"/>
                    </w:rPr>
                    <w:t>более 70% НМЦ без учета НДС (включительно), но менее 80% НМЦ без учета НДС;</w:t>
                  </w:r>
                </w:p>
              </w:tc>
            </w:tr>
            <w:tr>
              <w:trPr>
                <w:cantSplit w:val="true"/>
              </w:trPr>
              <w:tc>
                <w:tcPr>
                  <w:tcW w:w="889" w:type="dxa"/>
                  <w:tcBorders>
                    <w:top w:val="single" w:sz="4" w:space="0" w:color="000000"/>
                    <w:bottom w:val="single" w:sz="4" w:space="0" w:color="000000"/>
                    <w:right w:val="single" w:sz="4" w:space="0" w:color="000000"/>
                  </w:tcBorders>
                </w:tcPr>
                <w:p>
                  <w:pPr>
                    <w:pStyle w:val="Normal"/>
                    <w:widowControl w:val="false"/>
                    <w:numPr>
                      <w:ilvl w:val="7"/>
                      <w:numId w:val="20"/>
                    </w:numPr>
                    <w:spacing w:before="0" w:after="160"/>
                    <w:rPr/>
                  </w:pPr>
                  <w:r>
                    <w:rPr>
                      <w:rFonts w:cs="Times New Roman"/>
                      <w:sz w:val="20"/>
                      <w:szCs w:val="20"/>
                    </w:rPr>
                    <w:t>Б</w:t>
                  </w:r>
                  <w:r>
                    <w:rPr>
                      <w:rFonts w:cs="Times New Roman"/>
                      <w:sz w:val="20"/>
                      <w:szCs w:val="20"/>
                      <w:vertAlign w:val="subscript"/>
                      <w:lang w:val="en-US"/>
                    </w:rPr>
                    <w:t>2</w:t>
                  </w:r>
                  <w:r>
                    <w:rPr>
                      <w:rFonts w:cs="Times New Roman"/>
                      <w:sz w:val="20"/>
                      <w:szCs w:val="20"/>
                    </w:rPr>
                    <w:t xml:space="preserve"> = 4</w:t>
                  </w:r>
                </w:p>
              </w:tc>
              <w:tc>
                <w:tcPr>
                  <w:tcW w:w="4165" w:type="dxa"/>
                  <w:tcBorders>
                    <w:top w:val="single" w:sz="4" w:space="0" w:color="000000"/>
                    <w:left w:val="single" w:sz="4" w:space="0" w:color="000000"/>
                    <w:bottom w:val="single" w:sz="4" w:space="0" w:color="000000"/>
                  </w:tcBorders>
                </w:tcPr>
                <w:p>
                  <w:pPr>
                    <w:pStyle w:val="Normal"/>
                    <w:widowControl w:val="false"/>
                    <w:numPr>
                      <w:ilvl w:val="7"/>
                      <w:numId w:val="20"/>
                    </w:numPr>
                    <w:spacing w:before="0" w:after="160"/>
                    <w:rPr>
                      <w:rFonts w:ascii="Times New Roman" w:hAnsi="Times New Roman" w:cs="Times New Roman"/>
                      <w:sz w:val="20"/>
                      <w:szCs w:val="20"/>
                    </w:rPr>
                  </w:pPr>
                  <w:r>
                    <w:rPr>
                      <w:rFonts w:cs="Times New Roman"/>
                      <w:sz w:val="20"/>
                      <w:szCs w:val="20"/>
                    </w:rPr>
                    <w:t>более 80% НМЦ без учета НДС (включительно), но менее 90% НМЦ без учета НДС;</w:t>
                  </w:r>
                </w:p>
              </w:tc>
            </w:tr>
            <w:tr>
              <w:trPr>
                <w:cantSplit w:val="true"/>
              </w:trPr>
              <w:tc>
                <w:tcPr>
                  <w:tcW w:w="889" w:type="dxa"/>
                  <w:tcBorders>
                    <w:top w:val="single" w:sz="4" w:space="0" w:color="000000"/>
                    <w:right w:val="single" w:sz="4" w:space="0" w:color="000000"/>
                  </w:tcBorders>
                </w:tcPr>
                <w:p>
                  <w:pPr>
                    <w:pStyle w:val="Normal"/>
                    <w:widowControl w:val="false"/>
                    <w:numPr>
                      <w:ilvl w:val="7"/>
                      <w:numId w:val="20"/>
                    </w:numPr>
                    <w:spacing w:before="0" w:after="160"/>
                    <w:rPr/>
                  </w:pPr>
                  <w:r>
                    <w:rPr>
                      <w:rFonts w:cs="Times New Roman"/>
                      <w:sz w:val="20"/>
                      <w:szCs w:val="20"/>
                    </w:rPr>
                    <w:t>Б</w:t>
                  </w:r>
                  <w:r>
                    <w:rPr>
                      <w:rFonts w:cs="Times New Roman"/>
                      <w:sz w:val="20"/>
                      <w:szCs w:val="20"/>
                      <w:vertAlign w:val="subscript"/>
                      <w:lang w:val="en-US"/>
                    </w:rPr>
                    <w:t>2</w:t>
                  </w:r>
                  <w:r>
                    <w:rPr>
                      <w:rFonts w:cs="Times New Roman"/>
                      <w:sz w:val="20"/>
                      <w:szCs w:val="20"/>
                    </w:rPr>
                    <w:t xml:space="preserve"> = 5</w:t>
                  </w:r>
                </w:p>
              </w:tc>
              <w:tc>
                <w:tcPr>
                  <w:tcW w:w="4165" w:type="dxa"/>
                  <w:tcBorders>
                    <w:top w:val="single" w:sz="4" w:space="0" w:color="000000"/>
                    <w:left w:val="single" w:sz="4" w:space="0" w:color="000000"/>
                  </w:tcBorders>
                </w:tcPr>
                <w:p>
                  <w:pPr>
                    <w:pStyle w:val="Normal"/>
                    <w:widowControl w:val="false"/>
                    <w:numPr>
                      <w:ilvl w:val="7"/>
                      <w:numId w:val="20"/>
                    </w:numPr>
                    <w:suppressAutoHyphens w:val="true"/>
                    <w:bidi w:val="0"/>
                    <w:spacing w:before="0" w:after="160"/>
                    <w:ind w:left="113" w:right="-170" w:hanging="0"/>
                    <w:jc w:val="left"/>
                    <w:rPr>
                      <w:rFonts w:ascii="Times New Roman" w:hAnsi="Times New Roman" w:cs="Times New Roman"/>
                      <w:sz w:val="20"/>
                      <w:szCs w:val="20"/>
                    </w:rPr>
                  </w:pPr>
                  <w:r>
                    <w:rPr>
                      <w:rFonts w:cs="Times New Roman"/>
                      <w:sz w:val="20"/>
                      <w:szCs w:val="20"/>
                    </w:rPr>
                    <w:t>более 90% НМЦ без учета НДС (включительно) и выше.</w:t>
                  </w:r>
                </w:p>
              </w:tc>
            </w:tr>
          </w:tbl>
          <w:p>
            <w:pPr>
              <w:pStyle w:val="Normal"/>
              <w:widowControl w:val="false"/>
              <w:rPr/>
            </w:pPr>
            <w:r>
              <w:rPr/>
            </w:r>
          </w:p>
        </w:tc>
      </w:tr>
      <w:tr>
        <w:trPr/>
        <w:tc>
          <w:tcPr>
            <w:tcW w:w="1078" w:type="dxa"/>
            <w:tcBorders/>
          </w:tcPr>
          <w:p>
            <w:pPr>
              <w:pStyle w:val="Style31"/>
              <w:widowControl w:val="false"/>
              <w:suppressAutoHyphens w:val="true"/>
              <w:spacing w:before="40" w:after="40"/>
              <w:jc w:val="left"/>
              <w:rPr>
                <w:sz w:val="24"/>
                <w:szCs w:val="24"/>
                <w:highlight w:val="none"/>
                <w:shd w:fill="auto" w:val="clear"/>
              </w:rPr>
            </w:pPr>
            <w:r>
              <w:rPr>
                <w:rFonts w:eastAsia="Calibri" w:cs=""/>
                <w:kern w:val="0"/>
                <w:sz w:val="24"/>
                <w:szCs w:val="24"/>
                <w:shd w:fill="auto" w:val="clear"/>
                <w:lang w:val="ru-RU" w:eastAsia="en-US" w:bidi="ar-SA"/>
              </w:rPr>
              <w:t>3</w:t>
            </w:r>
          </w:p>
        </w:tc>
        <w:tc>
          <w:tcPr>
            <w:tcW w:w="1696" w:type="dxa"/>
            <w:tcBorders/>
          </w:tcPr>
          <w:p>
            <w:pPr>
              <w:pStyle w:val="Style31"/>
              <w:widowControl w:val="false"/>
              <w:suppressAutoHyphens w:val="true"/>
              <w:spacing w:before="40" w:after="40"/>
              <w:jc w:val="center"/>
              <w:rPr/>
            </w:pPr>
            <w:r>
              <w:rPr>
                <w:rStyle w:val="Style11"/>
                <w:rFonts w:eastAsia="Calibri" w:cs=""/>
                <w:kern w:val="0"/>
                <w:sz w:val="18"/>
                <w:szCs w:val="18"/>
                <w:shd w:fill="auto" w:val="clear"/>
                <w:lang w:val="ru-RU" w:eastAsia="en-US" w:bidi="ar-SA"/>
              </w:rPr>
              <w:t>Финансовое состояние (устойчивость) Участника/ОРГ</w:t>
            </w:r>
          </w:p>
          <w:p>
            <w:pPr>
              <w:pStyle w:val="Style31"/>
              <w:widowControl w:val="false"/>
              <w:suppressAutoHyphens w:val="true"/>
              <w:spacing w:before="40" w:after="40"/>
              <w:jc w:val="center"/>
              <w:rPr>
                <w:highlight w:val="none"/>
                <w:shd w:fill="auto" w:val="clear"/>
              </w:rPr>
            </w:pPr>
            <w:r>
              <w:rPr>
                <w:shd w:fill="auto" w:val="clear"/>
              </w:rPr>
            </w:r>
          </w:p>
        </w:tc>
        <w:tc>
          <w:tcPr>
            <w:tcW w:w="1711" w:type="dxa"/>
            <w:tcBorders/>
          </w:tcPr>
          <w:p>
            <w:pPr>
              <w:pStyle w:val="Style31"/>
              <w:widowControl w:val="false"/>
              <w:suppressAutoHyphens w:val="true"/>
              <w:spacing w:before="40" w:after="40"/>
              <w:jc w:val="center"/>
              <w:rPr/>
            </w:pPr>
            <w:r>
              <w:rPr>
                <w:rStyle w:val="Style11"/>
                <w:rFonts w:eastAsia="Calibri" w:cs=""/>
                <w:kern w:val="0"/>
                <w:sz w:val="18"/>
                <w:szCs w:val="18"/>
                <w:shd w:fill="auto" w:val="clear"/>
                <w:lang w:val="ru-RU" w:eastAsia="en-US" w:bidi="ar-SA"/>
              </w:rPr>
              <w:t>Неценовой критерий оценки первого уровня</w:t>
            </w:r>
          </w:p>
        </w:tc>
        <w:tc>
          <w:tcPr>
            <w:tcW w:w="1589" w:type="dxa"/>
            <w:tcBorders/>
          </w:tcPr>
          <w:p>
            <w:pPr>
              <w:pStyle w:val="Style31"/>
              <w:widowControl w:val="false"/>
              <w:suppressAutoHyphens w:val="true"/>
              <w:spacing w:before="40" w:after="40"/>
              <w:jc w:val="center"/>
              <w:rPr>
                <w:sz w:val="18"/>
                <w:szCs w:val="18"/>
              </w:rPr>
            </w:pPr>
            <w:r>
              <w:rPr>
                <w:rFonts w:eastAsia="Calibri" w:cs=""/>
                <w:i/>
                <w:iCs/>
                <w:kern w:val="0"/>
                <w:sz w:val="18"/>
                <w:szCs w:val="18"/>
                <w:lang w:val="ru-RU" w:eastAsia="en-US" w:bidi="ar-SA"/>
              </w:rPr>
              <w:t>отсутствует</w:t>
            </w:r>
          </w:p>
        </w:tc>
        <w:tc>
          <w:tcPr>
            <w:tcW w:w="2206" w:type="dxa"/>
            <w:tcBorders/>
          </w:tcPr>
          <w:p>
            <w:pPr>
              <w:pStyle w:val="Style31"/>
              <w:widowControl w:val="false"/>
              <w:suppressAutoHyphens w:val="true"/>
              <w:spacing w:before="40" w:after="40"/>
              <w:jc w:val="center"/>
              <w:rPr>
                <w:rStyle w:val="Style11"/>
                <w:sz w:val="18"/>
                <w:szCs w:val="18"/>
              </w:rPr>
            </w:pPr>
            <w:r>
              <w:rPr/>
            </w:r>
            <m:oMath xmlns:m="http://schemas.openxmlformats.org/officeDocument/2006/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1</m:t>
                      </m:r>
                    </m:sub>
                  </m:sSub>
                  <m:r>
                    <w:rPr>
                      <w:rFonts w:ascii="Cambria Math" w:hAnsi="Cambria Math"/>
                    </w:rPr>
                    <m:t xml:space="preserve">=</m:t>
                  </m:r>
                  <m:r>
                    <w:rPr>
                      <w:rFonts w:ascii="Cambria Math" w:hAnsi="Cambria Math"/>
                    </w:rPr>
                    <m:t xml:space="preserve">0,05</m:t>
                  </m:r>
                </m:e>
              </m:d>
            </m:oMath>
            <w:r>
              <w:rPr>
                <w:rStyle w:val="Style11"/>
                <w:rFonts w:eastAsia="Calibri" w:cs=""/>
                <w:kern w:val="0"/>
                <w:sz w:val="18"/>
                <w:szCs w:val="18"/>
                <w:shd w:fill="auto" w:val="clear"/>
                <w:lang w:val="ru-RU" w:eastAsia="en-US" w:bidi="ar-SA"/>
              </w:rPr>
              <w:t>»,</w:t>
            </w:r>
          </w:p>
          <w:p>
            <w:pPr>
              <w:pStyle w:val="Style31"/>
              <w:widowControl w:val="false"/>
              <w:suppressAutoHyphens w:val="true"/>
              <w:spacing w:before="40" w:after="40"/>
              <w:jc w:val="center"/>
              <w:rPr/>
            </w:pPr>
            <w:r>
              <w:rPr>
                <w:rStyle w:val="Style11"/>
                <w:rFonts w:eastAsia="Calibri" w:cs=""/>
                <w:kern w:val="0"/>
                <w:sz w:val="18"/>
                <w:szCs w:val="18"/>
                <w:shd w:fill="auto" w:val="clear"/>
                <w:lang w:val="ru-RU" w:eastAsia="en-US" w:bidi="ar-SA"/>
              </w:rPr>
              <w:t>где В</w:t>
            </w:r>
            <w:r>
              <w:rPr>
                <w:rStyle w:val="Style11"/>
                <w:rFonts w:eastAsia="Calibri" w:cs=""/>
                <w:kern w:val="0"/>
                <w:sz w:val="18"/>
                <w:szCs w:val="18"/>
                <w:shd w:fill="auto" w:val="clear"/>
                <w:vertAlign w:val="subscript"/>
                <w:lang w:val="ru-RU" w:eastAsia="en-US" w:bidi="ar-SA"/>
              </w:rPr>
              <w:t>1</w:t>
            </w:r>
            <w:r>
              <w:rPr>
                <w:rStyle w:val="Style11"/>
                <w:rFonts w:eastAsia="Calibri" w:cs=""/>
                <w:kern w:val="0"/>
                <w:sz w:val="18"/>
                <w:szCs w:val="18"/>
                <w:shd w:fill="auto" w:val="clear"/>
                <w:lang w:val="ru-RU" w:eastAsia="en-US" w:bidi="ar-SA"/>
              </w:rPr>
              <w:t xml:space="preserve"> – значимость (вес) критерия оценки]</w:t>
            </w:r>
          </w:p>
        </w:tc>
        <w:tc>
          <w:tcPr>
            <w:tcW w:w="1755" w:type="dxa"/>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Чем выше оценка финансового состояния (устойчивости) Участника, тем выше предпочтительность</w:t>
            </w:r>
          </w:p>
        </w:tc>
        <w:tc>
          <w:tcPr>
            <w:tcW w:w="5174" w:type="dxa"/>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31"/>
              <w:keepNext w:val="true"/>
              <w:widowControl w:val="false"/>
              <w:numPr>
                <w:ilvl w:val="0"/>
                <w:numId w:val="12"/>
              </w:numPr>
              <w:suppressAutoHyphens w:val="true"/>
              <w:spacing w:before="40" w:after="40"/>
              <w:ind w:left="142" w:hanging="142"/>
              <w:jc w:val="left"/>
              <w:rPr>
                <w:sz w:val="18"/>
                <w:szCs w:val="18"/>
              </w:rPr>
            </w:pPr>
            <w:r>
              <w:rPr>
                <w:rFonts w:eastAsia="Calibri" w:cs=""/>
                <w:kern w:val="0"/>
                <w:sz w:val="18"/>
                <w:szCs w:val="18"/>
                <w:lang w:val="ru-RU" w:eastAsia="en-US" w:bidi="ar-SA"/>
              </w:rPr>
              <w:t>порядок проведения оценки финансового состояния (устойчивости) Участника установлен в Приложении 4 к Положению об аккредитации</w:t>
            </w:r>
            <w:r>
              <w:rPr>
                <w:rStyle w:val="FootnoteReference"/>
                <w:rFonts w:eastAsia="Calibri" w:cs=""/>
                <w:kern w:val="0"/>
                <w:sz w:val="18"/>
                <w:szCs w:val="18"/>
                <w:lang w:val="ru-RU" w:eastAsia="en-US" w:bidi="ar-SA"/>
              </w:rPr>
              <w:footnoteReference w:id="17"/>
            </w:r>
            <w:r>
              <w:rPr>
                <w:rFonts w:eastAsia="Calibri" w:cs=""/>
                <w:kern w:val="0"/>
                <w:sz w:val="18"/>
                <w:szCs w:val="18"/>
                <w:lang w:val="ru-RU" w:eastAsia="en-US" w:bidi="ar-SA"/>
              </w:rPr>
              <w:t>;</w:t>
            </w:r>
          </w:p>
          <w:p>
            <w:pPr>
              <w:pStyle w:val="Style31"/>
              <w:keepNext w:val="true"/>
              <w:widowControl w:val="false"/>
              <w:numPr>
                <w:ilvl w:val="0"/>
                <w:numId w:val="12"/>
              </w:numPr>
              <w:suppressAutoHyphens w:val="true"/>
              <w:spacing w:before="40" w:after="40"/>
              <w:ind w:left="142" w:hanging="142"/>
              <w:jc w:val="left"/>
              <w:rPr>
                <w:sz w:val="18"/>
                <w:szCs w:val="18"/>
              </w:rPr>
            </w:pPr>
            <w:r>
              <w:rPr>
                <w:rFonts w:eastAsia="Calibri" w:cs=""/>
                <w:kern w:val="0"/>
                <w:sz w:val="18"/>
                <w:szCs w:val="18"/>
                <w:lang w:val="ru-RU"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pPr>
              <w:pStyle w:val="Style31"/>
              <w:keepNext w:val="true"/>
              <w:widowControl w:val="false"/>
              <w:suppressAutoHyphens w:val="true"/>
              <w:spacing w:before="40" w:after="40"/>
              <w:ind w:left="142" w:hanging="0"/>
              <w:jc w:val="left"/>
              <w:rPr>
                <w:sz w:val="18"/>
                <w:szCs w:val="18"/>
              </w:rPr>
            </w:pPr>
            <w:r>
              <w:rPr>
                <w:rFonts w:eastAsia="Calibri" w:cs=""/>
                <w:kern w:val="0"/>
                <w:sz w:val="18"/>
                <w:szCs w:val="18"/>
                <w:lang w:val="ru-RU" w:eastAsia="en-US" w:bidi="ar-SA"/>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31"/>
              <w:keepNext w:val="true"/>
              <w:widowControl w:val="false"/>
              <w:suppressAutoHyphens w:val="true"/>
              <w:spacing w:before="40" w:after="40"/>
              <w:ind w:left="142" w:hanging="0"/>
              <w:jc w:val="left"/>
              <w:rPr>
                <w:sz w:val="18"/>
                <w:szCs w:val="18"/>
              </w:rPr>
            </w:pPr>
            <w:r>
              <w:rPr>
                <w:rFonts w:eastAsia="Calibri" w:cs=""/>
                <w:kern w:val="0"/>
                <w:sz w:val="18"/>
                <w:szCs w:val="18"/>
                <w:lang w:val="ru-RU" w:eastAsia="en-US" w:bidi="ar-SA"/>
              </w:rPr>
              <w:t xml:space="preserve">Если Участник в соответствии с законодательством формирует </w:t>
            </w:r>
            <w:r>
              <w:rPr>
                <w:rFonts w:eastAsia="Calibri" w:cs=""/>
                <w:kern w:val="0"/>
                <w:sz w:val="18"/>
                <w:szCs w:val="18"/>
                <w:u w:val="single"/>
                <w:lang w:val="ru-RU" w:eastAsia="en-US" w:bidi="ar-SA"/>
              </w:rPr>
              <w:t>оценочный)</w:t>
            </w:r>
            <w:r>
              <w:rPr>
                <w:rFonts w:eastAsia="Calibri" w:cs=""/>
                <w:kern w:val="0"/>
                <w:sz w:val="18"/>
                <w:szCs w:val="18"/>
                <w:lang w:val="ru-RU" w:eastAsia="en-US" w:bidi="ar-SA"/>
              </w:rPr>
              <w:t>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31"/>
              <w:keepNext w:val="true"/>
              <w:widowControl w:val="false"/>
              <w:numPr>
                <w:ilvl w:val="0"/>
                <w:numId w:val="12"/>
              </w:numPr>
              <w:suppressAutoHyphens w:val="true"/>
              <w:spacing w:before="40" w:after="40"/>
              <w:ind w:left="284" w:hanging="142"/>
              <w:jc w:val="left"/>
              <w:rPr>
                <w:sz w:val="18"/>
                <w:szCs w:val="18"/>
              </w:rPr>
            </w:pPr>
            <w:r>
              <w:rPr>
                <w:rFonts w:eastAsia="Calibri" w:cs=""/>
                <w:kern w:val="0"/>
                <w:sz w:val="18"/>
                <w:szCs w:val="18"/>
                <w:lang w:val="ru-RU" w:eastAsia="en-US" w:bidi="ar-SA"/>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keepNext w:val="true"/>
              <w:widowControl w:val="false"/>
              <w:numPr>
                <w:ilvl w:val="0"/>
                <w:numId w:val="12"/>
              </w:numPr>
              <w:suppressAutoHyphens w:val="true"/>
              <w:spacing w:before="40" w:after="40"/>
              <w:ind w:left="284" w:hanging="142"/>
              <w:jc w:val="left"/>
              <w:rPr>
                <w:sz w:val="18"/>
                <w:szCs w:val="18"/>
              </w:rPr>
            </w:pPr>
            <w:r>
              <w:rPr>
                <w:rFonts w:eastAsia="Calibri" w:cs=""/>
                <w:kern w:val="0"/>
                <w:sz w:val="18"/>
                <w:szCs w:val="18"/>
                <w:lang w:val="ru-RU" w:eastAsia="en-US" w:bidi="ar-SA"/>
              </w:rPr>
              <w:t>дополнительных сведений о размере всех требуемых показателей согласно данным бухгалтерской (финансовой) отчетности по установленной форме (</w:t>
            </w:r>
            <w:hyperlink w:anchor="Прил11_Данные_бухотчетность">
              <w:r>
                <w:rPr>
                  <w:rStyle w:val="Hyperlink"/>
                  <w:rFonts w:eastAsia="Calibri" w:cs=""/>
                  <w:kern w:val="0"/>
                  <w:sz w:val="18"/>
                  <w:szCs w:val="18"/>
                  <w:lang w:val="ru-RU" w:eastAsia="en-US" w:bidi="ar-SA"/>
                </w:rPr>
                <w:t>Приложение № 11</w:t>
              </w:r>
            </w:hyperlink>
            <w:r>
              <w:rPr>
                <w:rFonts w:eastAsia="Calibri" w:cs=""/>
                <w:kern w:val="0"/>
                <w:sz w:val="18"/>
                <w:szCs w:val="18"/>
                <w:lang w:val="ru-RU" w:eastAsia="en-US" w:bidi="ar-SA"/>
              </w:rPr>
              <w:t>).</w:t>
            </w:r>
          </w:p>
          <w:p>
            <w:pPr>
              <w:pStyle w:val="Style31"/>
              <w:keepNext w:val="true"/>
              <w:widowControl w:val="false"/>
              <w:suppressAutoHyphens w:val="true"/>
              <w:spacing w:before="40" w:after="40"/>
              <w:jc w:val="left"/>
              <w:rPr>
                <w:sz w:val="18"/>
                <w:szCs w:val="18"/>
              </w:rPr>
            </w:pPr>
            <w:r>
              <w:rPr>
                <w:rFonts w:eastAsia="Calibri" w:cs=""/>
                <w:kern w:val="0"/>
                <w:sz w:val="18"/>
                <w:szCs w:val="18"/>
                <w:lang w:val="ru-RU" w:eastAsia="en-US" w:bidi="ar-SA"/>
              </w:rPr>
              <w:t>Оценка предпочтительности по частному критерию осуществляется в соответствии со следующей шкалой:</w:t>
            </w:r>
          </w:p>
          <w:tbl>
            <w:tblPr>
              <w:tblStyle w:val="af6"/>
              <w:tblW w:w="4980"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93"/>
              <w:gridCol w:w="4186"/>
            </w:tblGrid>
            <w:tr>
              <w:trPr>
                <w:cnfStyle w:val="100000000000" w:firstRow="1" w:lastRow="0" w:firstColumn="0" w:lastColumn="0" w:oddVBand="0" w:evenVBand="0" w:oddHBand="0" w:evenHBand="0" w:firstRowFirstColumn="0" w:firstRowLastColumn="0" w:lastRowFirstColumn="0" w:lastRowLastColumn="0"/>
              </w:trPr>
              <w:tc>
                <w:tcPr>
                  <w:tcW w:w="793" w:type="dxa"/>
                  <w:tcBorders>
                    <w:top w:val="nil"/>
                    <w:left w:val="nil"/>
                  </w:tcBorders>
                </w:tcPr>
                <w:p>
                  <w:pPr>
                    <w:pStyle w:val="Style31"/>
                    <w:keepNext w:val="false"/>
                    <w:keepLines w:val="false"/>
                    <w:widowControl w:val="false"/>
                    <w:suppressAutoHyphens w:val="true"/>
                    <w:spacing w:before="40" w:after="40"/>
                    <w:jc w:val="left"/>
                    <w:rPr>
                      <w:b w:val="false"/>
                      <w:bCs/>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0</m:t>
                      </m:r>
                    </m:oMath>
                  </m:oMathPara>
                </w:p>
              </w:tc>
              <w:tc>
                <w:tcPr>
                  <w:tcW w:w="4186" w:type="dxa"/>
                  <w:tcBorders>
                    <w:top w:val="nil"/>
                    <w:right w:val="nil"/>
                  </w:tcBorders>
                </w:tcPr>
                <w:p>
                  <w:pPr>
                    <w:pStyle w:val="Style31"/>
                    <w:keepNext w:val="true"/>
                    <w:keepLines w:val="false"/>
                    <w:widowControl w:val="false"/>
                    <w:suppressAutoHyphens w:val="true"/>
                    <w:spacing w:before="40" w:after="40"/>
                    <w:jc w:val="left"/>
                    <w:rPr>
                      <w:b w:val="false"/>
                      <w:sz w:val="18"/>
                      <w:szCs w:val="18"/>
                    </w:rPr>
                  </w:pPr>
                  <w:r>
                    <w:rPr>
                      <w:rFonts w:eastAsia="Calibri" w:cs=""/>
                      <w:b w:val="false"/>
                      <w:kern w:val="0"/>
                      <w:sz w:val="18"/>
                      <w:szCs w:val="18"/>
                      <w:lang w:val="ru-RU" w:eastAsia="en-US" w:bidi="ar-SA"/>
                    </w:rPr>
                    <w:t>результат оценки финансового состояния (устойчивости): менее 0,45 баллов – Кризисное финансовое состояние</w:t>
                  </w:r>
                </w:p>
                <w:p>
                  <w:pPr>
                    <w:pStyle w:val="Style31"/>
                    <w:keepNext w:val="true"/>
                    <w:keepLines w:val="false"/>
                    <w:widowControl w:val="false"/>
                    <w:suppressAutoHyphens w:val="true"/>
                    <w:spacing w:before="40" w:after="40"/>
                    <w:jc w:val="left"/>
                    <w:rPr>
                      <w:b w:val="false"/>
                      <w:i/>
                      <w:i/>
                      <w:iCs/>
                      <w:sz w:val="18"/>
                      <w:szCs w:val="18"/>
                    </w:rPr>
                  </w:pPr>
                  <w:r>
                    <w:rPr>
                      <w:rFonts w:eastAsia="Calibri" w:cs=""/>
                      <w:b w:val="false"/>
                      <w:i/>
                      <w:iCs/>
                      <w:kern w:val="0"/>
                      <w:sz w:val="18"/>
                      <w:szCs w:val="18"/>
                      <w:lang w:val="ru-RU" w:eastAsia="en-US" w:bidi="ar-SA"/>
                    </w:rPr>
                    <w:t>или</w:t>
                  </w:r>
                </w:p>
                <w:p>
                  <w:pPr>
                    <w:pStyle w:val="Style31"/>
                    <w:keepNext w:val="true"/>
                    <w:keepLines w:val="false"/>
                    <w:widowControl w:val="false"/>
                    <w:suppressAutoHyphens w:val="true"/>
                    <w:spacing w:before="40" w:after="40"/>
                    <w:jc w:val="left"/>
                    <w:rPr>
                      <w:b w:val="false"/>
                      <w:sz w:val="18"/>
                      <w:szCs w:val="18"/>
                    </w:rPr>
                  </w:pPr>
                  <w:r>
                    <w:rPr>
                      <w:rFonts w:eastAsia="Calibri" w:cs=""/>
                      <w:b w:val="false"/>
                      <w:kern w:val="0"/>
                      <w:sz w:val="18"/>
                      <w:szCs w:val="18"/>
                      <w:lang w:val="ru-RU" w:eastAsia="en-US" w:bidi="ar-SA"/>
                    </w:rPr>
                    <w:t>в случае отсутствия исходных данных для оценки финансового состояния Участника, в том числе если он является:</w:t>
                  </w:r>
                </w:p>
                <w:p>
                  <w:pPr>
                    <w:pStyle w:val="Style31"/>
                    <w:keepNext w:val="true"/>
                    <w:keepLines w:val="false"/>
                    <w:widowControl w:val="false"/>
                    <w:numPr>
                      <w:ilvl w:val="0"/>
                      <w:numId w:val="12"/>
                    </w:numPr>
                    <w:suppressAutoHyphens w:val="true"/>
                    <w:spacing w:before="40" w:after="40"/>
                    <w:ind w:left="142" w:hanging="142"/>
                    <w:jc w:val="left"/>
                    <w:rPr>
                      <w:b w:val="false"/>
                      <w:sz w:val="18"/>
                      <w:szCs w:val="18"/>
                    </w:rPr>
                  </w:pPr>
                  <w:r>
                    <w:rPr>
                      <w:rFonts w:eastAsia="Calibri" w:cs=""/>
                      <w:b w:val="false"/>
                      <w:kern w:val="0"/>
                      <w:sz w:val="18"/>
                      <w:szCs w:val="18"/>
                      <w:lang w:val="ru-RU" w:eastAsia="en-US" w:bidi="ar-SA"/>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31"/>
                    <w:keepNext w:val="false"/>
                    <w:keepLines w:val="false"/>
                    <w:widowControl w:val="false"/>
                    <w:numPr>
                      <w:ilvl w:val="0"/>
                      <w:numId w:val="12"/>
                    </w:numPr>
                    <w:suppressAutoHyphens w:val="true"/>
                    <w:spacing w:before="40" w:after="40"/>
                    <w:ind w:left="142" w:hanging="142"/>
                    <w:jc w:val="left"/>
                    <w:rPr>
                      <w:b w:val="false"/>
                      <w:sz w:val="18"/>
                      <w:szCs w:val="18"/>
                    </w:rPr>
                  </w:pPr>
                  <w:r>
                    <w:rPr>
                      <w:rFonts w:eastAsia="Calibri" w:cs=""/>
                      <w:b w:val="false"/>
                      <w:kern w:val="0"/>
                      <w:sz w:val="18"/>
                      <w:szCs w:val="18"/>
                      <w:lang w:val="ru-RU" w:eastAsia="en-US" w:bidi="ar-SA"/>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793" w:type="dxa"/>
                  <w:tcBorders>
                    <w:left w:val="nil"/>
                  </w:tcBorders>
                </w:tcPr>
                <w:p>
                  <w:pPr>
                    <w:pStyle w:val="Style31"/>
                    <w:widowControl w:val="false"/>
                    <w:suppressAutoHyphens w:val="tru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3</m:t>
                      </m:r>
                    </m:oMath>
                  </m:oMathPara>
                </w:p>
              </w:tc>
              <w:tc>
                <w:tcPr>
                  <w:tcW w:w="4186" w:type="dxa"/>
                  <w:tcBorders>
                    <w:right w:val="nil"/>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793" w:type="dxa"/>
                  <w:tcBorders>
                    <w:left w:val="nil"/>
                    <w:bottom w:val="nil"/>
                  </w:tcBorders>
                </w:tcPr>
                <w:p>
                  <w:pPr>
                    <w:pStyle w:val="Style31"/>
                    <w:widowControl w:val="false"/>
                    <w:suppressAutoHyphens w:val="tru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i</m:t>
                          </m:r>
                        </m:sub>
                      </m:sSub>
                      <m:r>
                        <w:rPr>
                          <w:rFonts w:ascii="Cambria Math" w:hAnsi="Cambria Math"/>
                        </w:rPr>
                        <m:t xml:space="preserve">=</m:t>
                      </m:r>
                      <m:r>
                        <w:rPr>
                          <w:rFonts w:ascii="Cambria Math" w:hAnsi="Cambria Math"/>
                        </w:rPr>
                        <m:t xml:space="preserve">5</m:t>
                      </m:r>
                    </m:oMath>
                  </m:oMathPara>
                </w:p>
              </w:tc>
              <w:tc>
                <w:tcPr>
                  <w:tcW w:w="4186" w:type="dxa"/>
                  <w:tcBorders>
                    <w:bottom w:val="nil"/>
                    <w:right w:val="nil"/>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31"/>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оценка предпочтительности по частному критерию оценки в баллах.</w:t>
            </w:r>
          </w:p>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Шкала оценок от 0 до 5 баллов.</w:t>
            </w:r>
          </w:p>
          <w:p>
            <w:pPr>
              <w:pStyle w:val="Style31"/>
              <w:widowControl w:val="false"/>
              <w:suppressAutoHyphens w:val="true"/>
              <w:spacing w:before="40" w:after="40"/>
              <w:jc w:val="left"/>
              <w:rPr>
                <w:i/>
                <w:i/>
                <w:iCs/>
                <w:sz w:val="18"/>
                <w:szCs w:val="18"/>
              </w:rPr>
            </w:pPr>
            <w:r>
              <w:rPr>
                <w:rFonts w:eastAsia="Calibri" w:cs=""/>
                <w:i/>
                <w:iCs/>
                <w:kern w:val="0"/>
                <w:sz w:val="18"/>
                <w:szCs w:val="18"/>
                <w:lang w:val="ru-RU"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31"/>
              <w:widowControl w:val="false"/>
              <w:suppressAutoHyphens w:val="true"/>
              <w:spacing w:before="40" w:after="40"/>
              <w:jc w:val="left"/>
              <w:rPr>
                <w:i/>
                <w:i/>
                <w:iCs/>
                <w:sz w:val="18"/>
                <w:szCs w:val="18"/>
              </w:rPr>
            </w:pPr>
            <w:r>
              <w:rPr>
                <w:rFonts w:eastAsia="Calibri" w:cs=""/>
                <w:i/>
                <w:iCs/>
                <w:kern w:val="0"/>
                <w:sz w:val="18"/>
                <w:szCs w:val="18"/>
                <w:lang w:val="ru-RU" w:eastAsia="en-US" w:bidi="ar-SA"/>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w:t>
            </w:r>
            <w:hyperlink w:anchor="Прил04_ФормыЗаявки">
              <w:r>
                <w:rPr>
                  <w:rStyle w:val="Style14"/>
                  <w:rFonts w:eastAsia="Calibri" w:cs=""/>
                  <w:i/>
                  <w:iCs/>
                  <w:kern w:val="0"/>
                  <w:sz w:val="18"/>
                  <w:szCs w:val="18"/>
                  <w:lang w:val="ru-RU" w:eastAsia="en-US" w:bidi="ar-SA"/>
                </w:rPr>
                <w:t>Приложение № 4</w:t>
              </w:r>
            </w:hyperlink>
            <w:r>
              <w:rPr>
                <w:rFonts w:eastAsia="Calibri" w:cs=""/>
                <w:i/>
                <w:iCs/>
                <w:kern w:val="0"/>
                <w:sz w:val="18"/>
                <w:szCs w:val="18"/>
                <w:lang w:val="ru-RU" w:eastAsia="en-US" w:bidi="ar-SA"/>
              </w:rPr>
              <w:t>), представленному в заявке такого Коллективного участника на участие в закупке.)</w:t>
            </w:r>
          </w:p>
          <w:p>
            <w:pPr>
              <w:pStyle w:val="Style31"/>
              <w:widowControl w:val="false"/>
              <w:suppressAutoHyphens w:val="true"/>
              <w:spacing w:before="40" w:after="40"/>
              <w:jc w:val="left"/>
              <w:rPr>
                <w:sz w:val="18"/>
                <w:szCs w:val="18"/>
              </w:rPr>
            </w:pPr>
            <w:r>
              <w:rPr>
                <w:rFonts w:eastAsia="Calibri" w:cs=""/>
                <w:i/>
                <w:iCs/>
                <w:kern w:val="0"/>
                <w:sz w:val="18"/>
                <w:szCs w:val="18"/>
                <w:lang w:val="ru-RU" w:eastAsia="en-US" w:bidi="ar-SA"/>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trPr/>
        <w:tc>
          <w:tcPr>
            <w:tcW w:w="1078" w:type="dxa"/>
            <w:tcBorders/>
          </w:tcPr>
          <w:p>
            <w:pPr>
              <w:pStyle w:val="Style31"/>
              <w:widowControl w:val="false"/>
              <w:suppressAutoHyphens w:val="true"/>
              <w:spacing w:before="40" w:after="40"/>
              <w:jc w:val="center"/>
              <w:rPr>
                <w:sz w:val="18"/>
                <w:szCs w:val="18"/>
              </w:rPr>
            </w:pPr>
            <w:r>
              <w:rPr>
                <w:rFonts w:eastAsia="Calibri" w:cs=""/>
                <w:kern w:val="0"/>
                <w:sz w:val="18"/>
                <w:szCs w:val="18"/>
                <w:lang w:val="ru-RU" w:eastAsia="en-US" w:bidi="ar-SA"/>
              </w:rPr>
              <w:t>…</w:t>
            </w:r>
          </w:p>
        </w:tc>
        <w:tc>
          <w:tcPr>
            <w:tcW w:w="1696" w:type="dxa"/>
            <w:tcBorders/>
          </w:tcPr>
          <w:p>
            <w:pPr>
              <w:pStyle w:val="Style31"/>
              <w:widowControl w:val="false"/>
              <w:suppressAutoHyphens w:val="true"/>
              <w:spacing w:before="40" w:after="40"/>
              <w:jc w:val="center"/>
              <w:rPr>
                <w:sz w:val="18"/>
                <w:szCs w:val="18"/>
              </w:rPr>
            </w:pPr>
            <w:r>
              <w:rPr>
                <w:rFonts w:eastAsia="Calibri" w:cs=""/>
                <w:kern w:val="0"/>
                <w:sz w:val="18"/>
                <w:szCs w:val="18"/>
                <w:lang w:val="ru-RU" w:eastAsia="en-US" w:bidi="ar-SA"/>
              </w:rPr>
              <w:t>…</w:t>
            </w:r>
          </w:p>
        </w:tc>
        <w:tc>
          <w:tcPr>
            <w:tcW w:w="1711" w:type="dxa"/>
            <w:tcBorders/>
          </w:tcPr>
          <w:p>
            <w:pPr>
              <w:pStyle w:val="Style31"/>
              <w:widowControl w:val="false"/>
              <w:suppressAutoHyphens w:val="true"/>
              <w:spacing w:before="40" w:after="40"/>
              <w:jc w:val="center"/>
              <w:rPr>
                <w:sz w:val="18"/>
                <w:szCs w:val="18"/>
              </w:rPr>
            </w:pPr>
            <w:r>
              <w:rPr>
                <w:rFonts w:eastAsia="Calibri" w:cs=""/>
                <w:kern w:val="0"/>
                <w:sz w:val="18"/>
                <w:szCs w:val="18"/>
                <w:lang w:val="ru-RU" w:eastAsia="en-US" w:bidi="ar-SA"/>
              </w:rPr>
              <w:t>…</w:t>
            </w:r>
          </w:p>
        </w:tc>
        <w:tc>
          <w:tcPr>
            <w:tcW w:w="1589" w:type="dxa"/>
            <w:tcBorders/>
          </w:tcPr>
          <w:p>
            <w:pPr>
              <w:pStyle w:val="Style31"/>
              <w:widowControl w:val="false"/>
              <w:suppressAutoHyphens w:val="true"/>
              <w:spacing w:before="40" w:after="40"/>
              <w:jc w:val="center"/>
              <w:rPr>
                <w:sz w:val="18"/>
                <w:szCs w:val="18"/>
              </w:rPr>
            </w:pPr>
            <w:r>
              <w:rPr>
                <w:rFonts w:eastAsia="Calibri" w:cs=""/>
                <w:kern w:val="0"/>
                <w:sz w:val="18"/>
                <w:szCs w:val="18"/>
                <w:lang w:val="ru-RU" w:eastAsia="en-US" w:bidi="ar-SA"/>
              </w:rPr>
              <w:t>…</w:t>
            </w:r>
          </w:p>
        </w:tc>
        <w:tc>
          <w:tcPr>
            <w:tcW w:w="2206" w:type="dxa"/>
            <w:tcBorders/>
          </w:tcPr>
          <w:p>
            <w:pPr>
              <w:pStyle w:val="Style31"/>
              <w:widowControl w:val="false"/>
              <w:suppressAutoHyphens w:val="true"/>
              <w:spacing w:before="40" w:after="40"/>
              <w:jc w:val="center"/>
              <w:rPr>
                <w:sz w:val="18"/>
                <w:szCs w:val="18"/>
              </w:rPr>
            </w:pPr>
            <w:r>
              <w:rPr>
                <w:rFonts w:eastAsia="Calibri" w:cs=""/>
                <w:kern w:val="0"/>
                <w:sz w:val="18"/>
                <w:szCs w:val="18"/>
                <w:lang w:val="ru-RU" w:eastAsia="en-US" w:bidi="ar-SA"/>
              </w:rPr>
              <w:t>…</w:t>
            </w:r>
          </w:p>
        </w:tc>
        <w:tc>
          <w:tcPr>
            <w:tcW w:w="1755" w:type="dxa"/>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w:t>
            </w:r>
          </w:p>
        </w:tc>
        <w:tc>
          <w:tcPr>
            <w:tcW w:w="5174" w:type="dxa"/>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w:t>
            </w:r>
          </w:p>
        </w:tc>
      </w:tr>
      <w:tr>
        <w:trPr/>
        <w:tc>
          <w:tcPr>
            <w:tcW w:w="6074" w:type="dxa"/>
            <w:gridSpan w:val="4"/>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Итоговая оценка предпочтительности заявки:</w:t>
            </w:r>
          </w:p>
        </w:tc>
        <w:tc>
          <w:tcPr>
            <w:tcW w:w="9135" w:type="dxa"/>
            <w:gridSpan w:val="3"/>
            <w:tcBorders/>
          </w:tcPr>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заявки:</w:t>
            </w:r>
          </w:p>
          <w:p>
            <w:pPr>
              <w:pStyle w:val="Style31"/>
              <w:widowControl w:val="false"/>
              <w:suppressAutoHyphens w:val="true"/>
              <w:spacing w:before="40" w:after="40"/>
              <w:jc w:val="center"/>
              <w:rPr>
                <w:i/>
                <w:i/>
                <w:sz w:val="18"/>
                <w:szCs w:val="18"/>
                <w:lang w:val="en-US"/>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31"/>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31"/>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итоговая оценка предпочтительности в баллах;</w:t>
            </w:r>
          </w:p>
          <w:p>
            <w:pPr>
              <w:pStyle w:val="Style31"/>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-тому критерию оценки первого уровня в баллах;</w:t>
            </w:r>
          </w:p>
          <w:p>
            <w:pPr>
              <w:pStyle w:val="Style31"/>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-ого критерия оценки первого уровня.</w:t>
            </w:r>
          </w:p>
          <w:p>
            <w:pPr>
              <w:pStyle w:val="Style31"/>
              <w:widowControl w:val="false"/>
              <w:suppressAutoHyphens w:val="true"/>
              <w:spacing w:before="40" w:after="40"/>
              <w:jc w:val="left"/>
              <w:rPr>
                <w:i/>
                <w:i/>
                <w:iCs/>
                <w:sz w:val="18"/>
                <w:szCs w:val="18"/>
              </w:rPr>
            </w:pPr>
            <w:r>
              <w:rPr>
                <w:rFonts w:eastAsia="Calibri" w:cs=""/>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7"/>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sectPr>
          <w:headerReference w:type="default" r:id="rId37"/>
          <w:headerReference w:type="first" r:id="rId38"/>
          <w:footerReference w:type="default" r:id="rId39"/>
          <w:footerReference w:type="first" r:id="rId40"/>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pPr>
        <w:pStyle w:val="Style25"/>
        <w:rPr/>
      </w:pPr>
      <w:bookmarkStart w:id="416" w:name="_Toc228976388"/>
      <w:bookmarkStart w:id="417" w:name="_Ref125360420"/>
      <w:bookmarkStart w:id="418" w:name="Прил09_ОбоснованиеНМЦ"/>
      <w:bookmarkStart w:id="419" w:name="_Toc136261691"/>
      <w:bookmarkStart w:id="420" w:name="_Toc136261769"/>
      <w:bookmarkStart w:id="421" w:name="_Toc136261692"/>
      <w:bookmarkStart w:id="422" w:name="_Toc136249263"/>
      <w:bookmarkStart w:id="423" w:name="_Toc136261768"/>
      <w:bookmarkStart w:id="424" w:name="_Toc136249262"/>
      <w:bookmarkStart w:id="425" w:name="_Toc136261767"/>
      <w:bookmarkStart w:id="426" w:name="_Toc136261690"/>
      <w:bookmarkStart w:id="427" w:name="_Toc136249261"/>
      <w:bookmarkStart w:id="428" w:name="_Toc136261766"/>
      <w:bookmarkStart w:id="429" w:name="_Toc136261689"/>
      <w:bookmarkStart w:id="430" w:name="_Toc136249260"/>
      <w:bookmarkEnd w:id="419"/>
      <w:bookmarkEnd w:id="420"/>
      <w:bookmarkEnd w:id="421"/>
      <w:bookmarkEnd w:id="422"/>
      <w:bookmarkEnd w:id="423"/>
      <w:bookmarkEnd w:id="424"/>
      <w:bookmarkEnd w:id="425"/>
      <w:bookmarkEnd w:id="426"/>
      <w:bookmarkEnd w:id="427"/>
      <w:bookmarkEnd w:id="428"/>
      <w:bookmarkEnd w:id="429"/>
      <w:bookmarkEnd w:id="430"/>
      <w:r>
        <w:rPr/>
        <w:t>Приложение № 9 – Обоснование НМЦ</w:t>
      </w:r>
      <w:bookmarkEnd w:id="416"/>
      <w:bookmarkEnd w:id="417"/>
      <w:bookmarkEnd w:id="418"/>
    </w:p>
    <w:p>
      <w:pPr>
        <w:pStyle w:val="Style26"/>
        <w:rPr/>
      </w:pPr>
      <w:bookmarkStart w:id="431" w:name="_Toc228976389"/>
      <w:r>
        <w:rPr/>
        <w:t>Пояснения к Обоснованию НМЦ</w:t>
      </w:r>
      <w:bookmarkEnd w:id="43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32" w:name="_Toc228976390"/>
      <w:bookmarkStart w:id="433" w:name="Прил10_ЗаявкаНаАккредитацию"/>
      <w:bookmarkEnd w:id="433"/>
      <w:r>
        <w:rPr/>
        <w:t>Приложение № 10 – Форма Заявки на аккредитацию</w:t>
      </w:r>
      <w:bookmarkEnd w:id="432"/>
    </w:p>
    <w:p>
      <w:pPr>
        <w:pStyle w:val="Style26"/>
        <w:rPr/>
      </w:pPr>
      <w:bookmarkStart w:id="434" w:name="_Toc228976391"/>
      <w:r>
        <w:rPr/>
        <w:t>Пояснения к форме Заявки на аккредитацию</w:t>
      </w:r>
      <w:bookmarkEnd w:id="434"/>
    </w:p>
    <w:p>
      <w:pPr>
        <w:pStyle w:val="Style27"/>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35"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35"/>
      <w:r>
        <w:rPr/>
        <w:t>.</w:t>
      </w:r>
    </w:p>
    <w:p>
      <w:pPr>
        <w:pStyle w:val="Style31"/>
        <w:jc w:val="center"/>
        <w:rPr/>
      </w:pPr>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8.65pt;height:49pt;mso-wrap-distance-right:0pt" filled="f" o:ole="">
            <v:imagedata r:id="rId42" o:title=""/>
          </v:shape>
          <o:OLEObject Type="Embed" ProgID="Excel.Sheet.12" ShapeID="ole_rId41" DrawAspect="Icon" ObjectID="_403483072" r:id="rId41"/>
        </w:object>
      </w:r>
    </w:p>
    <w:p>
      <w:pPr>
        <w:pStyle w:val="Style25"/>
        <w:rPr/>
      </w:pPr>
      <w:bookmarkStart w:id="436" w:name="_Toc228976392"/>
      <w:bookmarkStart w:id="437" w:name="Прил11_Данные_бухотчетность"/>
      <w:r>
        <w:rPr/>
        <w:t xml:space="preserve">Приложение № 11 </w:t>
      </w:r>
      <w:bookmarkEnd w:id="437"/>
      <w:r>
        <w:rPr/>
        <w:t>– форма Данных бухгалтерской (финансовой) отчетности</w:t>
      </w:r>
      <w:bookmarkEnd w:id="436"/>
    </w:p>
    <w:p>
      <w:pPr>
        <w:pStyle w:val="Style26"/>
        <w:rPr/>
      </w:pPr>
      <w:bookmarkStart w:id="438" w:name="_Toc228976393"/>
      <w:r>
        <w:rPr/>
        <w:t>Пояснения к форме Данных бухгалтерской (финансовой) отчетности</w:t>
      </w:r>
      <w:bookmarkEnd w:id="438"/>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39" w:name="_MON_1821256687"/>
      <w:bookmarkStart w:id="440" w:name="_MON_1821256687"/>
      <w:bookmarkEnd w:id="440"/>
    </w:p>
    <w:p>
      <w:pPr>
        <w:pStyle w:val="Normal"/>
        <w:jc w:val="center"/>
        <w:rPr/>
      </w:pPr>
      <w:bookmarkStart w:id="441" w:name="_Hlk210644436"/>
      <w:bookmarkStart w:id="442" w:name="_MON_1821256687_Копия_1"/>
      <w:bookmarkEnd w:id="442"/>
      <w:r>
        <w:rPr/>
        <w:object>
          <v:shapetype id="_x0000_tole_rId43" coordsize="21600,21600" o:spt="ole_rId4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3" type="_x0000_tole_rId43" style="width:78.05pt;height:49.6pt;mso-wrap-distance-right:0pt" filled="f" o:ole="">
            <v:imagedata r:id="rId44" o:title=""/>
          </v:shape>
          <o:OLEObject Type="Embed" ProgID="Word.Document.12" ShapeID="ole_rId43" DrawAspect="Icon" ObjectID="_1260546962" r:id="rId43"/>
        </w:object>
      </w:r>
      <w:bookmarkEnd w:id="441"/>
    </w:p>
    <w:p>
      <w:pPr>
        <w:pStyle w:val="Normal"/>
        <w:jc w:val="center"/>
        <w:rPr/>
      </w:pPr>
      <w:r>
        <w:rPr/>
      </w:r>
    </w:p>
    <w:sectPr>
      <w:headerReference w:type="default" r:id="rId45"/>
      <w:headerReference w:type="first" r:id="rId46"/>
      <w:footerReference w:type="default" r:id="rId47"/>
      <w:footerReference w:type="first" r:id="rId4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25628522"/>
    </w:sdtPr>
    <w:sdtContent>
      <w:p>
        <w:pPr>
          <w:pStyle w:val="Footer"/>
          <w:spacing w:before="120" w:after="0"/>
          <w:rPr/>
        </w:pPr>
        <w:r>
          <w:rPr/>
          <w:fldChar w:fldCharType="begin"/>
        </w:r>
        <w:r>
          <w:rPr/>
          <w:instrText xml:space="preserve"> PAGE </w:instrText>
        </w:r>
        <w:r>
          <w:rPr/>
          <w:fldChar w:fldCharType="separate"/>
        </w:r>
        <w:r>
          <w:rPr/>
          <w:t>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92566146"/>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41686659"/>
    </w:sdtPr>
    <w:sdtContent>
      <w:p>
        <w:pPr>
          <w:pStyle w:val="Footer"/>
          <w:spacing w:before="120" w:after="0"/>
          <w:rPr/>
        </w:pPr>
        <w:r>
          <w:rPr/>
          <w:fldChar w:fldCharType="begin"/>
        </w:r>
        <w:r>
          <w:rPr/>
          <w:instrText xml:space="preserve"> PAGE </w:instrText>
        </w:r>
        <w:r>
          <w:rPr/>
          <w:fldChar w:fldCharType="separate"/>
        </w:r>
        <w:r>
          <w:rPr/>
          <w:t>81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79057193"/>
    </w:sdtPr>
    <w:sdtContent>
      <w:p>
        <w:pPr>
          <w:pStyle w:val="Footer"/>
          <w:spacing w:before="120" w:after="0"/>
          <w:rPr/>
        </w:pPr>
        <w:r>
          <w:rPr/>
          <w:fldChar w:fldCharType="begin"/>
        </w:r>
        <w:r>
          <w:rPr/>
          <w:instrText xml:space="preserve"> PAGE </w:instrText>
        </w:r>
        <w:r>
          <w:rPr/>
          <w:fldChar w:fldCharType="separate"/>
        </w:r>
        <w:r>
          <w:rPr/>
          <w:t>84</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27762722"/>
    </w:sdtPr>
    <w:sdtContent>
      <w:p>
        <w:pPr>
          <w:pStyle w:val="Footer"/>
          <w:spacing w:before="120" w:after="0"/>
          <w:rPr/>
        </w:pPr>
        <w:r>
          <w:rPr/>
          <w:fldChar w:fldCharType="begin"/>
        </w:r>
        <w:r>
          <w:rPr/>
          <w:instrText xml:space="preserve"> PAGE </w:instrText>
        </w:r>
        <w:r>
          <w:rPr/>
          <w:fldChar w:fldCharType="separate"/>
        </w:r>
        <w:r>
          <w:rPr/>
          <w:t>25</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1348819"/>
    </w:sdtPr>
    <w:sdtContent>
      <w:p>
        <w:pPr>
          <w:pStyle w:val="Footer"/>
          <w:spacing w:before="120" w:after="0"/>
          <w:rPr/>
        </w:pPr>
        <w:r>
          <w:rPr/>
          <w:fldChar w:fldCharType="begin"/>
        </w:r>
        <w:r>
          <w:rPr/>
          <w:instrText xml:space="preserve"> PAGE </w:instrText>
        </w:r>
        <w:r>
          <w:rPr/>
          <w:fldChar w:fldCharType="separate"/>
        </w:r>
        <w:r>
          <w:rPr/>
          <w:t>56</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59796539"/>
    </w:sdtPr>
    <w:sdtContent>
      <w:p>
        <w:pPr>
          <w:pStyle w:val="Footer"/>
          <w:spacing w:before="120" w:after="0"/>
          <w:rPr/>
        </w:pPr>
        <w:r>
          <w:rPr/>
          <w:fldChar w:fldCharType="begin"/>
        </w:r>
        <w:r>
          <w:rPr/>
          <w:instrText xml:space="preserve"> PAGE </w:instrText>
        </w:r>
        <w:r>
          <w:rPr/>
          <w:fldChar w:fldCharType="separate"/>
        </w:r>
        <w:r>
          <w:rPr/>
          <w:t>63</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41500114"/>
    </w:sdtPr>
    <w:sdtContent>
      <w:p>
        <w:pPr>
          <w:pStyle w:val="Footer"/>
          <w:spacing w:before="120" w:after="0"/>
          <w:rPr/>
        </w:pPr>
        <w:r>
          <w:rPr/>
          <w:fldChar w:fldCharType="begin"/>
        </w:r>
        <w:r>
          <w:rPr/>
          <w:instrText xml:space="preserve"> PAGE </w:instrText>
        </w:r>
        <w:r>
          <w:rPr/>
          <w:fldChar w:fldCharType="separate"/>
        </w:r>
        <w:r>
          <w:rPr/>
          <w:t>69</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left="567" w:hanging="567"/>
        <w:jc w:val="both"/>
        <w:rPr/>
      </w:pPr>
      <w:r>
        <w:rPr>
          <w:rStyle w:val="Style13"/>
        </w:rPr>
        <w:footnoteRef/>
      </w:r>
      <w:r>
        <w:rPr/>
        <w:tab/>
        <w:t>Определенные в соответствии с Законом 422-ФЗ.</w:t>
      </w:r>
    </w:p>
  </w:footnote>
  <w:footnote w:id="4">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ind w:left="567" w:hanging="567"/>
        <w:jc w:val="both"/>
        <w:rPr/>
      </w:pPr>
      <w:r>
        <w:rPr>
          <w:rStyle w:val="Style13"/>
        </w:rPr>
        <w:footnoteRef/>
      </w:r>
      <w:r>
        <w:rPr/>
        <w:tab/>
        <w:t>С учетом пункта 4.13.6.</w:t>
      </w:r>
    </w:p>
  </w:footnote>
  <w:footnote w:id="7">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left="567" w:hanging="567"/>
        <w:jc w:val="both"/>
        <w:rPr/>
      </w:pPr>
      <w:r>
        <w:rPr>
          <w:rStyle w:val="Style13"/>
        </w:rPr>
        <w:footnoteRef/>
      </w:r>
      <w:r>
        <w:rPr/>
        <w:tab/>
        <w:t>https://minfin.gov.ru/ru/perfomance/tax_relations/policy/bankwarranty/</w:t>
      </w:r>
    </w:p>
  </w:footnote>
  <w:footnote w:id="12">
    <w:p>
      <w:pPr>
        <w:pStyle w:val="Normal"/>
        <w:spacing w:before="120" w:after="0"/>
        <w:jc w:val="both"/>
        <w:rPr>
          <w:sz w:val="22"/>
        </w:rPr>
      </w:pPr>
      <w:r>
        <w:rPr>
          <w:rStyle w:val="Style13"/>
        </w:rPr>
        <w:footnoteRef/>
      </w:r>
      <w:r>
        <w:rPr/>
        <w:t xml:space="preserve"> </w:t>
      </w:r>
      <w:r>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pPr>
        <w:pStyle w:val="Style33"/>
        <w:spacing w:before="80" w:after="0"/>
        <w:ind w:left="567" w:hanging="567"/>
        <w:jc w:val="both"/>
        <w:rPr/>
      </w:pPr>
      <w:r>
        <w:rPr>
          <w:rStyle w:val="Style13"/>
        </w:rPr>
        <w:footnoteRef/>
      </w:r>
      <w:r>
        <w:rPr/>
        <w:tab/>
        <w:t>Коллективный участник предоставляет указанные документы на каждого члена.</w:t>
      </w:r>
    </w:p>
  </w:footnote>
  <w:footnote w:id="14">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5">
    <w:p>
      <w:pPr>
        <w:pStyle w:val="Style33"/>
        <w:spacing w:before="80" w:after="0"/>
        <w:ind w:left="567" w:hanging="567"/>
        <w:jc w:val="both"/>
        <w:rPr/>
      </w:pPr>
      <w:r>
        <w:rPr>
          <w:rStyle w:val="Style13"/>
        </w:rPr>
        <w:footnoteRef/>
      </w:r>
      <w:bookmarkStart w:id="443"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43"/>
    </w:p>
  </w:footnote>
  <w:footnote w:id="16">
    <w:p>
      <w:pPr>
        <w:pStyle w:val="Style33"/>
        <w:spacing w:before="80" w:after="0"/>
        <w:ind w:left="567" w:hanging="567"/>
        <w:jc w:val="both"/>
        <w:rPr/>
      </w:pPr>
      <w:r>
        <w:rPr>
          <w:rStyle w:val="Style13"/>
        </w:rPr>
        <w:footnoteRef/>
      </w:r>
      <w:bookmarkStart w:id="444" w:name="_Hlk139028803_Копия_1_Копия_1_Копия_1_Ко"/>
      <w:bookmarkStart w:id="445"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44"/>
      <w:bookmarkEnd w:id="445"/>
    </w:p>
  </w:footnote>
  <w:footnote w:id="17">
    <w:p>
      <w:pPr>
        <w:pStyle w:val="Style33"/>
        <w:spacing w:before="80" w:after="0"/>
        <w:ind w:left="567" w:hanging="567"/>
        <w:jc w:val="both"/>
        <w:rPr/>
      </w:pPr>
      <w:r>
        <w:rPr>
          <w:rStyle w:val="Style13"/>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6">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883208"/>
    <w:rPr>
      <w:rFonts w:eastAsia="Calibri" w:cs="Times New Roman"/>
      <w:sz w:val="28"/>
      <w:szCs w:val="28"/>
    </w:rPr>
  </w:style>
  <w:style w:type="character" w:styleId="-" w:customStyle="1">
    <w:name w:val="РГ_ЕПоЗ_- Знак"/>
    <w:basedOn w:val="DefaultParagraphFont"/>
    <w:link w:val="-1"/>
    <w:qFormat/>
    <w:rsid w:val="00883208"/>
    <w:rPr>
      <w:rFonts w:eastAsia="Times New Roman" w:cs="Times New Roman"/>
      <w:sz w:val="28"/>
      <w:szCs w:val="20"/>
      <w:lang w:eastAsia="ru-RU"/>
    </w:rPr>
  </w:style>
  <w:style w:type="character" w:styleId="Style20">
    <w:name w:val="Ссылка указателя"/>
    <w:qFormat/>
    <w:rPr/>
  </w:style>
  <w:style w:type="character" w:styleId="Style21">
    <w:name w:val="Символ концевой сноски"/>
    <w:qFormat/>
    <w:rPr>
      <w:vertAlign w:val="superscript"/>
    </w:rPr>
  </w:style>
  <w:style w:type="character" w:styleId="EndnoteReference">
    <w:name w:val="Endnote Reference"/>
    <w:rPr>
      <w:vertAlign w:val="superscript"/>
    </w:rPr>
  </w:style>
  <w:style w:type="character" w:styleId="Style22">
    <w:name w:val="комментарий"/>
    <w:qFormat/>
    <w:rPr>
      <w:b/>
      <w:i/>
      <w:shd w:fill="FFFF99" w:val="clear"/>
    </w:rPr>
  </w:style>
  <w:style w:type="character" w:styleId="WW8Num2z4">
    <w:name w:val="WW8Num2z4"/>
    <w:qFormat/>
    <w:rPr>
      <w:rFonts w:ascii="Times New Roman" w:hAnsi="Times New Roman" w:cs="Times New Roman"/>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883208"/>
    <w:pPr>
      <w:keepNext w:val="true"/>
      <w:numPr>
        <w:ilvl w:val="0"/>
        <w:numId w:val="16"/>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883208"/>
    <w:pPr>
      <w:keepNext w:val="true"/>
      <w:numPr>
        <w:ilvl w:val="1"/>
        <w:numId w:val="16"/>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883208"/>
    <w:pPr>
      <w:numPr>
        <w:ilvl w:val="4"/>
        <w:numId w:val="16"/>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883208"/>
    <w:pPr>
      <w:numPr>
        <w:ilvl w:val="3"/>
        <w:numId w:val="16"/>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883208"/>
    <w:pPr>
      <w:numPr>
        <w:ilvl w:val="5"/>
        <w:numId w:val="16"/>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883208"/>
    <w:pPr>
      <w:numPr>
        <w:ilvl w:val="2"/>
        <w:numId w:val="16"/>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rPr>
      <w:b/>
      <w:sz w:val="20"/>
      <w:szCs w:val="24"/>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paragraph" w:styleId="3">
    <w:name w:val="УРОВЕНЬ_Абзац_тип3"/>
    <w:basedOn w:val="ListParagraph"/>
    <w:qFormat/>
    <w:pPr>
      <w:spacing w:lineRule="exact" w:line="360" w:before="120" w:after="0"/>
      <w:contextualSpacing w:val="false"/>
      <w:jc w:val="both"/>
    </w:pPr>
    <w:rPr>
      <w:rFonts w:ascii="Calibri" w:hAnsi="Calibri"/>
      <w:sz w:val="26"/>
      <w:szCs w:val="28"/>
    </w:rPr>
  </w:style>
  <w:style w:type="numbering" w:styleId="NoList" w:default="1">
    <w:name w:val="No List"/>
    <w:uiPriority w:val="99"/>
    <w:semiHidden/>
    <w:unhideWhenUsed/>
    <w:qFormat/>
  </w:style>
  <w:style w:type="numbering" w:styleId="WW8Num2">
    <w:name w:val="WW8Num2"/>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accreditation.rushydro.ru/accreditation/information" TargetMode="External"/><Relationship Id="rId4" Type="http://schemas.openxmlformats.org/officeDocument/2006/relationships/hyperlink" Target="mailto:sarges@rushydro.ru" TargetMode="External"/><Relationship Id="rId5" Type="http://schemas.openxmlformats.org/officeDocument/2006/relationships/hyperlink" Target="mailto:sarges@rushydro.ru" TargetMode="External"/><Relationship Id="rId6" Type="http://schemas.openxmlformats.org/officeDocument/2006/relationships/hyperlink" Target="mailto:demchenkoms@rushydro.ru" TargetMode="External"/><Relationship Id="rId7" Type="http://schemas.openxmlformats.org/officeDocument/2006/relationships/hyperlink" Target="mailto:demchenkoms@rushydro.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package" Target="embeddings/oleObject1.docx"/><Relationship Id="rId15" Type="http://schemas.openxmlformats.org/officeDocument/2006/relationships/image" Target="media/image1.wmf"/><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hyperlink" Target="http://accreditation.rushydro.ru/accreditation/information" TargetMode="Externa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package" Target="embeddings/oleObject2.docx"/><Relationship Id="rId26" Type="http://schemas.openxmlformats.org/officeDocument/2006/relationships/image" Target="media/image2.wmf"/><Relationship Id="rId27" Type="http://schemas.openxmlformats.org/officeDocument/2006/relationships/package" Target="embeddings/oleObject3.docx"/><Relationship Id="rId28" Type="http://schemas.openxmlformats.org/officeDocument/2006/relationships/image" Target="media/image3.wmf"/><Relationship Id="rId29" Type="http://schemas.openxmlformats.org/officeDocument/2006/relationships/header" Target="header8.xml"/><Relationship Id="rId30" Type="http://schemas.openxmlformats.org/officeDocument/2006/relationships/header" Target="header9.xml"/><Relationship Id="rId31" Type="http://schemas.openxmlformats.org/officeDocument/2006/relationships/footer" Target="footer8.xml"/><Relationship Id="rId32" Type="http://schemas.openxmlformats.org/officeDocument/2006/relationships/footer" Target="footer9.xml"/><Relationship Id="rId33" Type="http://schemas.openxmlformats.org/officeDocument/2006/relationships/header" Target="header10.xml"/><Relationship Id="rId34" Type="http://schemas.openxmlformats.org/officeDocument/2006/relationships/header" Target="header11.xml"/><Relationship Id="rId35" Type="http://schemas.openxmlformats.org/officeDocument/2006/relationships/footer" Target="footer10.xml"/><Relationship Id="rId36" Type="http://schemas.openxmlformats.org/officeDocument/2006/relationships/footer" Target="footer11.xml"/><Relationship Id="rId37" Type="http://schemas.openxmlformats.org/officeDocument/2006/relationships/header" Target="header12.xml"/><Relationship Id="rId38" Type="http://schemas.openxmlformats.org/officeDocument/2006/relationships/header" Target="header13.xml"/><Relationship Id="rId39" Type="http://schemas.openxmlformats.org/officeDocument/2006/relationships/footer" Target="footer12.xml"/><Relationship Id="rId40" Type="http://schemas.openxmlformats.org/officeDocument/2006/relationships/footer" Target="footer13.xml"/><Relationship Id="rId41" Type="http://schemas.openxmlformats.org/officeDocument/2006/relationships/package" Target="embeddings/oleObject4.xlsx"/><Relationship Id="rId42" Type="http://schemas.openxmlformats.org/officeDocument/2006/relationships/image" Target="media/image4.wmf"/><Relationship Id="rId43" Type="http://schemas.openxmlformats.org/officeDocument/2006/relationships/package" Target="embeddings/oleObject5.docx"/><Relationship Id="rId44" Type="http://schemas.openxmlformats.org/officeDocument/2006/relationships/image" Target="media/image5.wmf"/><Relationship Id="rId45" Type="http://schemas.openxmlformats.org/officeDocument/2006/relationships/header" Target="header14.xml"/><Relationship Id="rId46" Type="http://schemas.openxmlformats.org/officeDocument/2006/relationships/header" Target="header15.xml"/><Relationship Id="rId47" Type="http://schemas.openxmlformats.org/officeDocument/2006/relationships/footer" Target="footer14.xml"/><Relationship Id="rId48" Type="http://schemas.openxmlformats.org/officeDocument/2006/relationships/footer" Target="footer15.xml"/><Relationship Id="rId49" Type="http://schemas.openxmlformats.org/officeDocument/2006/relationships/footnotes" Target="footnotes.xm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Relationship Id="rId5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2B7BF-339B-4CBE-B7BB-C64BC150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1774</TotalTime>
  <Application>AlterOffice/3.4.0.9$Linux_X86_64 LibreOffice_project/b8daf9e823b1a5463a2f48435ddc2e8696e7d4fc</Application>
  <AppVersion>15.0000</AppVersion>
  <Pages>84</Pages>
  <Words>20560</Words>
  <Characters>143346</Characters>
  <CharactersWithSpaces>161013</CharactersWithSpaces>
  <Paragraphs>1186</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2023-06-27T10:22:00Z</dcterms:created>
  <dc:creator>Владимир Щербаков</dc:creator>
  <dc:description/>
  <cp:keywords>Типовая форма</cp:keywords>
  <dc:language>ru-RU</dc:language>
  <cp:lastModifiedBy>demchenkoms@corp.gidroogk.com</cp:lastModifiedBy>
  <cp:lastPrinted>2026-08-13T14:12:53Z</cp:lastPrinted>
  <dcterms:modified xsi:type="dcterms:W3CDTF">2026-08-28T09:22:59Z</dcterms:modified>
  <cp:revision>203</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