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9"/>
          <w:tab w:val="left" w:pos="6926" w:leader="none"/>
        </w:tabs>
        <w:suppressAutoHyphens w:val="true"/>
        <w:spacing w:before="0" w:after="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/>
        </w:rPr>
      </w:pPr>
      <w:r>
        <w:rPr>
          <w:rFonts w:eastAsia="Calibri"/>
          <w:b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/>
          <w:b/>
          <w:i w:val="false"/>
          <w:i w:val="false"/>
          <w:iCs w:val="false"/>
          <w:sz w:val="26"/>
          <w:szCs w:val="26"/>
        </w:rPr>
      </w:pPr>
      <w:r>
        <w:rPr>
          <w:rFonts w:eastAsia="Calibri"/>
          <w:b/>
          <w:i w:val="false"/>
          <w:iCs w:val="false"/>
          <w:sz w:val="26"/>
          <w:szCs w:val="26"/>
        </w:rPr>
      </w:r>
    </w:p>
    <w:p>
      <w:pPr>
        <w:pStyle w:val="Normal"/>
        <w:jc w:val="center"/>
        <w:rPr>
          <w:i w:val="false"/>
          <w:i w:val="false"/>
          <w:iCs w:val="false"/>
        </w:rPr>
      </w:pPr>
      <w:r>
        <w:rPr>
          <w:rFonts w:eastAsia="Calibri"/>
          <w:b/>
          <w:i w:val="false"/>
          <w:iCs w:val="false"/>
          <w:color w:val="000000"/>
        </w:rPr>
        <w:t xml:space="preserve">ОКПД2: 22.11.11.000 Поставка автошин в г. Владивосток для нужд Владивостокского транспортного участка Владивостокского представительства АО ТК «РусГидро» </w:t>
      </w:r>
    </w:p>
    <w:p>
      <w:pPr>
        <w:pStyle w:val="Normal"/>
        <w:jc w:val="center"/>
        <w:rPr>
          <w:i w:val="false"/>
          <w:i w:val="false"/>
          <w:iCs w:val="false"/>
        </w:rPr>
      </w:pPr>
      <w:r>
        <w:rPr>
          <w:b/>
          <w:i w:val="false"/>
          <w:iCs w:val="false"/>
          <w:color w:val="000000"/>
          <w:sz w:val="26"/>
          <w:szCs w:val="26"/>
        </w:rPr>
        <w:t>Лот №8098-ЭКСП ПРОД-2027-Влад ТК РусГидро АО</w:t>
      </w:r>
    </w:p>
    <w:p>
      <w:pPr>
        <w:pStyle w:val="Normal"/>
        <w:jc w:val="center"/>
        <w:rPr>
          <w:rFonts w:ascii="Times New Roman" w:hAnsi="Times New Roman"/>
        </w:rPr>
      </w:pPr>
      <w:r>
        <w:rPr/>
      </w:r>
      <w:r>
        <w:br w:type="page"/>
      </w:r>
    </w:p>
    <w:p>
      <w:pPr>
        <w:pStyle w:val="Normal"/>
        <w:jc w:val="center"/>
        <w:rPr>
          <w:rFonts w:ascii="Times New Roman" w:hAnsi="Times New Roman"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9"/>
              <w:tab w:val="left" w:pos="560" w:leader="none"/>
              <w:tab w:val="right" w:pos="9911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  <w:sz w:val="26"/>
              <w:szCs w:val="26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sz w:val="26"/>
              <w:szCs w:val="26"/>
              <w:vanish w:val="false"/>
            </w:rPr>
            <w:fldChar w:fldCharType="separate"/>
          </w:r>
          <w:hyperlink w:anchor="_Toc75446566">
            <w:r>
              <w:rPr>
                <w:webHidden/>
                <w:rStyle w:val="Style14"/>
                <w:vanish w:val="false"/>
                <w:sz w:val="26"/>
                <w:szCs w:val="26"/>
              </w:rPr>
              <w:t>1.</w:t>
            </w:r>
            <w:r>
              <w:rPr>
                <w:rStyle w:val="Style14"/>
                <w:rFonts w:eastAsia="" w:cs="" w:cstheme="minorBidi" w:eastAsiaTheme="minorEastAsia"/>
                <w:b w:val="false"/>
                <w:bCs w:val="false"/>
                <w:sz w:val="26"/>
                <w:szCs w:val="26"/>
              </w:rPr>
              <w:tab/>
            </w:r>
            <w:r>
              <w:rPr>
                <w:rStyle w:val="Style14"/>
                <w:sz w:val="26"/>
                <w:szCs w:val="26"/>
              </w:rPr>
              <w:t>Общие сведения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9"/>
              <w:tab w:val="left" w:pos="1120" w:leader="none"/>
              <w:tab w:val="right" w:pos="9911" w:leader="dot"/>
            </w:tabs>
            <w:rPr/>
          </w:pPr>
          <w:hyperlink w:anchor="_Toc75446568">
            <w:r>
              <w:rPr>
                <w:webHidden/>
                <w:rStyle w:val="Style14"/>
                <w:iCs/>
                <w:vanish w:val="false"/>
                <w:sz w:val="26"/>
                <w:szCs w:val="26"/>
              </w:rPr>
              <w:t>1.1.</w:t>
            </w:r>
            <w:r>
              <w:rPr>
                <w:rStyle w:val="Style14"/>
                <w:rFonts w:eastAsia="" w:cs="" w:cstheme="minorBidi" w:eastAsiaTheme="minorEastAsia"/>
                <w:sz w:val="26"/>
                <w:szCs w:val="26"/>
              </w:rPr>
              <w:tab/>
            </w:r>
            <w:r>
              <w:rPr>
                <w:rStyle w:val="Style14"/>
                <w:sz w:val="26"/>
                <w:szCs w:val="26"/>
              </w:rPr>
              <w:t>Наименование закупаемой продукции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9"/>
              <w:tab w:val="left" w:pos="1120" w:leader="none"/>
              <w:tab w:val="right" w:pos="9911" w:leader="dot"/>
            </w:tabs>
            <w:rPr/>
          </w:pPr>
          <w:hyperlink w:anchor="_Toc75446569">
            <w:r>
              <w:rPr>
                <w:webHidden/>
                <w:rStyle w:val="Style14"/>
                <w:iCs/>
                <w:vanish w:val="false"/>
                <w:sz w:val="26"/>
                <w:szCs w:val="26"/>
              </w:rPr>
              <w:t>1.2.</w:t>
            </w:r>
            <w:r>
              <w:rPr>
                <w:rStyle w:val="Style14"/>
                <w:rFonts w:eastAsia="" w:cs="" w:cstheme="minorBidi" w:eastAsiaTheme="minorEastAsia"/>
                <w:sz w:val="26"/>
                <w:szCs w:val="26"/>
              </w:rPr>
              <w:tab/>
            </w:r>
            <w:r>
              <w:rPr>
                <w:rStyle w:val="Style14"/>
                <w:sz w:val="26"/>
                <w:szCs w:val="26"/>
              </w:rPr>
              <w:t>Цель использования закупаемой продукции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9"/>
              <w:tab w:val="left" w:pos="1120" w:leader="none"/>
              <w:tab w:val="right" w:pos="9911" w:leader="dot"/>
            </w:tabs>
            <w:rPr/>
          </w:pPr>
          <w:hyperlink w:anchor="_Toc75446572">
            <w:r>
              <w:rPr>
                <w:webHidden/>
                <w:rStyle w:val="Style14"/>
                <w:iCs/>
                <w:vanish w:val="false"/>
                <w:sz w:val="26"/>
                <w:szCs w:val="26"/>
              </w:rPr>
              <w:t>1.3.</w:t>
            </w:r>
            <w:r>
              <w:rPr>
                <w:rStyle w:val="Style14"/>
                <w:rFonts w:eastAsia="" w:cs="" w:cstheme="minorBidi" w:eastAsiaTheme="minorEastAsia"/>
                <w:sz w:val="26"/>
                <w:szCs w:val="26"/>
              </w:rPr>
              <w:tab/>
            </w:r>
            <w:r>
              <w:rPr>
                <w:rStyle w:val="Style14"/>
                <w:sz w:val="26"/>
                <w:szCs w:val="26"/>
              </w:rPr>
              <w:t>Иные требования и сведения общего характера</w:t>
              <w:tab/>
            </w:r>
          </w:hyperlink>
          <w:r>
            <w:rPr>
              <w:b/>
              <w:bCs/>
              <w:sz w:val="26"/>
              <w:szCs w:val="26"/>
            </w:rPr>
            <w:t>3</w:t>
          </w:r>
        </w:p>
        <w:p>
          <w:pPr>
            <w:pStyle w:val="TOC1"/>
            <w:tabs>
              <w:tab w:val="clear" w:pos="709"/>
              <w:tab w:val="left" w:pos="560" w:leader="none"/>
              <w:tab w:val="right" w:pos="9911" w:leader="dot"/>
            </w:tabs>
            <w:rPr/>
          </w:pPr>
          <w:hyperlink w:anchor="_Toc75446573">
            <w:r>
              <w:rPr>
                <w:webHidden/>
                <w:rStyle w:val="Style14"/>
                <w:vanish w:val="false"/>
                <w:sz w:val="26"/>
                <w:szCs w:val="26"/>
              </w:rPr>
              <w:t>2.</w:t>
            </w:r>
            <w:r>
              <w:rPr>
                <w:rStyle w:val="Style14"/>
                <w:rFonts w:eastAsia="" w:cs="" w:cstheme="minorBidi" w:eastAsiaTheme="minorEastAsia"/>
                <w:b w:val="false"/>
                <w:bCs w:val="false"/>
                <w:sz w:val="26"/>
                <w:szCs w:val="26"/>
              </w:rPr>
              <w:tab/>
            </w:r>
            <w:r>
              <w:rPr>
                <w:rStyle w:val="Style14"/>
                <w:iCs/>
                <w:sz w:val="26"/>
                <w:szCs w:val="26"/>
              </w:rPr>
              <w:t>Требования к продукции</w:t>
            </w:r>
            <w:r>
              <w:rPr>
                <w:rStyle w:val="Style14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9"/>
              <w:tab w:val="left" w:pos="1120" w:leader="none"/>
              <w:tab w:val="right" w:pos="9911" w:leader="dot"/>
            </w:tabs>
            <w:rPr/>
          </w:pPr>
          <w:hyperlink w:anchor="_Toc75446574">
            <w:r>
              <w:rPr>
                <w:webHidden/>
                <w:rStyle w:val="Style14"/>
                <w:iCs/>
                <w:vanish w:val="false"/>
                <w:sz w:val="26"/>
                <w:szCs w:val="26"/>
              </w:rPr>
              <w:t>2.1.</w:t>
            </w:r>
            <w:r>
              <w:rPr>
                <w:rStyle w:val="Style14"/>
                <w:rFonts w:eastAsia="" w:cs="" w:cstheme="minorBidi" w:eastAsiaTheme="minorEastAsia"/>
                <w:sz w:val="26"/>
                <w:szCs w:val="26"/>
              </w:rPr>
              <w:tab/>
            </w:r>
            <w:r>
              <w:rPr>
                <w:rStyle w:val="Style14"/>
                <w:sz w:val="26"/>
                <w:szCs w:val="26"/>
              </w:rPr>
              <w:t>Требования к объемам и срокам поставки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/>
          </w:pPr>
          <w:hyperlink w:anchor="_Toc75446575">
            <w:r>
              <w:rPr>
                <w:webHidden/>
                <w:rStyle w:val="Style14"/>
                <w:vanish w:val="false"/>
                <w:sz w:val="26"/>
                <w:szCs w:val="26"/>
              </w:rPr>
              <w:t>2.1.1.Перечень и объем закупаемой продукции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right" w:pos="9911" w:leader="dot"/>
            </w:tabs>
            <w:rPr/>
          </w:pPr>
          <w:hyperlink w:anchor="_Toc75446576">
            <w:r>
              <w:rPr>
                <w:webHidden/>
                <w:rStyle w:val="Style14"/>
                <w:vanish w:val="false"/>
                <w:sz w:val="26"/>
                <w:szCs w:val="26"/>
              </w:rPr>
              <w:t>Таблица 1.1 Перечень и объем закупаемой продукции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Heading3"/>
            <w:tabs>
              <w:tab w:val="clear" w:pos="0"/>
            </w:tabs>
            <w:jc w:val="right"/>
            <w:rPr>
              <w:rFonts w:ascii="Times New Roman" w:hAnsi="Times New Roman"/>
            </w:rPr>
          </w:pPr>
          <w:r>
            <w:rPr>
              <w:b w:val="false"/>
              <w:sz w:val="26"/>
              <w:szCs w:val="26"/>
              <w:lang w:val="ru-RU"/>
            </w:rPr>
            <w:t>2.1.2</w:t>
          </w:r>
          <w:r>
            <w:rPr>
              <w:b w:val="false"/>
              <w:sz w:val="26"/>
              <w:szCs w:val="26"/>
            </w:rPr>
            <w:t>Требования к срокам поставки продукции и оказания сопутствующих услуг</w:t>
          </w:r>
          <w:r>
            <w:rPr>
              <w:b w:val="false"/>
              <w:sz w:val="26"/>
              <w:szCs w:val="26"/>
              <w:lang w:val="ru-RU"/>
            </w:rPr>
            <w:t>...3</w:t>
          </w:r>
        </w:p>
        <w:p>
          <w:pPr>
            <w:pStyle w:val="TOC1"/>
            <w:tabs>
              <w:tab w:val="clear" w:pos="709"/>
              <w:tab w:val="right" w:pos="9911" w:leader="dot"/>
            </w:tabs>
            <w:rPr/>
          </w:pPr>
          <w:hyperlink w:anchor="_Toc75446579">
            <w:r>
              <w:rPr>
                <w:webHidden/>
                <w:rStyle w:val="Style14"/>
                <w:vanish w:val="false"/>
                <w:sz w:val="26"/>
                <w:szCs w:val="26"/>
              </w:rPr>
              <w:t>Таблица 2.1 Требования по срокам поставки продукции………………………………</w:t>
            </w:r>
          </w:hyperlink>
          <w:r>
            <w:rPr>
              <w:sz w:val="26"/>
              <w:szCs w:val="26"/>
            </w:rPr>
            <w:t>3</w:t>
          </w:r>
        </w:p>
        <w:p>
          <w:pPr>
            <w:pStyle w:val="Normal"/>
            <w:ind w:firstLine="709"/>
            <w:rPr>
              <w:rFonts w:ascii="Times New Roman" w:hAnsi="Times New Roman"/>
            </w:rPr>
          </w:pPr>
          <w:r>
            <w:rPr>
              <w:rFonts w:eastAsia="" w:eastAsiaTheme="minorEastAsia"/>
              <w:sz w:val="26"/>
              <w:szCs w:val="26"/>
            </w:rPr>
            <w:t>2.2 Требования к качеству продукции………………………………………..……….3</w:t>
          </w:r>
        </w:p>
        <w:p>
          <w:pPr>
            <w:pStyle w:val="TOC1"/>
            <w:tabs>
              <w:tab w:val="clear" w:pos="709"/>
              <w:tab w:val="right" w:pos="9911" w:leader="dot"/>
            </w:tabs>
            <w:jc w:val="both"/>
            <w:rPr/>
          </w:pPr>
          <w:hyperlink w:anchor="_Toc75446582">
            <w:r>
              <w:rPr>
                <w:webHidden/>
                <w:rStyle w:val="Style14"/>
                <w:vanish w:val="false"/>
                <w:sz w:val="26"/>
                <w:szCs w:val="26"/>
              </w:rPr>
              <w:t>Таблица 3. Требования к продукции………………………………………………………</w:t>
            </w:r>
          </w:hyperlink>
          <w:r>
            <w:rPr>
              <w:sz w:val="26"/>
              <w:szCs w:val="26"/>
            </w:rPr>
            <w:t>4</w:t>
          </w:r>
        </w:p>
        <w:p>
          <w:pPr>
            <w:pStyle w:val="ListParagraph"/>
            <w:numPr>
              <w:ilvl w:val="0"/>
              <w:numId w:val="7"/>
            </w:numPr>
            <w:jc w:val="both"/>
            <w:rPr>
              <w:rFonts w:ascii="Times New Roman" w:hAnsi="Times New Roman"/>
            </w:rPr>
          </w:pPr>
          <w:r>
            <w:rPr>
              <w:b/>
              <w:color w:val="000000" w:themeColor="text1"/>
              <w:sz w:val="26"/>
              <w:szCs w:val="26"/>
            </w:rPr>
            <w:t>Требования к документации по ценообразования на этап заключения (исполнения) договора          ………………………………………………………..…..9</w:t>
          </w:r>
          <w:r>
            <w:rPr>
              <w:sz w:val="26"/>
              <w:b/>
              <w:szCs w:val="26"/>
              <w:color w:val="000000"/>
            </w:rPr>
            <w:fldChar w:fldCharType="end"/>
          </w:r>
        </w:p>
      </w:sdtContent>
    </w:sdt>
    <w:p>
      <w:pPr>
        <w:pStyle w:val="ListParagraph"/>
        <w:ind w:left="0" w:hanging="0"/>
        <w:jc w:val="both"/>
        <w:rPr>
          <w:rFonts w:ascii="Times New Roman" w:hAnsi="Times New Roman"/>
        </w:rPr>
      </w:pPr>
      <w:r>
        <w:rPr/>
      </w:r>
    </w:p>
    <w:p>
      <w:pPr>
        <w:pStyle w:val="ListParagraph"/>
        <w:ind w:left="1080" w:hanging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TOC1"/>
        <w:tabs>
          <w:tab w:val="clear" w:pos="709"/>
          <w:tab w:val="right" w:pos="9911" w:leader="dot"/>
        </w:tabs>
        <w:rPr>
          <w:rFonts w:ascii="Times New Roman" w:hAnsi="Times New Roman" w:eastAsia="" w:cs="" w:cstheme="minorBidi" w:eastAsiaTheme="minorEastAsia"/>
          <w:b w:val="false"/>
          <w:bCs w:val="false"/>
          <w:sz w:val="22"/>
          <w:szCs w:val="22"/>
        </w:rPr>
      </w:pPr>
      <w:r>
        <w:rPr>
          <w:rFonts w:eastAsia="" w:cs="" w:cstheme="minorBidi" w:eastAsiaTheme="minorEastAsia"/>
          <w:b w:val="false"/>
          <w:bCs w:val="false"/>
          <w:sz w:val="22"/>
          <w:szCs w:val="22"/>
        </w:rPr>
      </w:r>
    </w:p>
    <w:p>
      <w:pPr>
        <w:pStyle w:val="Heading2"/>
        <w:tabs>
          <w:tab w:val="clear" w:pos="0"/>
        </w:tabs>
        <w:ind w:left="0" w:hanging="0"/>
        <w:rPr>
          <w:rFonts w:ascii="Times New Roman" w:hAnsi="Times New Roman"/>
        </w:rPr>
      </w:pPr>
      <w:r>
        <w:rPr/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0" w:hanging="0"/>
        <w:jc w:val="center"/>
        <w:rPr>
          <w:b/>
          <w:bCs/>
          <w:i w:val="false"/>
          <w:i w:val="false"/>
          <w:iCs w:val="false"/>
        </w:rPr>
      </w:pPr>
      <w:bookmarkStart w:id="0" w:name="_Toc51339692"/>
      <w:bookmarkStart w:id="1" w:name="_Toc75446566"/>
      <w:r>
        <w:rPr>
          <w:b/>
          <w:bCs/>
          <w:i w:val="false"/>
          <w:iCs w:val="false"/>
          <w:sz w:val="26"/>
          <w:szCs w:val="26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tabs>
          <w:tab w:val="left" w:pos="0" w:leader="none"/>
          <w:tab w:val="left" w:pos="851" w:leader="none"/>
          <w:tab w:val="left" w:pos="1134" w:leader="none"/>
        </w:tabs>
        <w:ind w:left="0" w:firstLine="567"/>
        <w:rPr>
          <w:b/>
          <w:bCs/>
          <w:i w:val="false"/>
          <w:i w:val="false"/>
          <w:iCs w:val="false"/>
        </w:rPr>
      </w:pPr>
      <w:bookmarkStart w:id="2" w:name="_Toc46743506"/>
      <w:bookmarkStart w:id="3" w:name="_Toc75446568"/>
      <w:r>
        <w:rPr>
          <w:b/>
          <w:bCs/>
          <w:i w:val="false"/>
          <w:iCs w:val="false"/>
        </w:rPr>
        <w:t>Наименование закупаемой продукции</w:t>
      </w:r>
      <w:bookmarkEnd w:id="2"/>
      <w:bookmarkEnd w:id="3"/>
    </w:p>
    <w:p>
      <w:pPr>
        <w:pStyle w:val="Normal"/>
        <w:widowControl w:val="false"/>
        <w:jc w:val="both"/>
        <w:rPr/>
      </w:pPr>
      <w:r>
        <w:rPr>
          <w:rStyle w:val="Blk"/>
          <w:rFonts w:eastAsia="Calibri"/>
          <w:bCs/>
          <w:sz w:val="24"/>
          <w:szCs w:val="24"/>
        </w:rPr>
        <w:tab/>
        <w:t>ОКПД2: 22.11.13.110 Поставка автошин в г. Владивосток для нужд Владивостокского транспортного участка Владивостокского представительства АО ТК «РусГидро».</w:t>
      </w:r>
    </w:p>
    <w:p>
      <w:pPr>
        <w:pStyle w:val="Heading4"/>
        <w:numPr>
          <w:ilvl w:val="1"/>
          <w:numId w:val="3"/>
        </w:numPr>
        <w:tabs>
          <w:tab w:val="left" w:pos="0" w:leader="none"/>
          <w:tab w:val="left" w:pos="1134" w:leader="none"/>
        </w:tabs>
        <w:ind w:left="0" w:firstLine="567"/>
        <w:rPr>
          <w:i w:val="false"/>
          <w:i w:val="false"/>
          <w:iCs w:val="false"/>
        </w:rPr>
      </w:pPr>
      <w:bookmarkStart w:id="4" w:name="_Toc75446569"/>
      <w:bookmarkStart w:id="5" w:name="_Toc46743507"/>
      <w:r>
        <w:rPr>
          <w:b/>
          <w:bCs/>
          <w:i w:val="false"/>
          <w:iCs w:val="false"/>
        </w:rPr>
        <w:t xml:space="preserve">Цель </w:t>
      </w:r>
      <w:bookmarkEnd w:id="5"/>
      <w:r>
        <w:rPr>
          <w:b/>
          <w:bCs/>
          <w:i w:val="false"/>
          <w:iCs w:val="false"/>
        </w:rPr>
        <w:t xml:space="preserve">использования закупаемой продукции </w:t>
      </w:r>
      <w:bookmarkEnd w:id="4"/>
      <w:r>
        <w:rPr>
          <w:i w:val="false"/>
          <w:iCs w:val="false"/>
        </w:rPr>
        <w:t xml:space="preserve"> </w:t>
      </w:r>
    </w:p>
    <w:p>
      <w:pPr>
        <w:pStyle w:val="Heading4"/>
        <w:tabs>
          <w:tab w:val="clear" w:pos="0"/>
        </w:tabs>
        <w:ind w:left="0" w:firstLine="567"/>
        <w:jc w:val="both"/>
        <w:rPr>
          <w:i w:val="false"/>
          <w:i w:val="false"/>
          <w:iCs w:val="false"/>
        </w:rPr>
      </w:pPr>
      <w:bookmarkStart w:id="6" w:name="_Toc75446572_Копия_1"/>
      <w:bookmarkStart w:id="7" w:name="_Toc50125126"/>
      <w:bookmarkEnd w:id="7"/>
      <w:r>
        <w:rPr>
          <w:b w:val="false"/>
          <w:i w:val="false"/>
          <w:iCs w:val="false"/>
          <w:lang w:val="ru-RU" w:eastAsia="ru-RU"/>
        </w:rPr>
        <w:t xml:space="preserve">Автомобильные шины закупаются для доукомплектования транспортных средств шинами в целях обеспечения бесперебойной работы транспортных средств для нужд </w:t>
      </w:r>
      <w:bookmarkEnd w:id="6"/>
      <w:r>
        <w:rPr>
          <w:b w:val="false"/>
          <w:i w:val="false"/>
          <w:iCs w:val="false"/>
          <w:lang w:val="ru-RU" w:eastAsia="ru-RU"/>
        </w:rPr>
        <w:t>Владивостокского транспортного участка Владивостокского представительства АО ТК «РусГидро».</w:t>
      </w:r>
      <w:bookmarkStart w:id="8" w:name="_Toc75446573"/>
      <w:bookmarkStart w:id="9" w:name="_Toc51339693"/>
    </w:p>
    <w:p>
      <w:pPr>
        <w:pStyle w:val="Heading4"/>
        <w:spacing w:before="120" w:after="60"/>
        <w:ind w:left="0" w:hanging="0"/>
        <w:rPr>
          <w:rFonts w:ascii="Times New Roman" w:hAnsi="Times New Roman"/>
        </w:rPr>
      </w:pPr>
      <w:r>
        <w:rPr/>
      </w:r>
    </w:p>
    <w:p>
      <w:pPr>
        <w:pStyle w:val="Normal"/>
        <w:rPr>
          <w:rFonts w:ascii="Times New Roman" w:hAnsi="Times New Roman"/>
        </w:rPr>
      </w:pPr>
      <w:r>
        <w:rPr/>
      </w:r>
    </w:p>
    <w:p>
      <w:pPr>
        <w:pStyle w:val="Heading1"/>
        <w:numPr>
          <w:ilvl w:val="0"/>
          <w:numId w:val="3"/>
        </w:numPr>
        <w:ind w:left="0" w:hanging="0"/>
        <w:jc w:val="center"/>
        <w:rPr>
          <w:b/>
          <w:bCs/>
        </w:rPr>
      </w:pPr>
      <w:r>
        <w:rPr>
          <w:b/>
          <w:bCs/>
          <w:sz w:val="26"/>
          <w:szCs w:val="26"/>
        </w:rPr>
        <w:t>Требования к продукции</w:t>
      </w:r>
      <w:bookmarkEnd w:id="8"/>
      <w:bookmarkEnd w:id="9"/>
    </w:p>
    <w:p>
      <w:pPr>
        <w:pStyle w:val="Heading4"/>
        <w:numPr>
          <w:ilvl w:val="1"/>
          <w:numId w:val="3"/>
        </w:numPr>
        <w:tabs>
          <w:tab w:val="left" w:pos="0" w:leader="none"/>
          <w:tab w:val="left" w:pos="1134" w:leader="none"/>
        </w:tabs>
        <w:ind w:left="567" w:firstLine="135"/>
        <w:rPr>
          <w:b/>
          <w:bCs/>
          <w:i w:val="false"/>
          <w:i w:val="false"/>
          <w:iCs w:val="false"/>
          <w:sz w:val="24"/>
          <w:szCs w:val="24"/>
        </w:rPr>
      </w:pPr>
      <w:bookmarkStart w:id="10" w:name="_Toc75446574"/>
      <w:r>
        <w:rPr>
          <w:b/>
          <w:bCs/>
          <w:i w:val="false"/>
          <w:iCs w:val="false"/>
          <w:sz w:val="24"/>
          <w:szCs w:val="24"/>
        </w:rPr>
        <w:t xml:space="preserve">Требования к объемам и срокам </w:t>
      </w:r>
      <w:r>
        <w:rPr>
          <w:b/>
          <w:bCs/>
          <w:i w:val="false"/>
          <w:iCs w:val="false"/>
          <w:sz w:val="24"/>
          <w:szCs w:val="24"/>
          <w:lang w:val="ru-RU"/>
        </w:rPr>
        <w:t>поставки</w:t>
      </w:r>
      <w:bookmarkEnd w:id="10"/>
    </w:p>
    <w:p>
      <w:pPr>
        <w:pStyle w:val="Heading3"/>
        <w:numPr>
          <w:ilvl w:val="2"/>
          <w:numId w:val="3"/>
        </w:numPr>
        <w:tabs>
          <w:tab w:val="left" w:pos="0" w:leader="none"/>
          <w:tab w:val="left" w:pos="1134" w:leader="none"/>
        </w:tabs>
        <w:ind w:left="567" w:hanging="0"/>
        <w:rPr>
          <w:b/>
          <w:bCs/>
          <w:i w:val="false"/>
          <w:i w:val="false"/>
          <w:iCs w:val="false"/>
          <w:sz w:val="24"/>
          <w:szCs w:val="24"/>
        </w:rPr>
      </w:pPr>
      <w:bookmarkStart w:id="11" w:name="_Toc75446575"/>
      <w:r>
        <w:rPr>
          <w:b/>
          <w:bCs/>
          <w:i w:val="false"/>
          <w:iCs w:val="false"/>
          <w:sz w:val="24"/>
          <w:szCs w:val="24"/>
        </w:rPr>
        <w:t>Перечень и объем закупаемой продукции</w:t>
      </w:r>
      <w:bookmarkEnd w:id="11"/>
    </w:p>
    <w:p>
      <w:pPr>
        <w:pStyle w:val="Heading1"/>
        <w:tabs>
          <w:tab w:val="clear" w:pos="0"/>
        </w:tabs>
        <w:ind w:left="567" w:hanging="0"/>
        <w:rPr>
          <w:b/>
          <w:bCs/>
          <w:i w:val="false"/>
          <w:i w:val="false"/>
          <w:iCs w:val="false"/>
          <w:sz w:val="24"/>
          <w:szCs w:val="24"/>
        </w:rPr>
      </w:pPr>
      <w:bookmarkStart w:id="12" w:name="_Toc75446576"/>
      <w:bookmarkStart w:id="13" w:name="_Toc51339695"/>
      <w:r>
        <w:rPr>
          <w:b/>
          <w:bCs/>
          <w:i w:val="false"/>
          <w:iCs w:val="false"/>
          <w:sz w:val="24"/>
          <w:szCs w:val="24"/>
        </w:rPr>
        <w:t xml:space="preserve">Таблица 1.1 Перечень </w:t>
      </w:r>
      <w:bookmarkEnd w:id="13"/>
      <w:r>
        <w:rPr>
          <w:b/>
          <w:bCs/>
          <w:i w:val="false"/>
          <w:iCs w:val="false"/>
          <w:sz w:val="24"/>
          <w:szCs w:val="24"/>
        </w:rPr>
        <w:t>и объем закупаемой продукции</w:t>
      </w:r>
      <w:bookmarkEnd w:id="12"/>
    </w:p>
    <w:tbl>
      <w:tblPr>
        <w:tblW w:w="1020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67"/>
        <w:gridCol w:w="6299"/>
        <w:gridCol w:w="1417"/>
        <w:gridCol w:w="1716"/>
      </w:tblGrid>
      <w:tr>
        <w:trPr>
          <w:trHeight w:val="514" w:hRule="atLeast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3"/>
                <w:szCs w:val="23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3"/>
                <w:szCs w:val="23"/>
              </w:rPr>
              <w:t>п/п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3"/>
                <w:szCs w:val="23"/>
              </w:rPr>
              <w:t>Наименование продукции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3"/>
                <w:szCs w:val="23"/>
              </w:rPr>
              <w:t>Единица измерения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3"/>
                <w:szCs w:val="23"/>
              </w:rPr>
              <w:t>Количество*</w:t>
            </w:r>
          </w:p>
        </w:tc>
      </w:tr>
      <w:tr>
        <w:trPr>
          <w:trHeight w:val="256" w:hRule="atLeast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>
          <w:trHeight w:val="256" w:hRule="atLeast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Автомобильная легковая шина Firemax FM601, без камеры, летняя 285/60R18 (или эквивалент**)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>
        <w:trPr>
          <w:trHeight w:val="697" w:hRule="atLeast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 xml:space="preserve">Автомобильная легковая шина Firemax FM601, </w:t>
            </w:r>
            <w:r>
              <w:rPr>
                <w:rFonts w:eastAsia="Calibri" w:cs="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en-US" w:eastAsia="en-US" w:bidi="ar-SA"/>
              </w:rPr>
              <w:t>без камеры, летняя 285/50R20 (или эквивалент)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</w:tr>
      <w:tr>
        <w:trPr>
          <w:trHeight w:val="256" w:hRule="atLeast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Автомобильная легковая шина Firemax FM601, без камеры, летняя 265/60R18 (или эквивалент)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</w:tr>
      <w:tr>
        <w:trPr>
          <w:trHeight w:val="256" w:hRule="atLeast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Автомобильная легковая шина Firemax FM601, без камеры, летняя 265/65R17 (или эквивалент)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>
        <w:trPr>
          <w:trHeight w:val="256" w:hRule="atLeast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Автомобильная легковая шина Firemax FM601, без камеры, летняя 235/45R18 (или эквивалент)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>
        <w:trPr>
          <w:trHeight w:val="256" w:hRule="atLeast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Автомобильная легковая шина Firemax FM601, без камеры, летняя 215/65R16 (или эквивалент)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</w:tr>
      <w:tr>
        <w:trPr>
          <w:trHeight w:val="256" w:hRule="atLeast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1.7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Автомобильная легковая шина Firemax FM601, без камеры, летняя 225/75R16 (или эквивалент)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</w:tr>
      <w:tr>
        <w:trPr>
          <w:trHeight w:val="256" w:hRule="atLeast"/>
        </w:trPr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1.8.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Автомобильная легковая шина Firemax FM601, без камеры, летняя 225/75R16 (или эквивалент)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шт.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</w:tr>
      <w:tr>
        <w:trPr>
          <w:trHeight w:val="256" w:hRule="atLeast"/>
        </w:trPr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1.9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"/>
                <w:kern w:val="0"/>
                <w:sz w:val="24"/>
                <w:szCs w:val="24"/>
                <w:lang w:val="ru-RU" w:eastAsia="en-US" w:bidi="ar-SA"/>
              </w:rPr>
              <w:t>Автомобильная легковая шина Firemax FM601, без камеры, летняя 225/75R16 (или эквивалент)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>
        <w:trPr>
          <w:trHeight w:val="256" w:hRule="atLeast"/>
        </w:trPr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1.10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"/>
                <w:kern w:val="0"/>
                <w:sz w:val="24"/>
                <w:szCs w:val="24"/>
                <w:lang w:val="ru-RU" w:eastAsia="en-US" w:bidi="ar-SA"/>
              </w:rPr>
              <w:t>Автомобильная легковая шина Firemax FM601, без камеры, летняя 215/65R18 (или эквивалент)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>
        <w:trPr>
          <w:trHeight w:val="256" w:hRule="atLeast"/>
        </w:trPr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"/>
                <w:kern w:val="0"/>
                <w:sz w:val="24"/>
                <w:szCs w:val="24"/>
                <w:lang w:val="ru-RU" w:eastAsia="en-US" w:bidi="ar-SA"/>
              </w:rPr>
              <w:t>Автомобильная легковая шина Firemax FM601, без камеры, летняя 215/55R17 (или эквивалент)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>
        <w:trPr>
          <w:trHeight w:val="256" w:hRule="atLeast"/>
        </w:trPr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1.12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"/>
                <w:kern w:val="0"/>
                <w:sz w:val="24"/>
                <w:szCs w:val="24"/>
                <w:lang w:val="ru-RU" w:eastAsia="en-US" w:bidi="ar-SA"/>
              </w:rPr>
              <w:t>Автомобильная легковая шина Firemax FM601, без камеры, летняя 215/65R16(или эквивалент)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</w:tr>
      <w:tr>
        <w:trPr>
          <w:trHeight w:val="256" w:hRule="atLeast"/>
        </w:trPr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1.13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"/>
                <w:kern w:val="0"/>
                <w:sz w:val="24"/>
                <w:szCs w:val="24"/>
                <w:lang w:val="ru-RU" w:eastAsia="en-US" w:bidi="ar-SA"/>
              </w:rPr>
              <w:t>Автомобильная легковая шина Firemax FM601, без камеры, летняя 185/65R15(или эквивалент)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>
        <w:trPr>
          <w:trHeight w:val="256" w:hRule="atLeast"/>
        </w:trPr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1.14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"/>
                <w:kern w:val="0"/>
                <w:sz w:val="24"/>
                <w:szCs w:val="24"/>
                <w:lang w:val="ru-RU" w:eastAsia="en-US" w:bidi="ar-SA"/>
              </w:rPr>
              <w:t>Автомобильная легковая шина Firemax FM601, без камеры, летняя 205/55R16 (или эквивалент)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>
        <w:trPr>
          <w:trHeight w:val="256" w:hRule="atLeast"/>
        </w:trPr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1.15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"/>
                <w:kern w:val="0"/>
                <w:sz w:val="24"/>
                <w:szCs w:val="24"/>
                <w:lang w:val="ru-RU" w:eastAsia="en-US" w:bidi="ar-SA"/>
              </w:rPr>
              <w:t>Автомобильная легковая шина Firemax FM601, без камеры, летняя 225/70R16 (или эквивалент)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>
        <w:trPr>
          <w:trHeight w:val="256" w:hRule="atLeast"/>
        </w:trPr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1.16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"/>
                <w:kern w:val="0"/>
                <w:sz w:val="24"/>
                <w:szCs w:val="24"/>
                <w:lang w:val="ru-RU" w:eastAsia="en-US" w:bidi="ar-SA"/>
              </w:rPr>
              <w:t>Автомобильная легковая шина Firemax FM601, без камеры, летняя 245/55R19 (или эквивалент)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шт.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</w:tr>
      <w:tr>
        <w:trPr>
          <w:trHeight w:val="256" w:hRule="atLeast"/>
        </w:trPr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1.17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Автомобильная легковая шина HILO ARCTIC S6, без камеры, зимняя 235/50R18 (или эквивалент)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шт.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</w:tr>
      <w:tr>
        <w:trPr>
          <w:trHeight w:val="256" w:hRule="atLeast"/>
        </w:trPr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1.18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Автомобильная легковая шина HILO ARCTIC S6, без камеры, зимняя  285/60R18 (или эквивалент)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шт.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</w:tr>
      <w:tr>
        <w:trPr>
          <w:trHeight w:val="256" w:hRule="atLeast"/>
        </w:trPr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1.19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Автомобильная легковая шина HILO ARCTIC S6, без камеры, зимняя  265/60R18 (или эквивалент)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шт.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>
        <w:trPr>
          <w:trHeight w:val="256" w:hRule="atLeast"/>
        </w:trPr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1.20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Автомобильная легковая шина HILO ARCTIC S6, без камеры, зимняя 285/50R20 (или эквивалент)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шт.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</w:tr>
      <w:tr>
        <w:trPr>
          <w:trHeight w:val="256" w:hRule="atLeast"/>
        </w:trPr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1.21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Автомобильная легковая шина HILO ARCTIC S6, без камеры, зимняя  265/60R17 (или эквивалент)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шт.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</w:tr>
      <w:tr>
        <w:trPr>
          <w:trHeight w:val="256" w:hRule="atLeast"/>
        </w:trPr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1.22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Автомобильная легковая шина HILO ARCTIC S6, без камеры, зимняя  215/65R16 (или эквивалент)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шт.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>
        <w:trPr>
          <w:trHeight w:val="256" w:hRule="atLeast"/>
        </w:trPr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1.23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Автомобильная легковая шина HILO ARCTIC S6, без камеры, зимняя 235/70R16 (или эквивалент)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шт.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</w:tr>
      <w:tr>
        <w:trPr>
          <w:trHeight w:val="256" w:hRule="atLeast"/>
        </w:trPr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1.24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Автомобильная легковая шина HILO ARCTIC S6, без камеры, зимняя  225/75R16 (или эквивалент)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шт.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>
        <w:trPr>
          <w:trHeight w:val="256" w:hRule="atLeast"/>
        </w:trPr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1.25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Автомобильная легковая шина HILO ARCTIC S6, без камеры, зимняя  215/70R15 (или эквивалент)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шт.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</w:tr>
      <w:tr>
        <w:trPr>
          <w:trHeight w:val="256" w:hRule="atLeast"/>
        </w:trPr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1.26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Автомобильная легковая шина HILO ARCTIC S6, без камеры, зимняя 215/65R18 (или эквивалент)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шт.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>
        <w:trPr>
          <w:trHeight w:val="256" w:hRule="atLeast"/>
        </w:trPr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1.27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Автомобильная легковая шина HILO ARCTIC S6, без камеры, зимняя 215/55R17 (или эквивалент)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шт.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</w:tr>
      <w:tr>
        <w:trPr>
          <w:trHeight w:val="256" w:hRule="atLeast"/>
        </w:trPr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1.28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Автомобильная легковая шина HILO ARCTIC S6, без камеры, зимняя  215/65R16 (или эквивалент)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шт.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>
        <w:trPr>
          <w:trHeight w:val="256" w:hRule="atLeast"/>
        </w:trPr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1.29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Автомобильная легковая шина HILO ARCTIC S6, без камеры, зимняя 185/65R15  (или эквивалент)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шт.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>
        <w:trPr>
          <w:trHeight w:val="256" w:hRule="atLeast"/>
        </w:trPr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1.30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Автомобильная легковая шина HILO ARCTIC S6, без камеры, зимняя  205/55R16 (или эквивалент)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шт.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>
        <w:trPr>
          <w:trHeight w:val="256" w:hRule="atLeast"/>
        </w:trPr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1.31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Автомобильная легковая шина  HILO ARCTIC S6 , без камеры, зимняя 195/80R15 (или эквивалент)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шт.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</w:tbl>
    <w:p>
      <w:pPr>
        <w:pStyle w:val="Heading3"/>
        <w:numPr>
          <w:ilvl w:val="0"/>
          <w:numId w:val="0"/>
        </w:numPr>
        <w:suppressAutoHyphens w:val="true"/>
        <w:bidi w:val="0"/>
        <w:spacing w:before="0" w:after="0"/>
        <w:ind w:left="0" w:hanging="0"/>
        <w:rPr>
          <w:rFonts w:ascii="Times New Roman" w:hAnsi="Times New Roman" w:eastAsia="Calibri" w:cs="Times New Roman"/>
          <w:i/>
          <w:i/>
          <w:iCs/>
          <w:color w:val="auto"/>
          <w:kern w:val="0"/>
          <w:sz w:val="24"/>
          <w:szCs w:val="24"/>
          <w:lang w:val="x-none" w:eastAsia="x-none" w:bidi="ar-SA"/>
        </w:rPr>
      </w:pPr>
      <w:r>
        <w:rPr>
          <w:rFonts w:eastAsia="Calibri" w:cs="Times New Roman"/>
          <w:i/>
          <w:iCs/>
          <w:color w:val="auto"/>
          <w:kern w:val="0"/>
          <w:sz w:val="24"/>
          <w:szCs w:val="24"/>
          <w:lang w:val="x-none" w:eastAsia="x-none" w:bidi="ar-SA"/>
        </w:rPr>
        <w:t>*</w:t>
      </w:r>
      <w:r>
        <w:rPr>
          <w:rFonts w:cs="Times New Roman"/>
          <w:b w:val="false"/>
          <w:bCs w:val="false"/>
          <w:i/>
          <w:iCs/>
          <w:kern w:val="0"/>
          <w:sz w:val="24"/>
          <w:szCs w:val="24"/>
          <w:lang w:bidi="ar-SA"/>
        </w:rPr>
        <w:t>Объем продукции является ориентировочным, Заказчик не несет ответственности за неполную выборку продукции на общую сумму договора.</w:t>
      </w:r>
    </w:p>
    <w:p>
      <w:pPr>
        <w:pStyle w:val="Normal"/>
        <w:numPr>
          <w:ilvl w:val="0"/>
          <w:numId w:val="0"/>
        </w:numPr>
        <w:suppressAutoHyphens w:val="true"/>
        <w:bidi w:val="0"/>
        <w:spacing w:before="0" w:after="0"/>
        <w:ind w:left="0" w:hanging="0"/>
        <w:jc w:val="both"/>
        <w:rPr>
          <w:rFonts w:ascii="Times New Roman" w:hAnsi="Times New Roman" w:cs="Times New Roman"/>
          <w:b w:val="false"/>
          <w:bCs w:val="false"/>
          <w:i/>
          <w:i/>
          <w:iCs/>
          <w:kern w:val="0"/>
          <w:sz w:val="24"/>
          <w:szCs w:val="24"/>
          <w:lang w:bidi="ar-SA"/>
        </w:rPr>
      </w:pPr>
      <w:r>
        <w:rPr>
          <w:rFonts w:cs="Times New Roman"/>
          <w:b w:val="false"/>
          <w:bCs w:val="false"/>
          <w:i/>
          <w:iCs/>
          <w:kern w:val="0"/>
          <w:sz w:val="24"/>
          <w:szCs w:val="24"/>
          <w:lang w:bidi="ar-SA"/>
        </w:rPr>
        <w:t>** Эквивалент (эквивалентная продукция) – 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</w:r>
    </w:p>
    <w:p>
      <w:pPr>
        <w:pStyle w:val="Normal"/>
        <w:numPr>
          <w:ilvl w:val="0"/>
          <w:numId w:val="0"/>
        </w:numPr>
        <w:suppressAutoHyphens w:val="true"/>
        <w:bidi w:val="0"/>
        <w:spacing w:before="0" w:after="0"/>
        <w:ind w:left="0" w:hanging="0"/>
        <w:rPr>
          <w:rFonts w:ascii="Times New Roman" w:hAnsi="Times New Roman" w:cs="Times New Roman"/>
          <w:b w:val="false"/>
          <w:bCs w:val="false"/>
          <w:i/>
          <w:i/>
          <w:iCs/>
          <w:kern w:val="0"/>
          <w:sz w:val="24"/>
          <w:szCs w:val="24"/>
          <w:lang w:bidi="ar-SA"/>
        </w:rPr>
      </w:pPr>
      <w:r>
        <w:rPr>
          <w:rFonts w:cs="Times New Roman"/>
          <w:b w:val="false"/>
          <w:bCs w:val="false"/>
          <w:i/>
          <w:iCs/>
          <w:kern w:val="0"/>
          <w:sz w:val="24"/>
          <w:szCs w:val="24"/>
          <w:lang w:bidi="ar-SA"/>
        </w:rPr>
      </w:r>
    </w:p>
    <w:p>
      <w:pPr>
        <w:pStyle w:val="Heading3"/>
        <w:numPr>
          <w:ilvl w:val="2"/>
          <w:numId w:val="3"/>
        </w:numPr>
        <w:ind w:left="0" w:firstLine="567"/>
        <w:rPr>
          <w:b/>
          <w:bCs/>
          <w:i w:val="false"/>
          <w:i w:val="false"/>
          <w:iCs w:val="false"/>
          <w:sz w:val="24"/>
          <w:szCs w:val="24"/>
        </w:rPr>
      </w:pPr>
      <w:bookmarkStart w:id="14" w:name="_Toc75446578"/>
      <w:bookmarkStart w:id="15" w:name="_Toc51339696"/>
      <w:r>
        <w:rPr>
          <w:b/>
          <w:bCs/>
          <w:i w:val="false"/>
          <w:iCs w:val="false"/>
          <w:sz w:val="24"/>
          <w:szCs w:val="24"/>
        </w:rPr>
        <w:t xml:space="preserve">Требования </w:t>
      </w:r>
      <w:bookmarkEnd w:id="15"/>
      <w:r>
        <w:rPr>
          <w:b/>
          <w:bCs/>
          <w:i w:val="false"/>
          <w:iCs w:val="false"/>
          <w:sz w:val="24"/>
          <w:szCs w:val="24"/>
        </w:rPr>
        <w:t>к срокам поставки продукции и оказания сопутствующих услуг</w:t>
      </w:r>
      <w:bookmarkEnd w:id="14"/>
    </w:p>
    <w:p>
      <w:pPr>
        <w:pStyle w:val="Heading1"/>
        <w:tabs>
          <w:tab w:val="clear" w:pos="0"/>
        </w:tabs>
        <w:ind w:left="567" w:hanging="0"/>
        <w:rPr>
          <w:b/>
          <w:bCs/>
          <w:i w:val="false"/>
          <w:i w:val="false"/>
          <w:iCs w:val="false"/>
          <w:sz w:val="24"/>
          <w:szCs w:val="24"/>
        </w:rPr>
      </w:pPr>
      <w:bookmarkStart w:id="16" w:name="_Toc75446579"/>
      <w:bookmarkStart w:id="17" w:name="_Toc50125127"/>
      <w:bookmarkStart w:id="18" w:name="_Toc51339697"/>
      <w:bookmarkStart w:id="19" w:name="_Toc501251261"/>
      <w:bookmarkEnd w:id="19"/>
      <w:r>
        <w:rPr>
          <w:b/>
          <w:bCs/>
          <w:i w:val="false"/>
          <w:iCs w:val="false"/>
          <w:sz w:val="24"/>
          <w:szCs w:val="24"/>
        </w:rPr>
        <w:t xml:space="preserve">Таблица </w:t>
      </w:r>
      <w:r>
        <w:rPr>
          <w:b/>
          <w:bCs/>
          <w:i w:val="false"/>
          <w:iCs w:val="false"/>
          <w:sz w:val="24"/>
          <w:szCs w:val="24"/>
          <w:lang w:val="ru-RU"/>
        </w:rPr>
        <w:t>2</w:t>
      </w:r>
      <w:r>
        <w:rPr>
          <w:b/>
          <w:bCs/>
          <w:i w:val="false"/>
          <w:iCs w:val="false"/>
          <w:sz w:val="24"/>
          <w:szCs w:val="24"/>
        </w:rPr>
        <w:t>.</w:t>
      </w:r>
      <w:r>
        <w:rPr>
          <w:b/>
          <w:bCs/>
          <w:i w:val="false"/>
          <w:iCs w:val="false"/>
          <w:sz w:val="24"/>
          <w:szCs w:val="24"/>
          <w:lang w:val="ru-RU"/>
        </w:rPr>
        <w:t>1</w:t>
      </w:r>
      <w:r>
        <w:rPr>
          <w:b/>
          <w:bCs/>
          <w:i w:val="false"/>
          <w:iCs w:val="false"/>
          <w:sz w:val="24"/>
          <w:szCs w:val="24"/>
        </w:rPr>
        <w:t xml:space="preserve"> </w:t>
      </w:r>
      <w:bookmarkStart w:id="20" w:name="_Hlk50465284"/>
      <w:r>
        <w:rPr>
          <w:b/>
          <w:bCs/>
          <w:i w:val="false"/>
          <w:iCs w:val="false"/>
          <w:sz w:val="24"/>
          <w:szCs w:val="24"/>
        </w:rPr>
        <w:t xml:space="preserve">Требования по срокам </w:t>
      </w:r>
      <w:bookmarkEnd w:id="17"/>
      <w:bookmarkEnd w:id="18"/>
      <w:bookmarkEnd w:id="20"/>
      <w:r>
        <w:rPr>
          <w:b/>
          <w:bCs/>
          <w:i w:val="false"/>
          <w:iCs w:val="false"/>
          <w:sz w:val="24"/>
          <w:szCs w:val="24"/>
          <w:lang w:val="ru-RU"/>
        </w:rPr>
        <w:t>поставки продукции</w:t>
      </w:r>
      <w:bookmarkEnd w:id="16"/>
      <w:r>
        <w:rPr>
          <w:b/>
          <w:bCs/>
          <w:i w:val="false"/>
          <w:iCs w:val="false"/>
          <w:sz w:val="24"/>
          <w:szCs w:val="24"/>
          <w:lang w:val="ru-RU"/>
        </w:rPr>
        <w:t xml:space="preserve"> </w:t>
      </w:r>
    </w:p>
    <w:tbl>
      <w:tblPr>
        <w:tblW w:w="10060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10"/>
        <w:gridCol w:w="2955"/>
        <w:gridCol w:w="3282"/>
        <w:gridCol w:w="3112"/>
      </w:tblGrid>
      <w:tr>
        <w:trPr/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>
          <w:trHeight w:val="236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rFonts w:ascii="Times New Roman" w:hAnsi="Times New Roman"/>
              </w:rPr>
            </w:pPr>
            <w:bookmarkStart w:id="21" w:name="_Toc46743510"/>
            <w:r>
              <w:rPr>
                <w:b/>
                <w:sz w:val="24"/>
                <w:szCs w:val="24"/>
              </w:rPr>
              <w:t>4</w:t>
            </w:r>
            <w:bookmarkEnd w:id="21"/>
          </w:p>
        </w:tc>
      </w:tr>
      <w:tr>
        <w:trPr>
          <w:trHeight w:val="417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bookmarkStart w:id="22" w:name="_Toc54785622"/>
            <w:bookmarkStart w:id="23" w:name="_Toc54785622"/>
            <w:bookmarkEnd w:id="23"/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Blk"/>
                <w:rFonts w:eastAsia="Calibri"/>
                <w:bCs/>
                <w:sz w:val="24"/>
                <w:szCs w:val="24"/>
              </w:rPr>
              <w:t>ОКПД2: 22.11.13.110 Поставка автошин в г. Владивосток для нужд Владивостокского транспортного участка Владивостокского представительства АО ТК «РусГидро»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0" w:leader="none"/>
              </w:tabs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31.12.2027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tabs>
          <w:tab w:val="left" w:pos="0" w:leader="none"/>
          <w:tab w:val="left" w:pos="851" w:leader="none"/>
        </w:tabs>
        <w:ind w:left="567" w:hanging="6"/>
        <w:rPr>
          <w:b/>
          <w:bCs/>
          <w:i w:val="false"/>
          <w:i w:val="false"/>
          <w:iCs w:val="false"/>
          <w:sz w:val="24"/>
          <w:szCs w:val="24"/>
        </w:rPr>
      </w:pPr>
      <w:bookmarkStart w:id="24" w:name="_Toc51339698"/>
      <w:bookmarkStart w:id="25" w:name="_Toc75446581"/>
      <w:bookmarkStart w:id="26" w:name="_Toc46743511"/>
      <w:r>
        <w:rPr>
          <w:b/>
          <w:bCs/>
          <w:i w:val="false"/>
          <w:iCs w:val="false"/>
          <w:sz w:val="24"/>
          <w:szCs w:val="24"/>
        </w:rPr>
        <w:t xml:space="preserve">Требования к </w:t>
      </w:r>
      <w:bookmarkEnd w:id="26"/>
      <w:r>
        <w:rPr>
          <w:b/>
          <w:bCs/>
          <w:i w:val="false"/>
          <w:iCs w:val="false"/>
          <w:sz w:val="24"/>
          <w:szCs w:val="24"/>
        </w:rPr>
        <w:t>качеству продукции</w:t>
      </w:r>
      <w:bookmarkEnd w:id="25"/>
    </w:p>
    <w:p>
      <w:pPr>
        <w:pStyle w:val="Heading1"/>
        <w:tabs>
          <w:tab w:val="clear" w:pos="0"/>
          <w:tab w:val="left" w:pos="851" w:leader="none"/>
        </w:tabs>
        <w:ind w:left="0" w:hanging="0"/>
        <w:rPr>
          <w:b/>
          <w:bCs/>
          <w:i w:val="false"/>
          <w:i w:val="false"/>
          <w:iCs w:val="false"/>
          <w:sz w:val="24"/>
          <w:szCs w:val="24"/>
        </w:rPr>
      </w:pPr>
      <w:bookmarkStart w:id="27" w:name="_Toc75446582"/>
      <w:r>
        <w:rPr>
          <w:b/>
          <w:bCs/>
          <w:i w:val="false"/>
          <w:iCs w:val="false"/>
          <w:sz w:val="24"/>
          <w:szCs w:val="24"/>
        </w:rPr>
        <w:t>Таблица </w:t>
      </w:r>
      <w:r>
        <w:rPr>
          <w:b/>
          <w:bCs/>
          <w:i w:val="false"/>
          <w:iCs w:val="false"/>
          <w:sz w:val="24"/>
          <w:szCs w:val="24"/>
          <w:lang w:val="ru-RU"/>
        </w:rPr>
        <w:t>3</w:t>
      </w:r>
      <w:r>
        <w:rPr>
          <w:b/>
          <w:bCs/>
          <w:i w:val="false"/>
          <w:iCs w:val="false"/>
          <w:sz w:val="24"/>
          <w:szCs w:val="24"/>
        </w:rPr>
        <w:t xml:space="preserve">. Требования к качеству </w:t>
      </w:r>
      <w:r>
        <w:rPr>
          <w:b/>
          <w:bCs/>
          <w:i w:val="false"/>
          <w:iCs w:val="false"/>
          <w:sz w:val="24"/>
          <w:szCs w:val="24"/>
          <w:lang w:val="ru-RU"/>
        </w:rPr>
        <w:t>продукции</w:t>
      </w:r>
      <w:bookmarkEnd w:id="27"/>
      <w:r>
        <w:rPr>
          <w:b/>
          <w:bCs/>
          <w:i w:val="false"/>
          <w:iCs w:val="false"/>
          <w:sz w:val="24"/>
          <w:szCs w:val="24"/>
        </w:rPr>
        <w:t xml:space="preserve"> </w:t>
      </w:r>
      <w:bookmarkEnd w:id="24"/>
    </w:p>
    <w:p>
      <w:pPr>
        <w:pStyle w:val="Normal"/>
        <w:tabs>
          <w:tab w:val="clear" w:pos="709"/>
          <w:tab w:val="left" w:pos="851" w:leader="none"/>
        </w:tabs>
        <w:ind w:left="5038" w:hanging="6"/>
        <w:rPr>
          <w:rFonts w:ascii="Times New Roman" w:hAnsi="Times New Roman"/>
          <w:b w:val="false"/>
          <w:sz w:val="26"/>
          <w:szCs w:val="26"/>
        </w:rPr>
      </w:pPr>
      <w:r>
        <w:rPr>
          <w:b w:val="false"/>
          <w:sz w:val="26"/>
          <w:szCs w:val="26"/>
        </w:rPr>
      </w:r>
    </w:p>
    <w:p>
      <w:pPr>
        <w:pStyle w:val="Normal"/>
        <w:tabs>
          <w:tab w:val="clear" w:pos="709"/>
          <w:tab w:val="left" w:pos="851" w:leader="none"/>
        </w:tabs>
        <w:jc w:val="both"/>
        <w:rPr>
          <w:rFonts w:ascii="Times New Roman" w:hAnsi="Times New Roman"/>
        </w:rPr>
      </w:pPr>
      <w:r>
        <w:rPr>
          <w:sz w:val="24"/>
          <w:szCs w:val="26"/>
        </w:rPr>
        <w:t xml:space="preserve">Наименование продукции (позиции №1.1-1.31 Таблицы 1.1): </w:t>
      </w:r>
      <w:r>
        <w:rPr>
          <w:rFonts w:eastAsia="Calibri"/>
          <w:bCs/>
          <w:sz w:val="24"/>
          <w:szCs w:val="24"/>
        </w:rPr>
        <w:t>ОКПД2: 22.11.13.110 Поставка автошин в г. Владивосток для нужд Владивостокского транспортного участка Владивостокского представительства АО ТК «РусГидро»</w:t>
      </w:r>
    </w:p>
    <w:p>
      <w:pPr>
        <w:pStyle w:val="Normal"/>
        <w:jc w:val="both"/>
        <w:rPr>
          <w:rFonts w:ascii="Times New Roman" w:hAnsi="Times New Roman"/>
          <w:b w:val="false"/>
          <w:iCs/>
          <w:sz w:val="24"/>
          <w:szCs w:val="24"/>
        </w:rPr>
      </w:pPr>
      <w:r>
        <w:rPr>
          <w:b w:val="false"/>
          <w:iCs/>
          <w:sz w:val="24"/>
          <w:szCs w:val="24"/>
        </w:rPr>
      </w:r>
    </w:p>
    <w:tbl>
      <w:tblPr>
        <w:tblStyle w:val="1d"/>
        <w:tblW w:w="15233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203"/>
        <w:gridCol w:w="2436"/>
        <w:gridCol w:w="30"/>
        <w:gridCol w:w="4634"/>
        <w:gridCol w:w="3997"/>
        <w:gridCol w:w="2933"/>
      </w:tblGrid>
      <w:tr>
        <w:trPr>
          <w:trHeight w:val="311" w:hRule="atLeast"/>
        </w:trPr>
        <w:tc>
          <w:tcPr>
            <w:tcW w:w="120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"/>
                <w:b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2466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Наименование параметра</w:t>
            </w:r>
          </w:p>
        </w:tc>
        <w:tc>
          <w:tcPr>
            <w:tcW w:w="46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Требования заказчика</w:t>
            </w:r>
          </w:p>
        </w:tc>
        <w:tc>
          <w:tcPr>
            <w:tcW w:w="693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70" w:hRule="atLeast"/>
        </w:trPr>
        <w:tc>
          <w:tcPr>
            <w:tcW w:w="120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2466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6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99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ru-RU" w:eastAsia="en-US" w:bidi="ar-SA"/>
              </w:rPr>
              <w:t>Согласие с требованием/ указание характеристик</w:t>
            </w:r>
          </w:p>
        </w:tc>
        <w:tc>
          <w:tcPr>
            <w:tcW w:w="29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ru-RU" w:eastAsia="en-US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>
          <w:trHeight w:val="70" w:hRule="atLeast"/>
        </w:trPr>
        <w:tc>
          <w:tcPr>
            <w:tcW w:w="12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36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6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9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>
          <w:trHeight w:val="70" w:hRule="atLeast"/>
        </w:trPr>
        <w:tc>
          <w:tcPr>
            <w:tcW w:w="12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1.</w:t>
            </w:r>
          </w:p>
        </w:tc>
        <w:tc>
          <w:tcPr>
            <w:tcW w:w="710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ru-RU" w:eastAsia="en-US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399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  <w:tc>
          <w:tcPr>
            <w:tcW w:w="29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</w:tr>
      <w:tr>
        <w:trPr>
          <w:trHeight w:val="1041" w:hRule="atLeast"/>
        </w:trPr>
        <w:tc>
          <w:tcPr>
            <w:tcW w:w="12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1.1</w:t>
            </w:r>
          </w:p>
        </w:tc>
        <w:tc>
          <w:tcPr>
            <w:tcW w:w="2466" w:type="dxa"/>
            <w:gridSpan w:val="2"/>
            <w:tcBorders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4634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Технические характеристики (параметры эквивалентности)</w:t>
            </w:r>
          </w:p>
        </w:tc>
        <w:tc>
          <w:tcPr>
            <w:tcW w:w="399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  <w:tc>
          <w:tcPr>
            <w:tcW w:w="29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</w:tr>
      <w:tr>
        <w:trPr>
          <w:trHeight w:val="410" w:hRule="atLeast"/>
        </w:trPr>
        <w:tc>
          <w:tcPr>
            <w:tcW w:w="120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1.1. 1</w:t>
            </w:r>
          </w:p>
        </w:tc>
        <w:tc>
          <w:tcPr>
            <w:tcW w:w="24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Автомобильная легковая шина Firemax FM601, без камеры, летняя 285/50R20 (или эквивалент)</w:t>
            </w:r>
          </w:p>
        </w:tc>
        <w:tc>
          <w:tcPr>
            <w:tcW w:w="46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false"/>
              <w:spacing w:lineRule="atLeast" w:line="30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шины:  Легковая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lineRule="atLeast" w:line="30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Исполнение: TL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lineRule="atLeast" w:line="30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Сезонность: Летняя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lineRule="atLeast" w:line="30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Типоразмер: 285/60R18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lineRule="atLeast" w:line="30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скорости: V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lineRule="atLeast" w:line="30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нагрузки: не менее 92</w:t>
            </w:r>
          </w:p>
        </w:tc>
        <w:tc>
          <w:tcPr>
            <w:tcW w:w="399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9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i/>
                <w:i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120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1.1.2</w:t>
            </w:r>
          </w:p>
        </w:tc>
        <w:tc>
          <w:tcPr>
            <w:tcW w:w="24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 xml:space="preserve">Автомобильная легковая шина Firemax FM601, </w:t>
            </w:r>
            <w:r>
              <w:rPr>
                <w:rFonts w:eastAsia="Calibri" w:cs="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en-US" w:eastAsia="en-US" w:bidi="ar-SA"/>
              </w:rPr>
              <w:t>без камеры, летняя 285/50R20 (или эквивалент)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6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шины:  Легковая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Исполнение: TL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Сезонность: Летняя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Типоразмер: 285/50R20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скорости: V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нагрузки: не менее 92</w:t>
            </w:r>
          </w:p>
        </w:tc>
        <w:tc>
          <w:tcPr>
            <w:tcW w:w="399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9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  <w:i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120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1.1.3</w:t>
            </w:r>
          </w:p>
        </w:tc>
        <w:tc>
          <w:tcPr>
            <w:tcW w:w="24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Автомобильная легковая шина Firemax FM601, без камеры, летняя 265/60R18 (или эквивалент)</w:t>
            </w:r>
          </w:p>
        </w:tc>
        <w:tc>
          <w:tcPr>
            <w:tcW w:w="46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шины:  Легковая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Исполнение: TL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Сезонность: Летняя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Типоразмер: 265/60R18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скорости: V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нагрузки: не менее 92</w:t>
            </w:r>
          </w:p>
        </w:tc>
        <w:tc>
          <w:tcPr>
            <w:tcW w:w="399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9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  <w:i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120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1.1.4</w:t>
            </w:r>
          </w:p>
        </w:tc>
        <w:tc>
          <w:tcPr>
            <w:tcW w:w="24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Автомобильная легковая шина Firemax FM601, без камеры, летняя 265/65R17 (или эквивалент)</w:t>
            </w:r>
          </w:p>
        </w:tc>
        <w:tc>
          <w:tcPr>
            <w:tcW w:w="46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Тип шины:  Легковая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Исполнение: TL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Сезонность: Летняя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Типоразмер: 265/65R17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скорости: V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нагрузки: не менее 92</w:t>
            </w:r>
          </w:p>
        </w:tc>
        <w:tc>
          <w:tcPr>
            <w:tcW w:w="399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9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  <w:i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120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1.1.5</w:t>
            </w:r>
          </w:p>
        </w:tc>
        <w:tc>
          <w:tcPr>
            <w:tcW w:w="24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Автомобильная легковая шина Firemax FM601, без камеры, летняя 235/45R18 (или эквивалент)</w:t>
            </w:r>
          </w:p>
        </w:tc>
        <w:tc>
          <w:tcPr>
            <w:tcW w:w="46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Тип шины:  Легковая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Исполнение: TL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Сезонность: Летняя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Типоразмер: 235/45R18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скорости: V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нагрузки: не менее 92</w:t>
            </w:r>
          </w:p>
        </w:tc>
        <w:tc>
          <w:tcPr>
            <w:tcW w:w="399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9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  <w:i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120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1.1.6</w:t>
            </w:r>
          </w:p>
        </w:tc>
        <w:tc>
          <w:tcPr>
            <w:tcW w:w="24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Автомобильная легковая шина Firemax FM601, без камеры, летняя 215/65R16 (или эквивалент)</w:t>
            </w:r>
          </w:p>
        </w:tc>
        <w:tc>
          <w:tcPr>
            <w:tcW w:w="46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шины:  Легковая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Исполнение: TL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Сезонность: Летняя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Типоразмер: 215/65R16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скорости: V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нагрузки: не менее 92</w:t>
            </w:r>
          </w:p>
        </w:tc>
        <w:tc>
          <w:tcPr>
            <w:tcW w:w="399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9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  <w:i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120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1.1.7</w:t>
            </w:r>
          </w:p>
        </w:tc>
        <w:tc>
          <w:tcPr>
            <w:tcW w:w="24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Автомобильная легковая шина Firemax FM601, без камеры, летняя 225/75R16 (или эквивалент)</w:t>
            </w:r>
          </w:p>
        </w:tc>
        <w:tc>
          <w:tcPr>
            <w:tcW w:w="46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шины:  Легковая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Исполнение: TL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Сезонность: Летняя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Типоразмер: 225/75R16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скорости: V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нагрузки: не менее 92</w:t>
            </w:r>
          </w:p>
        </w:tc>
        <w:tc>
          <w:tcPr>
            <w:tcW w:w="399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9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  <w:i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120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1.1.8</w:t>
            </w:r>
          </w:p>
        </w:tc>
        <w:tc>
          <w:tcPr>
            <w:tcW w:w="2466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Автомобильная легковая шина Firemax FM601, без камеры, летняя 225/75R16 (или эквивалент)</w:t>
            </w:r>
          </w:p>
        </w:tc>
        <w:tc>
          <w:tcPr>
            <w:tcW w:w="46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шины:  Легковая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Исполнение: TL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Сезонность: Летняя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Типоразмер: 225/75R16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скорости: V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нагрузки: не менее 92</w:t>
            </w:r>
          </w:p>
        </w:tc>
        <w:tc>
          <w:tcPr>
            <w:tcW w:w="399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9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  <w:i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120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1.1.9</w:t>
            </w:r>
          </w:p>
        </w:tc>
        <w:tc>
          <w:tcPr>
            <w:tcW w:w="2466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"/>
                <w:kern w:val="0"/>
                <w:sz w:val="24"/>
                <w:szCs w:val="24"/>
                <w:lang w:val="ru-RU" w:eastAsia="en-US" w:bidi="ar-SA"/>
              </w:rPr>
              <w:t>Автомобильная легковая шина Firemax FM601, без камеры, летняя 225/75R16 (или эквивалент)</w:t>
            </w:r>
          </w:p>
        </w:tc>
        <w:tc>
          <w:tcPr>
            <w:tcW w:w="46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Тип шины:  Легковая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Исполнение: TL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Сезонность: Летняя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Типоразмер: 225/75R16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скорости: V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нагрузки: не менее 92</w:t>
            </w:r>
          </w:p>
        </w:tc>
        <w:tc>
          <w:tcPr>
            <w:tcW w:w="399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9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  <w:i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120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1.1.10</w:t>
            </w:r>
          </w:p>
        </w:tc>
        <w:tc>
          <w:tcPr>
            <w:tcW w:w="2466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"/>
                <w:kern w:val="0"/>
                <w:sz w:val="24"/>
                <w:szCs w:val="24"/>
                <w:lang w:val="ru-RU" w:eastAsia="en-US" w:bidi="ar-SA"/>
              </w:rPr>
              <w:t>Автомобильная легковая шина Firemax FM601, без камеры, летняя 215/65R18 (или эквивалент)</w:t>
            </w:r>
          </w:p>
        </w:tc>
        <w:tc>
          <w:tcPr>
            <w:tcW w:w="46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ип шины:  Легковая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Исполнение: TL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Сезонность: Летняя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Типоразмер: 215/65R18Т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скорости: V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нагрузки: не менее 92</w:t>
            </w:r>
          </w:p>
        </w:tc>
        <w:tc>
          <w:tcPr>
            <w:tcW w:w="399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9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  <w:i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120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1.1.11</w:t>
            </w:r>
          </w:p>
        </w:tc>
        <w:tc>
          <w:tcPr>
            <w:tcW w:w="2466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"/>
                <w:kern w:val="0"/>
                <w:sz w:val="24"/>
                <w:szCs w:val="24"/>
                <w:lang w:val="ru-RU" w:eastAsia="en-US" w:bidi="ar-SA"/>
              </w:rPr>
              <w:t>Автомобильная легковая шина Firemax FM601, без камеры, летняя 215/55R17 (или эквивалент)</w:t>
            </w:r>
          </w:p>
        </w:tc>
        <w:tc>
          <w:tcPr>
            <w:tcW w:w="46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шины:  Легковая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Исполнение: TL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Сезонность: Летняя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Типоразмер: 215/55R17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скорости: V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нагрузки: не менее 92</w:t>
            </w:r>
          </w:p>
        </w:tc>
        <w:tc>
          <w:tcPr>
            <w:tcW w:w="399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9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  <w:i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120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1.1.12</w:t>
            </w:r>
          </w:p>
        </w:tc>
        <w:tc>
          <w:tcPr>
            <w:tcW w:w="2466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"/>
                <w:kern w:val="0"/>
                <w:sz w:val="24"/>
                <w:szCs w:val="24"/>
                <w:lang w:val="ru-RU" w:eastAsia="en-US" w:bidi="ar-SA"/>
              </w:rPr>
              <w:t>Автомобильная легковая шина Firemax FM601, без камеры, летняя 215/65R16(или эквивалент)</w:t>
            </w:r>
          </w:p>
        </w:tc>
        <w:tc>
          <w:tcPr>
            <w:tcW w:w="46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шины:  Легковая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Исполнение: TL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Сезонность: Летняя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Типоразмер: 215/65R16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скорости: V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нагрузки: не менее 92</w:t>
            </w:r>
          </w:p>
        </w:tc>
        <w:tc>
          <w:tcPr>
            <w:tcW w:w="399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9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  <w:i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120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1.1.13</w:t>
            </w:r>
          </w:p>
        </w:tc>
        <w:tc>
          <w:tcPr>
            <w:tcW w:w="2466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"/>
                <w:kern w:val="0"/>
                <w:sz w:val="24"/>
                <w:szCs w:val="24"/>
                <w:lang w:val="ru-RU" w:eastAsia="en-US" w:bidi="ar-SA"/>
              </w:rPr>
              <w:t>Автомобильная легковая шина Firemax FM601, без камеры, летняя 185/65R15(или эквивалент)</w:t>
            </w:r>
          </w:p>
        </w:tc>
        <w:tc>
          <w:tcPr>
            <w:tcW w:w="46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шины:  Легковая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Исполнение: TL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Сезонность: Летняя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Типоразмер: 185/65R15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скорости: V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нагрузки: не менее 92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9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  <w:i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120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1.1.14</w:t>
            </w:r>
          </w:p>
        </w:tc>
        <w:tc>
          <w:tcPr>
            <w:tcW w:w="2466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"/>
                <w:kern w:val="0"/>
                <w:sz w:val="24"/>
                <w:szCs w:val="24"/>
                <w:lang w:val="ru-RU" w:eastAsia="en-US" w:bidi="ar-SA"/>
              </w:rPr>
              <w:t>Автомобильная легковая шина Firemax FM601, без камеры, летняя 205/55R16 (или эквивалент)</w:t>
            </w:r>
          </w:p>
        </w:tc>
        <w:tc>
          <w:tcPr>
            <w:tcW w:w="46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шины:  Легковая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Исполнение: TL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Сезонность: Летняя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Типоразмер: 205/55R16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скорости: V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нагрузки: не менее 92</w:t>
            </w:r>
          </w:p>
        </w:tc>
        <w:tc>
          <w:tcPr>
            <w:tcW w:w="399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9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  <w:i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120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1.1.15</w:t>
            </w:r>
          </w:p>
        </w:tc>
        <w:tc>
          <w:tcPr>
            <w:tcW w:w="2466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"/>
                <w:kern w:val="0"/>
                <w:sz w:val="24"/>
                <w:szCs w:val="24"/>
                <w:lang w:val="ru-RU" w:eastAsia="en-US" w:bidi="ar-SA"/>
              </w:rPr>
              <w:t>Автомобильная легковая шина Firemax FM601, без камеры, летняя 225/70R16 (или эквивалент)</w:t>
            </w:r>
          </w:p>
        </w:tc>
        <w:tc>
          <w:tcPr>
            <w:tcW w:w="46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шины:  Легковая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Исполнение: TL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Сезонность: Летняя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Типоразмер: 225/70R16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скорости: V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нагрузки: не менее 92</w:t>
            </w:r>
          </w:p>
        </w:tc>
        <w:tc>
          <w:tcPr>
            <w:tcW w:w="399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9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  <w:i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120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1.1.16</w:t>
            </w:r>
          </w:p>
        </w:tc>
        <w:tc>
          <w:tcPr>
            <w:tcW w:w="2466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"/>
                <w:kern w:val="0"/>
                <w:sz w:val="24"/>
                <w:szCs w:val="24"/>
                <w:lang w:val="ru-RU" w:eastAsia="en-US" w:bidi="ar-SA"/>
              </w:rPr>
              <w:t>Автомобильная легковая шина Firemax FM601, без камеры, летняя 245/55R19 (или эквивалент)</w:t>
            </w:r>
          </w:p>
        </w:tc>
        <w:tc>
          <w:tcPr>
            <w:tcW w:w="46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шины:  Легковая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Исполнение: TL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Сезонность: Летняя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Типоразмер: 245/55R19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скорости: V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нагрузки: не менее 92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9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  <w:i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120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1.1.17</w:t>
            </w:r>
          </w:p>
        </w:tc>
        <w:tc>
          <w:tcPr>
            <w:tcW w:w="2466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Автомобильная легковая шина HILO ARCTIC S6, без камеры, зимняя 235/50R18 (или эквивалент)</w:t>
            </w:r>
          </w:p>
        </w:tc>
        <w:tc>
          <w:tcPr>
            <w:tcW w:w="46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шины:  Легковая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Исполнение: TL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Сезонность: Зимняя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Типоразмер: 235/50R18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скорости: H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нагрузки: не менее 94</w:t>
            </w:r>
          </w:p>
        </w:tc>
        <w:tc>
          <w:tcPr>
            <w:tcW w:w="399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9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  <w:i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120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1.1.18</w:t>
            </w:r>
          </w:p>
        </w:tc>
        <w:tc>
          <w:tcPr>
            <w:tcW w:w="2466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Автомобильная легковая шина HILO ARCTIC S6, без камеры, зимняя  285/60R18 (или эквивалент)</w:t>
            </w:r>
          </w:p>
        </w:tc>
        <w:tc>
          <w:tcPr>
            <w:tcW w:w="46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шины:  Легковая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Исполнение: TL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Сезонность: Зимняя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Типоразмер: 285/60R18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скорости: H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нагрузки: не менее 94</w:t>
            </w:r>
          </w:p>
        </w:tc>
        <w:tc>
          <w:tcPr>
            <w:tcW w:w="399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9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  <w:i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120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1.1.19</w:t>
            </w:r>
          </w:p>
        </w:tc>
        <w:tc>
          <w:tcPr>
            <w:tcW w:w="2466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Автомобильная легковая шина HILO ARCTIC S6, без камеры, зимняя  265/60R18 (или эквивалент)</w:t>
            </w:r>
          </w:p>
        </w:tc>
        <w:tc>
          <w:tcPr>
            <w:tcW w:w="46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шины:  Легковая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Исполнение: TL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Сезонность: Зимняя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Типоразмер: 265/60R18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скорости: H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нагрузки: не менее 94</w:t>
            </w:r>
          </w:p>
        </w:tc>
        <w:tc>
          <w:tcPr>
            <w:tcW w:w="399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9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  <w:i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120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1.1.20</w:t>
            </w:r>
          </w:p>
        </w:tc>
        <w:tc>
          <w:tcPr>
            <w:tcW w:w="2466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Автомобильная легковая шина HILO ARCTIC S6, без камеры, зимняя 285/50R20 (или эквивалент)</w:t>
            </w:r>
          </w:p>
        </w:tc>
        <w:tc>
          <w:tcPr>
            <w:tcW w:w="46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шины:  Легковая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Исполнение: TL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Сезонность: Зимняя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Типоразмер: 285/50R20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скорости: H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нагрузки: не менее 94</w:t>
            </w:r>
          </w:p>
        </w:tc>
        <w:tc>
          <w:tcPr>
            <w:tcW w:w="399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9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  <w:i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120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1.1.21</w:t>
            </w:r>
          </w:p>
        </w:tc>
        <w:tc>
          <w:tcPr>
            <w:tcW w:w="2466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Автошина зимняяАвтомобильная легковая шина HILO ARCTIC S6, без камеры, зимняя  265/60R17 (или эквивалент)</w:t>
            </w:r>
          </w:p>
        </w:tc>
        <w:tc>
          <w:tcPr>
            <w:tcW w:w="46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шины:  Легковая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Исполнение: TL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Сезонность: Зимняя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Типоразмер: 265/60R17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скорости: H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нагрузки: не менее 94</w:t>
            </w:r>
          </w:p>
        </w:tc>
        <w:tc>
          <w:tcPr>
            <w:tcW w:w="399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9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  <w:i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120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1.1.22</w:t>
            </w:r>
          </w:p>
        </w:tc>
        <w:tc>
          <w:tcPr>
            <w:tcW w:w="2466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Автомобильная легковая шина HILO ARCTIC S6, без камеры, зимняя  215/65R16 (или эквивалент)</w:t>
            </w:r>
          </w:p>
        </w:tc>
        <w:tc>
          <w:tcPr>
            <w:tcW w:w="46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шины:  Легковая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Исполнение: TL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Сезонность: Зимняя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Типоразмер: 215/65R16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скорости: H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нагрузки: не менее 94</w:t>
            </w:r>
          </w:p>
        </w:tc>
        <w:tc>
          <w:tcPr>
            <w:tcW w:w="399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9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  <w:i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120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1.1.23</w:t>
            </w:r>
          </w:p>
        </w:tc>
        <w:tc>
          <w:tcPr>
            <w:tcW w:w="2466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Автомобильная легковая шина HILO ARCTIC S6, без камеры, зимняя 235/70R16 (или эквивалент)</w:t>
            </w:r>
          </w:p>
        </w:tc>
        <w:tc>
          <w:tcPr>
            <w:tcW w:w="46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шины:  Легковая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Исполнение: TL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Сезонность: Зимняя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Типоразмер: 235/70R16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скорости: H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нагрузки: не менее 94</w:t>
            </w:r>
          </w:p>
        </w:tc>
        <w:tc>
          <w:tcPr>
            <w:tcW w:w="399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9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  <w:i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120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1.1.24</w:t>
            </w:r>
          </w:p>
        </w:tc>
        <w:tc>
          <w:tcPr>
            <w:tcW w:w="2466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Автомобильная легковая шина HILO ARCTIC S6, без камеры, зимняя  225/75R16 (или эквивалент)</w:t>
            </w:r>
          </w:p>
        </w:tc>
        <w:tc>
          <w:tcPr>
            <w:tcW w:w="46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шины:  Легковая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Исполнение: TL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Сезонность: Зимняя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Типоразмер: 225/75R16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скорости: H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нагрузки: не менее 94</w:t>
            </w:r>
          </w:p>
        </w:tc>
        <w:tc>
          <w:tcPr>
            <w:tcW w:w="399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9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  <w:i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120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1.1.25</w:t>
            </w:r>
          </w:p>
        </w:tc>
        <w:tc>
          <w:tcPr>
            <w:tcW w:w="2466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Автомобильная легковая шина HILO ARCTIC S6, без камеры, зимняя  215/70R15 (или эквивалент)</w:t>
            </w:r>
          </w:p>
        </w:tc>
        <w:tc>
          <w:tcPr>
            <w:tcW w:w="46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шины:  Легковая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Исполнение: TL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Сезонность: Зимняя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Типоразмер: 94215/70R15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скорости: H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нагрузки: не менее</w:t>
            </w:r>
          </w:p>
        </w:tc>
        <w:tc>
          <w:tcPr>
            <w:tcW w:w="399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9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  <w:i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120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1.1.26</w:t>
            </w:r>
          </w:p>
        </w:tc>
        <w:tc>
          <w:tcPr>
            <w:tcW w:w="2466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Автомобильная легковая шина HILO ARCTIC S6, без камеры, зимняя 215/65R18 (или эквивалент)</w:t>
            </w:r>
          </w:p>
        </w:tc>
        <w:tc>
          <w:tcPr>
            <w:tcW w:w="46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шины:  Легковая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Исполнение: TL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Сезонность: Зимняя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Типоразмер: 94215/65R18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скорости: H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нагрузки: не менее</w:t>
            </w:r>
          </w:p>
        </w:tc>
        <w:tc>
          <w:tcPr>
            <w:tcW w:w="399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9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  <w:i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120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1.1.27</w:t>
            </w:r>
          </w:p>
        </w:tc>
        <w:tc>
          <w:tcPr>
            <w:tcW w:w="2466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Автомобильная легковая шина HILO ARCTIC S6, без камеры, зимняя 215/55R17 (или эквивалент)</w:t>
            </w:r>
          </w:p>
        </w:tc>
        <w:tc>
          <w:tcPr>
            <w:tcW w:w="46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шины:  Легковая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Исполнение: TL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Сезонность: Зимняя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Типоразмер: 94215/55R17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скорости: H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нагрузки: не менее</w:t>
            </w:r>
          </w:p>
        </w:tc>
        <w:tc>
          <w:tcPr>
            <w:tcW w:w="399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9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  <w:i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120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1.1.28</w:t>
            </w:r>
          </w:p>
        </w:tc>
        <w:tc>
          <w:tcPr>
            <w:tcW w:w="2466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Автомобильная легковая шина HILO ARCTIC S6, без камеры, зимняя  215/65R16 (или эквивалент)</w:t>
            </w:r>
          </w:p>
        </w:tc>
        <w:tc>
          <w:tcPr>
            <w:tcW w:w="46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шины:  Легковая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Исполнение: TL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Сезонность: Зимняя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Типоразмер: 215/65R16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скорости: H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нагрузки: не менее 94</w:t>
            </w:r>
          </w:p>
        </w:tc>
        <w:tc>
          <w:tcPr>
            <w:tcW w:w="399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9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  <w:i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120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1.1.29</w:t>
            </w:r>
          </w:p>
        </w:tc>
        <w:tc>
          <w:tcPr>
            <w:tcW w:w="2466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Автомобильная легковая шина HILO ARCTIC S6, без камеры, зимняя 185/65R15  (или эквивалент)</w:t>
            </w:r>
          </w:p>
        </w:tc>
        <w:tc>
          <w:tcPr>
            <w:tcW w:w="46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шины:  Легковая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Исполнение: TL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Сезонность: Зимняя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Типоразмер: 185/65R15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скорости: H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нагрузки: не менее 94</w:t>
            </w:r>
          </w:p>
        </w:tc>
        <w:tc>
          <w:tcPr>
            <w:tcW w:w="399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9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  <w:i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120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1.1.30</w:t>
            </w:r>
          </w:p>
        </w:tc>
        <w:tc>
          <w:tcPr>
            <w:tcW w:w="2466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Автомобильная легковая шина HILO ARCTIC S6, без камеры, зимняя  205/55R16 (или эквивалент)</w:t>
            </w:r>
          </w:p>
        </w:tc>
        <w:tc>
          <w:tcPr>
            <w:tcW w:w="46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шины:  Легковая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Исполнение: TL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Сезонность: Зимняя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Типоразмер: 205/55R16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скорости: H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нагрузки: не менее 94</w:t>
            </w:r>
          </w:p>
        </w:tc>
        <w:tc>
          <w:tcPr>
            <w:tcW w:w="399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9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  <w:i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120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1.1.31</w:t>
            </w:r>
          </w:p>
        </w:tc>
        <w:tc>
          <w:tcPr>
            <w:tcW w:w="2466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Автомобильная легковая шина  HILO ARCTIC S6 , без камеры, зимняя 195/80R15 (или эквивалент)</w:t>
            </w:r>
          </w:p>
        </w:tc>
        <w:tc>
          <w:tcPr>
            <w:tcW w:w="46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Тип шины:  Легковая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Исполнение: TL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Сезонность: Зимняя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Типоразмер: 195/80R15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скорости: H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нагрузки: не менее 94</w:t>
            </w:r>
          </w:p>
        </w:tc>
        <w:tc>
          <w:tcPr>
            <w:tcW w:w="399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9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  <w:i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164" w:hRule="atLeast"/>
        </w:trPr>
        <w:tc>
          <w:tcPr>
            <w:tcW w:w="12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2.</w:t>
            </w:r>
          </w:p>
        </w:tc>
        <w:tc>
          <w:tcPr>
            <w:tcW w:w="7100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bCs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Требования к безопасности</w:t>
            </w:r>
          </w:p>
        </w:tc>
        <w:tc>
          <w:tcPr>
            <w:tcW w:w="399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  <w:tc>
          <w:tcPr>
            <w:tcW w:w="29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</w:tr>
      <w:tr>
        <w:trPr>
          <w:trHeight w:val="391" w:hRule="atLeast"/>
        </w:trPr>
        <w:tc>
          <w:tcPr>
            <w:tcW w:w="12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2.1</w:t>
            </w:r>
          </w:p>
        </w:tc>
        <w:tc>
          <w:tcPr>
            <w:tcW w:w="2466" w:type="dxa"/>
            <w:gridSpan w:val="2"/>
            <w:tcBorders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Безопасность продукции</w:t>
            </w:r>
          </w:p>
        </w:tc>
        <w:tc>
          <w:tcPr>
            <w:tcW w:w="46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Fonts w:eastAsia="Calibri" w:cs="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Качество и безопасность товара должны соответствовать требованиям: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Fonts w:eastAsia="Calibri" w:cs="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ГОСТ Р 52899-2007. Шины пневматические для грузовых механических транспортных средств и прицепов. Технические условия" (утв. Приказом Ростехрегулирования от 27.12.2007 N 601-ст);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Fonts w:eastAsia="Calibri" w:cs="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ГОСТ 5513-97. Межгосударственный стандарт. Шины пневматические для грузовых автомобилей, прицепов к ним, автобусов и троллейбусов. Технические условия" (введен в действие Постановлением Госстандарта России от 25.11.1997 N 375);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Fonts w:eastAsia="Calibri" w:cs="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Решение Комиссии Таможенного союза от 09.12.2011 N 877 (ред. от 13.03.2026) "О принятии технического регламента Таможенного союза "О безопасности колесных транспортных средств" (вместе с "ТР ТС 018/2011. Технический регламент Таможенного союза. О безопасности колесных транспортных средств");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Fonts w:eastAsia="Calibri" w:cs="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ГОСТ Р 52900-2007. Национальный стандарт Российской Федерации. Шины пневматические для легковых автомобилей и прицепов к ним. Технические условия" (утв. и введен в действие Приказом Ростехрегулирования от 27.12.2007 N 602-ст).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Fonts w:eastAsia="Calibri" w:cs="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Сертификат на новую пневматическую резину для легковых авто, грузовиков, автобусов, троллейбусов, мопедов, мотоциклов, квадроциклов, мотороллеров и прицепов к легковым и грузовым машинам.</w:t>
            </w:r>
          </w:p>
        </w:tc>
        <w:tc>
          <w:tcPr>
            <w:tcW w:w="399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9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</w:tr>
      <w:tr>
        <w:trPr>
          <w:trHeight w:val="688" w:hRule="atLeast"/>
        </w:trPr>
        <w:tc>
          <w:tcPr>
            <w:tcW w:w="12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3.</w:t>
            </w:r>
          </w:p>
        </w:tc>
        <w:tc>
          <w:tcPr>
            <w:tcW w:w="7100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Fonts w:eastAsia="Calibri" w:cs=""/>
                <w:b/>
                <w:bCs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399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  <w:tc>
          <w:tcPr>
            <w:tcW w:w="29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</w:tr>
      <w:tr>
        <w:trPr>
          <w:trHeight w:val="424" w:hRule="atLeast"/>
        </w:trPr>
        <w:tc>
          <w:tcPr>
            <w:tcW w:w="12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3.1</w:t>
            </w:r>
          </w:p>
        </w:tc>
        <w:tc>
          <w:tcPr>
            <w:tcW w:w="2466" w:type="dxa"/>
            <w:gridSpan w:val="2"/>
            <w:tcBorders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Место поставки</w:t>
            </w:r>
          </w:p>
        </w:tc>
        <w:tc>
          <w:tcPr>
            <w:tcW w:w="46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Приморский край, г. Владивосток, ул. Западная, 29</w:t>
            </w:r>
          </w:p>
        </w:tc>
        <w:tc>
          <w:tcPr>
            <w:tcW w:w="399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9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</w:tr>
      <w:tr>
        <w:trPr>
          <w:trHeight w:val="447" w:hRule="atLeast"/>
        </w:trPr>
        <w:tc>
          <w:tcPr>
            <w:tcW w:w="12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3.2</w:t>
            </w:r>
          </w:p>
        </w:tc>
        <w:tc>
          <w:tcPr>
            <w:tcW w:w="246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Требования к упаковке</w:t>
            </w:r>
          </w:p>
        </w:tc>
        <w:tc>
          <w:tcPr>
            <w:tcW w:w="46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Продукция должна поставляться в упаковке, обеспечивающей защиту от внешних воздействующих факторов (в т.ч. климатических, механических) при транспортировании, хранении и погрузочно-разгрузочных работах.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Маркировка и (или) упаковка продукции должна обеспечивать Заказчику возможность идентифицировать продукцию.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Продукция, способная оказывать вредное воздействие на здоровье человека, окружающую среду, обладающая пожароопасными свойствами, должна иметь соответствующую предупредительную маркировку.</w:t>
            </w:r>
          </w:p>
        </w:tc>
        <w:tc>
          <w:tcPr>
            <w:tcW w:w="399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9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</w:tr>
      <w:tr>
        <w:trPr>
          <w:trHeight w:val="233" w:hRule="atLeast"/>
        </w:trPr>
        <w:tc>
          <w:tcPr>
            <w:tcW w:w="12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4.</w:t>
            </w:r>
          </w:p>
        </w:tc>
        <w:tc>
          <w:tcPr>
            <w:tcW w:w="7100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Требования к эксплуатации, обеспечению и утилизации</w:t>
            </w:r>
          </w:p>
        </w:tc>
        <w:tc>
          <w:tcPr>
            <w:tcW w:w="399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  <w:tc>
          <w:tcPr>
            <w:tcW w:w="29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</w:tr>
      <w:tr>
        <w:trPr>
          <w:trHeight w:val="391" w:hRule="atLeast"/>
        </w:trPr>
        <w:tc>
          <w:tcPr>
            <w:tcW w:w="12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4.1</w:t>
            </w:r>
          </w:p>
        </w:tc>
        <w:tc>
          <w:tcPr>
            <w:tcW w:w="2466" w:type="dxa"/>
            <w:gridSpan w:val="2"/>
            <w:tcBorders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Требования к эксплуатации</w:t>
            </w:r>
          </w:p>
        </w:tc>
        <w:tc>
          <w:tcPr>
            <w:tcW w:w="46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Поставляемая Продукция должна быть новой, не бывшая в употреблении, соответствовать нормативным значениям показателей качества. Продукция должна быть произведена не ранее 2024 г. Не допускается поставка выставочных образцов.</w:t>
            </w:r>
          </w:p>
        </w:tc>
        <w:tc>
          <w:tcPr>
            <w:tcW w:w="399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9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</w:tr>
      <w:tr>
        <w:trPr>
          <w:trHeight w:val="572" w:hRule="atLeast"/>
        </w:trPr>
        <w:tc>
          <w:tcPr>
            <w:tcW w:w="12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5.</w:t>
            </w:r>
          </w:p>
        </w:tc>
        <w:tc>
          <w:tcPr>
            <w:tcW w:w="7100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399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  <w:tc>
          <w:tcPr>
            <w:tcW w:w="29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</w:tr>
      <w:tr>
        <w:trPr>
          <w:trHeight w:val="688" w:hRule="atLeast"/>
        </w:trPr>
        <w:tc>
          <w:tcPr>
            <w:tcW w:w="12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5.1</w:t>
            </w:r>
          </w:p>
        </w:tc>
        <w:tc>
          <w:tcPr>
            <w:tcW w:w="2466" w:type="dxa"/>
            <w:gridSpan w:val="2"/>
            <w:tcBorders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Срок гарантии</w:t>
            </w:r>
          </w:p>
        </w:tc>
        <w:tc>
          <w:tcPr>
            <w:tcW w:w="4634" w:type="dxa"/>
            <w:tcBorders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9"/>
                <w:tab w:val="left" w:pos="1134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На продукцию устанавливается гарантийный срок не менее 12 месяцев со дня продажи, который начинает течь с даты подписания Сторонами Накладной ТОРГ-12/УПД. Гарантийный срок может быть продлен в соответствии с условиями Договора.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9"/>
                <w:tab w:val="left" w:pos="1134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Установленный в отношении Товара гарантийный срок распространяется на все составные части и комплектующие Товара</w:t>
            </w:r>
          </w:p>
        </w:tc>
        <w:tc>
          <w:tcPr>
            <w:tcW w:w="399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9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</w:tr>
      <w:tr>
        <w:trPr>
          <w:trHeight w:val="562" w:hRule="atLeast"/>
        </w:trPr>
        <w:tc>
          <w:tcPr>
            <w:tcW w:w="12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6.</w:t>
            </w:r>
          </w:p>
        </w:tc>
        <w:tc>
          <w:tcPr>
            <w:tcW w:w="7100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399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  <w:tc>
          <w:tcPr>
            <w:tcW w:w="29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</w:tr>
      <w:tr>
        <w:trPr>
          <w:trHeight w:val="688" w:hRule="atLeast"/>
        </w:trPr>
        <w:tc>
          <w:tcPr>
            <w:tcW w:w="12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6.1</w:t>
            </w:r>
          </w:p>
        </w:tc>
        <w:tc>
          <w:tcPr>
            <w:tcW w:w="2466" w:type="dxa"/>
            <w:gridSpan w:val="2"/>
            <w:tcBorders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Документы, передаваемые вместе с продукцией</w:t>
            </w:r>
          </w:p>
        </w:tc>
        <w:tc>
          <w:tcPr>
            <w:tcW w:w="46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Поставщик передает Заказчику товарную накладную (ТОРГ-12)/УПД, счет-фактуру, копии документов, подтверждающие качество поставляемой продукции</w:t>
            </w:r>
          </w:p>
        </w:tc>
        <w:tc>
          <w:tcPr>
            <w:tcW w:w="399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9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ListParagraph"/>
        <w:numPr>
          <w:ilvl w:val="0"/>
          <w:numId w:val="8"/>
        </w:numPr>
        <w:ind w:left="360" w:right="-2" w:hanging="0"/>
        <w:jc w:val="both"/>
        <w:outlineLvl w:val="0"/>
        <w:rPr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Требования к документации по ценообразования на этапе закупки</w:t>
      </w:r>
    </w:p>
    <w:p>
      <w:pPr>
        <w:pStyle w:val="Normal"/>
        <w:spacing w:before="0" w:after="0"/>
        <w:ind w:left="1080" w:hanging="0"/>
        <w:contextualSpacing/>
        <w:jc w:val="both"/>
        <w:rPr>
          <w:rFonts w:ascii="Times New Roman" w:hAnsi="Times New Roman" w:eastAsia="Calibri"/>
          <w:color w:val="000000" w:themeColor="text1"/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3.1.  </w:t>
      </w:r>
      <w:r>
        <w:rPr>
          <w:rFonts w:eastAsia="Calibri"/>
          <w:bCs/>
          <w:iCs/>
          <w:sz w:val="24"/>
          <w:szCs w:val="24"/>
          <w:lang w:eastAsia="x-none"/>
        </w:rPr>
        <w:t xml:space="preserve">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4"/>
          <w:szCs w:val="24"/>
          <w:u w:val="none"/>
          <w:em w:val="none"/>
        </w:rPr>
        <w:t xml:space="preserve"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 </w:t>
      </w:r>
    </w:p>
    <w:p>
      <w:pPr>
        <w:pStyle w:val="Normal"/>
        <w:jc w:val="left"/>
        <w:rPr>
          <w:sz w:val="24"/>
          <w:szCs w:val="24"/>
        </w:rPr>
      </w:pP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4"/>
          <w:szCs w:val="24"/>
          <w:u w:val="none"/>
          <w:em w:val="none"/>
        </w:rPr>
        <w:t>3.2.  Дополнительные документы по ценообразованию в состав заявки не включаются.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851" w:leader="none"/>
        </w:tabs>
        <w:spacing w:before="0" w:after="120"/>
        <w:ind w:hanging="0"/>
        <w:jc w:val="both"/>
        <w:rPr>
          <w:rFonts w:ascii="Times New Roman" w:hAnsi="Times New Roman"/>
          <w:iCs/>
          <w:color w:val="000000" w:themeColor="text1"/>
          <w:sz w:val="24"/>
          <w:szCs w:val="24"/>
          <w:lang w:eastAsia="x-none"/>
        </w:rPr>
      </w:pPr>
      <w:r>
        <w:rPr>
          <w:iCs/>
          <w:color w:val="000000" w:themeColor="text1"/>
          <w:sz w:val="24"/>
          <w:szCs w:val="24"/>
          <w:lang w:eastAsia="x-none"/>
        </w:rPr>
        <w:t xml:space="preserve">Ведущий специалист по МТО                                          </w:t>
        <w:tab/>
        <w:tab/>
        <w:t xml:space="preserve">                         В.В. Ковальчук</w:t>
      </w:r>
    </w:p>
    <w:p>
      <w:pPr>
        <w:pStyle w:val="ListParagraph"/>
        <w:ind w:left="0" w:hanging="0"/>
        <w:rPr>
          <w:rFonts w:ascii="Times New Roman" w:hAnsi="Times New Roman"/>
          <w:lang w:eastAsia="en-US"/>
        </w:rPr>
      </w:pPr>
      <w:r>
        <w:rPr>
          <w:lang w:eastAsia="en-US"/>
        </w:rPr>
      </w:r>
    </w:p>
    <w:p>
      <w:pPr>
        <w:pStyle w:val="Normal"/>
        <w:ind w:firstLine="4820"/>
        <w:jc w:val="right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4820"/>
        <w:jc w:val="right"/>
        <w:rPr>
          <w:rFonts w:ascii="Times New Roman" w:hAnsi="Times New Roman"/>
        </w:rPr>
      </w:pPr>
      <w:r>
        <w:rPr/>
      </w:r>
    </w:p>
    <w:p>
      <w:pPr>
        <w:pStyle w:val="Normal"/>
        <w:rPr>
          <w:rFonts w:ascii="Times New Roman" w:hAnsi="Times New Roman"/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rFonts w:ascii="Times New Roman" w:hAnsi="Times New Roman"/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rPr>
          <w:rFonts w:ascii="Times New Roman" w:hAnsi="Times New Roman"/>
          <w:i/>
          <w:i/>
          <w:iCs/>
          <w:sz w:val="24"/>
          <w:szCs w:val="24"/>
          <w:shd w:fill="FFFF99" w:val="clear"/>
        </w:rPr>
      </w:pPr>
      <w:r>
        <w:rPr>
          <w:i/>
          <w:iCs/>
          <w:sz w:val="24"/>
          <w:szCs w:val="24"/>
          <w:shd w:fill="FFFF99" w:val="clear"/>
        </w:rPr>
      </w:r>
    </w:p>
    <w:p>
      <w:pPr>
        <w:pStyle w:val="Normal"/>
        <w:ind w:firstLine="4820"/>
        <w:jc w:val="right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4820"/>
        <w:jc w:val="right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4820"/>
        <w:jc w:val="right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4820"/>
        <w:jc w:val="right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4820"/>
        <w:jc w:val="right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4820"/>
        <w:jc w:val="right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4820"/>
        <w:jc w:val="right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4820"/>
        <w:jc w:val="right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4820"/>
        <w:jc w:val="right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4820"/>
        <w:jc w:val="right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4820"/>
        <w:jc w:val="right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4820"/>
        <w:jc w:val="right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4820"/>
        <w:jc w:val="right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4820"/>
        <w:jc w:val="right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4820"/>
        <w:jc w:val="right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4820"/>
        <w:jc w:val="right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4820"/>
        <w:jc w:val="right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4820"/>
        <w:jc w:val="right"/>
        <w:rPr>
          <w:rFonts w:ascii="Times New Roman" w:hAnsi="Times New Roman"/>
        </w:rPr>
      </w:pPr>
      <w:r>
        <w:rPr/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Times New Roman">
    <w:charset w:val="01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ing3"/>
      <w:tabs>
        <w:tab w:val="clear" w:pos="0"/>
      </w:tabs>
      <w:ind w:left="0" w:firstLine="720"/>
      <w:rPr>
        <w:b w:val="false"/>
        <w:i/>
        <w:i/>
        <w:lang w:val="ru-RU"/>
      </w:rPr>
    </w:pPr>
    <w:r>
      <w:rPr>
        <w:b w:val="false"/>
        <w:i/>
        <w:lang w:val="ru-RU"/>
      </w:rPr>
    </w:r>
  </w:p>
  <w:p>
    <w:pPr>
      <w:pStyle w:val="Normal"/>
      <w:tabs>
        <w:tab w:val="clear" w:pos="709"/>
      </w:tabs>
      <w:ind w:left="0" w:firstLine="720"/>
      <w:rPr>
        <w:b w:val="false"/>
        <w:i/>
        <w:i/>
        <w:lang w:val="ru-RU"/>
      </w:rPr>
    </w:pPr>
    <w:r>
      <w:rPr>
        <w:b w:val="false"/>
        <w:i/>
        <w:lang w:val="ru-RU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4330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6"/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i w:val="false"/>
        <w:b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-16" w:hanging="42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8"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-16" w:hanging="42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ind w:left="5038" w:hanging="0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481159"/>
    <w:pPr>
      <w:keepNext w:val="true"/>
      <w:widowControl w:val="false"/>
      <w:tabs>
        <w:tab w:val="clear" w:pos="709"/>
        <w:tab w:val="left" w:pos="0" w:leader="none"/>
      </w:tabs>
      <w:ind w:left="227" w:hanging="0"/>
      <w:jc w:val="both"/>
      <w:outlineLvl w:val="2"/>
    </w:pPr>
    <w:rPr>
      <w:rFonts w:eastAsia="Calibri"/>
      <w:b w:val="false"/>
      <w:bCs w:val="false"/>
      <w:i/>
      <w:iCs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481159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6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10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14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14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14"/>
    <w:qFormat/>
    <w:pPr/>
    <w:rPr/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" w:customStyle="1">
    <w:name w:val="index heading11111"/>
    <w:basedOn w:val="14"/>
    <w:qFormat/>
    <w:pPr/>
    <w:rPr/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" w:customStyle="1">
    <w:name w:val="index heading1111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5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6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9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9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9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e26b68"/>
    <w:pPr>
      <w:tabs>
        <w:tab w:val="clear" w:pos="709"/>
        <w:tab w:val="left" w:pos="1120" w:leader="none"/>
        <w:tab w:val="right" w:pos="9911" w:leader="dot"/>
      </w:tabs>
      <w:ind w:left="280" w:firstLine="287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111" w:customStyle="1">
    <w:name w:val="caption111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9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8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9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0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FORMATTEXT" w:customStyle="1">
    <w:name w:val=".FORMATTEXT"/>
    <w:uiPriority w:val="99"/>
    <w:qFormat/>
    <w:rsid w:val="00604f2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5" w:customStyle="1">
    <w:name w:val="Заголовок таблицы"/>
    <w:basedOn w:val="Style34"/>
    <w:qFormat/>
    <w:pPr>
      <w:jc w:val="center"/>
    </w:pPr>
    <w:rPr>
      <w:b/>
      <w:bCs/>
    </w:rPr>
  </w:style>
  <w:style w:type="paragraph" w:styleId="Style36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6AD60-5FCA-463A-9B64-B49DE29ED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2192</TotalTime>
  <Application>AlterOffice/3.4.0.9$Linux_X86_64 LibreOffice_project/b8daf9e823b1a5463a2f48435ddc2e8696e7d4fc</Application>
  <AppVersion>15.0000</AppVersion>
  <Pages>14</Pages>
  <Words>2253</Words>
  <Characters>15176</Characters>
  <CharactersWithSpaces>17029</CharactersWithSpaces>
  <Paragraphs>540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2025-07-24T04:56:00Z</dcterms:created>
  <dc:creator>Быстров Олег Геннадьевич</dc:creator>
  <dc:description/>
  <dc:language>ru-RU</dc:language>
  <cp:lastModifiedBy>kovalchukvv@corp.gidroogk.com</cp:lastModifiedBy>
  <cp:lastPrinted>2026-06-10T14:39:54Z</cp:lastPrinted>
  <dcterms:modified xsi:type="dcterms:W3CDTF">2026-08-29T14:45:47Z</dcterms:modified>
  <cp:revision>36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