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25C9D"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ТЕХНИЧЕСКОЕ ЗАДАНИЕ</w:t>
      </w:r>
    </w:p>
    <w:p w14:paraId="0F67D605" w14:textId="77777777" w:rsidR="005A5406" w:rsidRDefault="005A5406">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p>
    <w:p w14:paraId="1D8A2F46"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 Наименование и количество товара:</w:t>
      </w:r>
    </w:p>
    <w:p w14:paraId="59443F69" w14:textId="77777777" w:rsidR="005A5406" w:rsidRDefault="005A5406">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rPr>
      </w:pPr>
    </w:p>
    <w:tbl>
      <w:tblPr>
        <w:tblStyle w:val="StGen0"/>
        <w:tblW w:w="100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984"/>
        <w:gridCol w:w="1418"/>
        <w:gridCol w:w="4394"/>
        <w:gridCol w:w="709"/>
        <w:gridCol w:w="956"/>
      </w:tblGrid>
      <w:tr w:rsidR="005A5406" w14:paraId="301839F1" w14:textId="77777777">
        <w:trPr>
          <w:jc w:val="center"/>
        </w:trPr>
        <w:tc>
          <w:tcPr>
            <w:tcW w:w="562" w:type="dxa"/>
            <w:vAlign w:val="center"/>
          </w:tcPr>
          <w:p w14:paraId="2A4174B7"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п/п</w:t>
            </w:r>
          </w:p>
        </w:tc>
        <w:tc>
          <w:tcPr>
            <w:tcW w:w="1984" w:type="dxa"/>
            <w:vAlign w:val="center"/>
          </w:tcPr>
          <w:p w14:paraId="2C275498"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Наименование</w:t>
            </w:r>
          </w:p>
        </w:tc>
        <w:tc>
          <w:tcPr>
            <w:tcW w:w="1418" w:type="dxa"/>
            <w:vAlign w:val="center"/>
          </w:tcPr>
          <w:p w14:paraId="7BE502F6"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ОКПД 2</w:t>
            </w:r>
          </w:p>
        </w:tc>
        <w:tc>
          <w:tcPr>
            <w:tcW w:w="4394" w:type="dxa"/>
            <w:vAlign w:val="center"/>
          </w:tcPr>
          <w:p w14:paraId="1BAF9CF8"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Характеристики</w:t>
            </w:r>
          </w:p>
        </w:tc>
        <w:tc>
          <w:tcPr>
            <w:tcW w:w="709" w:type="dxa"/>
            <w:vAlign w:val="center"/>
          </w:tcPr>
          <w:p w14:paraId="3B25847A"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Ед. изм.</w:t>
            </w:r>
          </w:p>
        </w:tc>
        <w:tc>
          <w:tcPr>
            <w:tcW w:w="956" w:type="dxa"/>
            <w:vAlign w:val="center"/>
          </w:tcPr>
          <w:p w14:paraId="29580082"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Кол-во</w:t>
            </w:r>
          </w:p>
        </w:tc>
      </w:tr>
      <w:tr w:rsidR="00DF524E" w14:paraId="6CC1B8FE" w14:textId="77777777" w:rsidTr="00DF524E">
        <w:trPr>
          <w:jc w:val="center"/>
        </w:trPr>
        <w:tc>
          <w:tcPr>
            <w:tcW w:w="562" w:type="dxa"/>
            <w:vAlign w:val="center"/>
          </w:tcPr>
          <w:p w14:paraId="2C73ADAA" w14:textId="77777777" w:rsid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84" w:type="dxa"/>
            <w:vAlign w:val="center"/>
          </w:tcPr>
          <w:p w14:paraId="119B0D27" w14:textId="1BE0CE62" w:rsidR="00DF524E" w:rsidRPr="00DF524E" w:rsidRDefault="00DF524E" w:rsidP="00DF524E">
            <w:pPr>
              <w:shd w:val="clear" w:color="auto" w:fill="FFFFFF"/>
              <w:spacing w:after="0" w:line="240" w:lineRule="auto"/>
              <w:ind w:left="0" w:hanging="2"/>
              <w:jc w:val="center"/>
              <w:outlineLvl w:val="1"/>
              <w:rPr>
                <w:rFonts w:ascii="Times New Roman" w:eastAsia="Times New Roman" w:hAnsi="Times New Roman" w:cs="Times New Roman"/>
                <w:bCs/>
                <w:lang w:eastAsia="ru-RU"/>
              </w:rPr>
            </w:pPr>
            <w:r w:rsidRPr="00DF524E">
              <w:rPr>
                <w:rFonts w:ascii="Times New Roman" w:eastAsia="Times New Roman" w:hAnsi="Times New Roman" w:cs="Times New Roman"/>
                <w:bCs/>
                <w:lang w:eastAsia="ru-RU"/>
              </w:rPr>
              <w:t>Голень курицы замороженная</w:t>
            </w:r>
            <w:r w:rsidR="006C188B">
              <w:rPr>
                <w:rFonts w:ascii="Times New Roman" w:eastAsia="Times New Roman" w:hAnsi="Times New Roman" w:cs="Times New Roman"/>
                <w:bCs/>
                <w:lang w:eastAsia="ru-RU"/>
              </w:rPr>
              <w:t xml:space="preserve">  </w:t>
            </w:r>
          </w:p>
        </w:tc>
        <w:tc>
          <w:tcPr>
            <w:tcW w:w="1418" w:type="dxa"/>
            <w:vAlign w:val="center"/>
          </w:tcPr>
          <w:p w14:paraId="0454555B" w14:textId="77777777" w:rsidR="00DF524E" w:rsidRPr="00DF524E" w:rsidRDefault="00CC120D" w:rsidP="00DF524E">
            <w:pPr>
              <w:spacing w:after="0" w:line="240" w:lineRule="auto"/>
              <w:ind w:left="0" w:hanging="2"/>
              <w:rPr>
                <w:rFonts w:ascii="Times New Roman" w:hAnsi="Times New Roman" w:cs="Times New Roman"/>
              </w:rPr>
            </w:pPr>
            <w:r>
              <w:rPr>
                <w:rFonts w:ascii="Times New Roman" w:eastAsia="Times New Roman" w:hAnsi="Times New Roman" w:cs="Times New Roman"/>
                <w:bCs/>
                <w:lang w:eastAsia="ru-RU"/>
              </w:rPr>
              <w:t xml:space="preserve">10.12.20.110 </w:t>
            </w:r>
          </w:p>
        </w:tc>
        <w:tc>
          <w:tcPr>
            <w:tcW w:w="4394" w:type="dxa"/>
            <w:vAlign w:val="center"/>
          </w:tcPr>
          <w:p w14:paraId="325B42C6"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Соответствует требованиям ГОСТ 31962-2013 «Мясо кур (Тушки кур, цыплят, цыплят-бройлеров и их части). Технические условия» и/или ГОСТ Р 52306-2005 Мясо птицы (тушки цыплят, цыплят-бройлеров и их разделанные части) для детского питания. Технические условия</w:t>
            </w:r>
          </w:p>
          <w:p w14:paraId="721D810A"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Термическое состояние: замороженное</w:t>
            </w:r>
          </w:p>
          <w:p w14:paraId="70EC580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Сорт: не ниже 1</w:t>
            </w:r>
          </w:p>
          <w:p w14:paraId="35FA57C4"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Запах: свойственный свежему мясу данного вида птицы.</w:t>
            </w:r>
          </w:p>
          <w:p w14:paraId="6005D5D7"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Цвет:</w:t>
            </w:r>
          </w:p>
          <w:p w14:paraId="5AE97890"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мышечной ткани: от бледно-розового до розового</w:t>
            </w:r>
          </w:p>
          <w:p w14:paraId="49C315E3"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подкожного и внутреннего жира: бледно-желтый или желтый</w:t>
            </w:r>
          </w:p>
          <w:p w14:paraId="5C2B7CAE"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кожи: бледно-желтый с розовым оттенком или без него</w:t>
            </w:r>
          </w:p>
          <w:p w14:paraId="0B5B098A"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Состояние кожи: кожа чистая, без разрывов, царапин, пятен, ссадин и кровоподтеков.</w:t>
            </w:r>
          </w:p>
          <w:p w14:paraId="3E899CF1"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Не допускается наличие посторонних запахов, обнаженных костей, видимых кровяных сгустков, холодильных ожогов, пятен от разлитой желчи, волосовидного пера.</w:t>
            </w:r>
          </w:p>
          <w:p w14:paraId="4056B107"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Предоставление сертификата соответствия на продукцию и ветеринарное свидетельство обязательно.</w:t>
            </w:r>
          </w:p>
          <w:p w14:paraId="58D22D76"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Продукты не должны содержать генно-инженерно-модифицированные организмы (ГМО).</w:t>
            </w:r>
          </w:p>
          <w:p w14:paraId="1226F27E"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Упаковка: предназначенная и соответствующая стандартам для данной продукции.</w:t>
            </w:r>
          </w:p>
          <w:p w14:paraId="7B319174" w14:textId="55465AF1"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rPr>
            </w:pPr>
            <w:r w:rsidRPr="00DF524E">
              <w:rPr>
                <w:rFonts w:ascii="Times New Roman" w:eastAsia="Times New Roman" w:hAnsi="Times New Roman" w:cs="Times New Roman"/>
                <w:color w:val="000000"/>
                <w:lang w:val="ru"/>
              </w:rPr>
              <w:t>Фасовка: не более 1</w:t>
            </w:r>
            <w:r w:rsidR="00D31979">
              <w:rPr>
                <w:rFonts w:ascii="Times New Roman" w:eastAsia="Times New Roman" w:hAnsi="Times New Roman" w:cs="Times New Roman"/>
                <w:color w:val="000000"/>
                <w:lang w:val="ru"/>
              </w:rPr>
              <w:t>5</w:t>
            </w:r>
            <w:r w:rsidRPr="00DF524E">
              <w:rPr>
                <w:rFonts w:ascii="Times New Roman" w:eastAsia="Times New Roman" w:hAnsi="Times New Roman" w:cs="Times New Roman"/>
                <w:color w:val="000000"/>
                <w:lang w:val="ru"/>
              </w:rPr>
              <w:t xml:space="preserve"> кг</w:t>
            </w:r>
          </w:p>
        </w:tc>
        <w:tc>
          <w:tcPr>
            <w:tcW w:w="709" w:type="dxa"/>
            <w:vAlign w:val="center"/>
          </w:tcPr>
          <w:p w14:paraId="37A60C7F" w14:textId="77777777" w:rsidR="00DF524E" w:rsidRPr="00DF524E" w:rsidRDefault="00DF524E" w:rsidP="00DF524E">
            <w:pPr>
              <w:spacing w:after="0" w:line="240" w:lineRule="auto"/>
              <w:ind w:left="0" w:hanging="2"/>
              <w:rPr>
                <w:rFonts w:ascii="Times New Roman" w:hAnsi="Times New Roman" w:cs="Times New Roman"/>
              </w:rPr>
            </w:pPr>
            <w:r w:rsidRPr="00DF524E">
              <w:rPr>
                <w:rFonts w:ascii="Times New Roman" w:eastAsia="Times New Roman" w:hAnsi="Times New Roman" w:cs="Times New Roman"/>
                <w:color w:val="000000"/>
              </w:rPr>
              <w:t>кг</w:t>
            </w:r>
          </w:p>
        </w:tc>
        <w:tc>
          <w:tcPr>
            <w:tcW w:w="956" w:type="dxa"/>
            <w:vAlign w:val="center"/>
          </w:tcPr>
          <w:p w14:paraId="783A39A0" w14:textId="77777777" w:rsidR="00DF524E" w:rsidRPr="00DF524E" w:rsidRDefault="00DF524E" w:rsidP="00DF524E">
            <w:pPr>
              <w:spacing w:after="0" w:line="240" w:lineRule="auto"/>
              <w:ind w:left="0" w:hanging="2"/>
              <w:jc w:val="center"/>
              <w:rPr>
                <w:rFonts w:ascii="Times New Roman" w:eastAsia="Times New Roman" w:hAnsi="Times New Roman" w:cs="Times New Roman"/>
                <w:bCs/>
                <w:lang w:eastAsia="ru-RU"/>
              </w:rPr>
            </w:pPr>
            <w:r w:rsidRPr="00DF524E">
              <w:rPr>
                <w:rFonts w:ascii="Times New Roman" w:eastAsia="Times New Roman" w:hAnsi="Times New Roman" w:cs="Times New Roman"/>
                <w:bCs/>
                <w:lang w:eastAsia="ru-RU"/>
              </w:rPr>
              <w:t>2600</w:t>
            </w:r>
          </w:p>
        </w:tc>
      </w:tr>
      <w:tr w:rsidR="00DF524E" w14:paraId="5BA8CD42" w14:textId="77777777" w:rsidTr="00DF524E">
        <w:trPr>
          <w:trHeight w:val="64"/>
          <w:jc w:val="center"/>
        </w:trPr>
        <w:tc>
          <w:tcPr>
            <w:tcW w:w="562" w:type="dxa"/>
            <w:vAlign w:val="center"/>
          </w:tcPr>
          <w:p w14:paraId="5EE2CA81" w14:textId="77777777" w:rsid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84" w:type="dxa"/>
            <w:vAlign w:val="center"/>
          </w:tcPr>
          <w:p w14:paraId="11D22EC5" w14:textId="6823812C" w:rsidR="00DF524E" w:rsidRPr="00DF524E" w:rsidRDefault="00DF524E" w:rsidP="00DF524E">
            <w:pPr>
              <w:shd w:val="clear" w:color="auto" w:fill="FFFFFF"/>
              <w:spacing w:after="0" w:line="240" w:lineRule="auto"/>
              <w:ind w:left="0" w:hanging="2"/>
              <w:jc w:val="center"/>
              <w:outlineLvl w:val="1"/>
              <w:rPr>
                <w:rFonts w:ascii="Times New Roman" w:eastAsia="Times New Roman" w:hAnsi="Times New Roman" w:cs="Times New Roman"/>
                <w:bCs/>
                <w:lang w:eastAsia="ru-RU"/>
              </w:rPr>
            </w:pPr>
            <w:r w:rsidRPr="00DF524E">
              <w:rPr>
                <w:rFonts w:ascii="Times New Roman" w:eastAsia="Times New Roman" w:hAnsi="Times New Roman" w:cs="Times New Roman"/>
                <w:bCs/>
                <w:lang w:eastAsia="ru-RU"/>
              </w:rPr>
              <w:t>Бедро курицы замороженное</w:t>
            </w:r>
            <w:r w:rsidR="006C188B">
              <w:rPr>
                <w:rFonts w:ascii="Times New Roman" w:eastAsia="Times New Roman" w:hAnsi="Times New Roman" w:cs="Times New Roman"/>
                <w:bCs/>
                <w:lang w:eastAsia="ru-RU"/>
              </w:rPr>
              <w:t xml:space="preserve">  </w:t>
            </w:r>
          </w:p>
        </w:tc>
        <w:tc>
          <w:tcPr>
            <w:tcW w:w="1418" w:type="dxa"/>
            <w:vAlign w:val="center"/>
          </w:tcPr>
          <w:p w14:paraId="3BEB12BE" w14:textId="2C6C0760" w:rsidR="00DF524E" w:rsidRPr="00DF524E" w:rsidRDefault="00CC120D" w:rsidP="006C188B">
            <w:pPr>
              <w:shd w:val="clear" w:color="auto" w:fill="FFFFFF"/>
              <w:spacing w:after="0" w:line="240" w:lineRule="auto"/>
              <w:ind w:left="0" w:hanging="2"/>
              <w:jc w:val="center"/>
              <w:outlineLvl w:val="1"/>
              <w:rPr>
                <w:rFonts w:ascii="Times New Roman" w:hAnsi="Times New Roman" w:cs="Times New Roman"/>
              </w:rPr>
            </w:pPr>
            <w:r>
              <w:rPr>
                <w:rFonts w:ascii="Times New Roman" w:hAnsi="Times New Roman" w:cs="Times New Roman"/>
              </w:rPr>
              <w:t xml:space="preserve">10.12.10.110 </w:t>
            </w:r>
          </w:p>
        </w:tc>
        <w:tc>
          <w:tcPr>
            <w:tcW w:w="4394" w:type="dxa"/>
            <w:vAlign w:val="center"/>
          </w:tcPr>
          <w:p w14:paraId="443AE14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Соответствует требованиям ГОСТ 31962-2013 «Мясо кур (Тушки кур, цыплят, цыплят-бройлеров и их части). Технические условия» и/или ГОСТ Р 52306-2005 Мясо птицы (тушки цыплят, цыплят-бройлеров и их разделанные части) для детского питания. Технические условия</w:t>
            </w:r>
          </w:p>
          <w:p w14:paraId="21E17454"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Термическое состояние: замороженное</w:t>
            </w:r>
          </w:p>
          <w:p w14:paraId="613886F1"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Сорт: не ниже 1</w:t>
            </w:r>
          </w:p>
          <w:p w14:paraId="509DAFE1"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Запах: свойственный свежему мясу данного вида птицы.</w:t>
            </w:r>
          </w:p>
          <w:p w14:paraId="4C712CE5"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Цвет:</w:t>
            </w:r>
          </w:p>
          <w:p w14:paraId="2CD42515"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мышечной ткани: от бледно-розового до розового</w:t>
            </w:r>
          </w:p>
          <w:p w14:paraId="619F72F0"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подкожного и внутреннего жира: бледно-желтый или желтый</w:t>
            </w:r>
          </w:p>
          <w:p w14:paraId="3D095900"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кожи: бледно-желтый с розовым оттенком или без него</w:t>
            </w:r>
          </w:p>
          <w:p w14:paraId="2AA8197C"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lastRenderedPageBreak/>
              <w:t>Состояние кожи: кожа чистая, без разрывов, царапин, пятен, ссадин и кровоподтеков.</w:t>
            </w:r>
          </w:p>
          <w:p w14:paraId="0DE684A3"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Не допускается наличие посторонних запахов, обнаженных костей, видимых кровяных сгустков, холодильных ожогов, пятен от разлитой желчи, волосовидного пера.</w:t>
            </w:r>
          </w:p>
          <w:p w14:paraId="5F7B2BD8"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Предоставление сертификата соответствия на продукцию и ветеринарное свидетельство обязательно.</w:t>
            </w:r>
          </w:p>
          <w:p w14:paraId="134DD404"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Продукты не должны содержать генно-инженерно-модифицированные организмы (ГМО).</w:t>
            </w:r>
          </w:p>
          <w:p w14:paraId="2BCB4910"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Упаковка: предназначенная и соответствующая стандартам для данной продукции.</w:t>
            </w:r>
          </w:p>
          <w:p w14:paraId="30BEB9B7" w14:textId="4E1B3205"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rPr>
            </w:pPr>
            <w:r w:rsidRPr="00DF524E">
              <w:rPr>
                <w:rFonts w:ascii="Times New Roman" w:eastAsia="Times New Roman" w:hAnsi="Times New Roman" w:cs="Times New Roman"/>
                <w:color w:val="000000"/>
                <w:lang w:val="ru"/>
              </w:rPr>
              <w:t>Фасовка: не более 1</w:t>
            </w:r>
            <w:r w:rsidR="00D31979">
              <w:rPr>
                <w:rFonts w:ascii="Times New Roman" w:eastAsia="Times New Roman" w:hAnsi="Times New Roman" w:cs="Times New Roman"/>
                <w:color w:val="000000"/>
                <w:lang w:val="ru"/>
              </w:rPr>
              <w:t>5</w:t>
            </w:r>
            <w:r w:rsidRPr="00DF524E">
              <w:rPr>
                <w:rFonts w:ascii="Times New Roman" w:eastAsia="Times New Roman" w:hAnsi="Times New Roman" w:cs="Times New Roman"/>
                <w:color w:val="000000"/>
                <w:lang w:val="ru"/>
              </w:rPr>
              <w:t xml:space="preserve"> кг</w:t>
            </w:r>
          </w:p>
        </w:tc>
        <w:tc>
          <w:tcPr>
            <w:tcW w:w="709" w:type="dxa"/>
            <w:vAlign w:val="center"/>
          </w:tcPr>
          <w:p w14:paraId="1FE75F3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sidRPr="00DF524E">
              <w:rPr>
                <w:rFonts w:ascii="Times New Roman" w:eastAsia="Times New Roman" w:hAnsi="Times New Roman" w:cs="Times New Roman"/>
                <w:color w:val="000000"/>
              </w:rPr>
              <w:lastRenderedPageBreak/>
              <w:t>кг</w:t>
            </w:r>
          </w:p>
        </w:tc>
        <w:tc>
          <w:tcPr>
            <w:tcW w:w="956" w:type="dxa"/>
            <w:vAlign w:val="center"/>
          </w:tcPr>
          <w:p w14:paraId="0A3CDAF6" w14:textId="77777777" w:rsidR="00DF524E" w:rsidRPr="00DF524E" w:rsidRDefault="00DF524E" w:rsidP="00DF524E">
            <w:pPr>
              <w:spacing w:after="0" w:line="240" w:lineRule="auto"/>
              <w:ind w:left="0" w:hanging="2"/>
              <w:jc w:val="center"/>
              <w:rPr>
                <w:rFonts w:ascii="Times New Roman" w:eastAsia="Times New Roman" w:hAnsi="Times New Roman" w:cs="Times New Roman"/>
                <w:bCs/>
                <w:lang w:eastAsia="ru-RU"/>
              </w:rPr>
            </w:pPr>
            <w:r w:rsidRPr="00DF524E">
              <w:rPr>
                <w:rFonts w:ascii="Times New Roman" w:eastAsia="Times New Roman" w:hAnsi="Times New Roman" w:cs="Times New Roman"/>
                <w:bCs/>
                <w:lang w:eastAsia="ru-RU"/>
              </w:rPr>
              <w:t>600</w:t>
            </w:r>
          </w:p>
        </w:tc>
      </w:tr>
      <w:tr w:rsidR="00DF524E" w14:paraId="464994CF" w14:textId="77777777" w:rsidTr="00DF524E">
        <w:trPr>
          <w:trHeight w:val="64"/>
          <w:jc w:val="center"/>
        </w:trPr>
        <w:tc>
          <w:tcPr>
            <w:tcW w:w="562" w:type="dxa"/>
            <w:vAlign w:val="center"/>
          </w:tcPr>
          <w:p w14:paraId="75D73829" w14:textId="77777777" w:rsid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984" w:type="dxa"/>
            <w:vAlign w:val="center"/>
          </w:tcPr>
          <w:p w14:paraId="7BD53954" w14:textId="7AC080AB" w:rsidR="00DF524E" w:rsidRPr="00DF524E" w:rsidRDefault="00DF524E" w:rsidP="00DF524E">
            <w:pPr>
              <w:shd w:val="clear" w:color="auto" w:fill="FFFFFF"/>
              <w:spacing w:after="0" w:line="240" w:lineRule="auto"/>
              <w:ind w:left="0" w:hanging="2"/>
              <w:jc w:val="center"/>
              <w:outlineLvl w:val="1"/>
              <w:rPr>
                <w:rFonts w:ascii="Times New Roman" w:eastAsia="Times New Roman" w:hAnsi="Times New Roman" w:cs="Times New Roman"/>
                <w:bCs/>
                <w:lang w:eastAsia="ru-RU"/>
              </w:rPr>
            </w:pPr>
            <w:r w:rsidRPr="00DF524E">
              <w:rPr>
                <w:rFonts w:ascii="Times New Roman" w:eastAsia="Times New Roman" w:hAnsi="Times New Roman" w:cs="Times New Roman"/>
                <w:bCs/>
                <w:lang w:eastAsia="ru-RU"/>
              </w:rPr>
              <w:t>Цыпленок-бройлер</w:t>
            </w:r>
            <w:r w:rsidR="006C188B">
              <w:rPr>
                <w:rFonts w:ascii="Times New Roman" w:eastAsia="Times New Roman" w:hAnsi="Times New Roman" w:cs="Times New Roman"/>
                <w:bCs/>
                <w:lang w:eastAsia="ru-RU"/>
              </w:rPr>
              <w:t xml:space="preserve">  </w:t>
            </w:r>
          </w:p>
        </w:tc>
        <w:tc>
          <w:tcPr>
            <w:tcW w:w="1418" w:type="dxa"/>
            <w:vAlign w:val="center"/>
          </w:tcPr>
          <w:p w14:paraId="3E054B1E" w14:textId="77777777" w:rsidR="00DF524E" w:rsidRPr="00DF524E" w:rsidRDefault="00CC120D" w:rsidP="00DF524E">
            <w:pPr>
              <w:spacing w:after="0" w:line="240" w:lineRule="auto"/>
              <w:ind w:left="0" w:hanging="2"/>
              <w:rPr>
                <w:rFonts w:ascii="Times New Roman" w:hAnsi="Times New Roman" w:cs="Times New Roman"/>
              </w:rPr>
            </w:pPr>
            <w:r>
              <w:rPr>
                <w:rFonts w:ascii="Times New Roman" w:eastAsia="Times New Roman" w:hAnsi="Times New Roman" w:cs="Times New Roman"/>
                <w:bCs/>
                <w:lang w:eastAsia="ru-RU"/>
              </w:rPr>
              <w:t xml:space="preserve">10.12.20.110 </w:t>
            </w:r>
          </w:p>
        </w:tc>
        <w:tc>
          <w:tcPr>
            <w:tcW w:w="4394" w:type="dxa"/>
            <w:vAlign w:val="center"/>
          </w:tcPr>
          <w:p w14:paraId="6C1FA49F"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Соответствует требованиям ГОСТ 31962-2013 «Мясо кур (Тушки кур, цыплят, цыплят-бройлеров и их части). Технические условия» и/или ГОСТ Р 52306-2005 Мясо птицы (тушки цыплят, цыплят-бройлеров и их разделанные части) для детского питания. Технические условия</w:t>
            </w:r>
          </w:p>
          <w:p w14:paraId="14FB6917"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Назначение: для детского питания (для детей дошкольного возраста)</w:t>
            </w:r>
          </w:p>
          <w:p w14:paraId="0BFB5E9E"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Термическое состояние: замороженное</w:t>
            </w:r>
          </w:p>
          <w:p w14:paraId="45697CE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Сорт: не ниже 1</w:t>
            </w:r>
          </w:p>
          <w:p w14:paraId="7AE9C23E"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Упитанность: Мышцы развиты хорошо. Форма груди округлая. Киль грудной кости не выделяется. Отложения подкожного жира на груди, животе и в виде сплошной полосы на спине.</w:t>
            </w:r>
          </w:p>
          <w:p w14:paraId="74CDCF4A"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Запах: свойственный свежему мясу данного вида птицы.</w:t>
            </w:r>
          </w:p>
          <w:p w14:paraId="16963303"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Цвет:</w:t>
            </w:r>
          </w:p>
          <w:p w14:paraId="1B2FA793"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мышечной ткани: от бледно-розового до розового</w:t>
            </w:r>
          </w:p>
          <w:p w14:paraId="0E3C6FB2"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подкожного и внутреннего жира: бледно-желтый или желтый</w:t>
            </w:r>
          </w:p>
          <w:p w14:paraId="3F95C978"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Предоставление сертификата соответствия на продукцию и ветеринарное свидетельство обязательно.</w:t>
            </w:r>
          </w:p>
          <w:p w14:paraId="705ED735"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Продукты не должны содержать генно-инженерно-модифицированные организмы (ГМО).</w:t>
            </w:r>
          </w:p>
          <w:p w14:paraId="01730B90"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rPr>
            </w:pPr>
            <w:r w:rsidRPr="00DF524E">
              <w:rPr>
                <w:rFonts w:ascii="Times New Roman" w:eastAsia="Times New Roman" w:hAnsi="Times New Roman" w:cs="Times New Roman"/>
                <w:color w:val="000000"/>
                <w:lang w:val="ru"/>
              </w:rPr>
              <w:t>Упаковка: предназначенная и соответствующая стандартам для данной продукции</w:t>
            </w:r>
          </w:p>
        </w:tc>
        <w:tc>
          <w:tcPr>
            <w:tcW w:w="709" w:type="dxa"/>
            <w:vAlign w:val="center"/>
          </w:tcPr>
          <w:p w14:paraId="358F37CE" w14:textId="77777777" w:rsidR="00DF524E" w:rsidRPr="00DF524E" w:rsidRDefault="00DF524E" w:rsidP="00DF524E">
            <w:pPr>
              <w:spacing w:after="0" w:line="240" w:lineRule="auto"/>
              <w:ind w:left="0" w:hanging="2"/>
              <w:rPr>
                <w:rFonts w:ascii="Times New Roman" w:hAnsi="Times New Roman" w:cs="Times New Roman"/>
              </w:rPr>
            </w:pPr>
            <w:r w:rsidRPr="00DF524E">
              <w:rPr>
                <w:rFonts w:ascii="Times New Roman" w:eastAsia="Times New Roman" w:hAnsi="Times New Roman" w:cs="Times New Roman"/>
                <w:color w:val="000000"/>
              </w:rPr>
              <w:t>кг</w:t>
            </w:r>
          </w:p>
        </w:tc>
        <w:tc>
          <w:tcPr>
            <w:tcW w:w="956" w:type="dxa"/>
            <w:vAlign w:val="center"/>
          </w:tcPr>
          <w:p w14:paraId="525C9EEC" w14:textId="77777777" w:rsidR="00DF524E" w:rsidRPr="00DF524E" w:rsidRDefault="00DF524E" w:rsidP="00DF524E">
            <w:pPr>
              <w:spacing w:after="0" w:line="240" w:lineRule="auto"/>
              <w:ind w:left="0" w:hanging="2"/>
              <w:jc w:val="center"/>
              <w:rPr>
                <w:rFonts w:ascii="Times New Roman" w:eastAsia="Times New Roman" w:hAnsi="Times New Roman" w:cs="Times New Roman"/>
                <w:bCs/>
                <w:lang w:eastAsia="ru-RU"/>
              </w:rPr>
            </w:pPr>
            <w:r w:rsidRPr="00DF524E">
              <w:rPr>
                <w:rFonts w:ascii="Times New Roman" w:eastAsia="Times New Roman" w:hAnsi="Times New Roman" w:cs="Times New Roman"/>
                <w:bCs/>
                <w:lang w:eastAsia="ru-RU"/>
              </w:rPr>
              <w:t xml:space="preserve">260 </w:t>
            </w:r>
          </w:p>
        </w:tc>
      </w:tr>
      <w:tr w:rsidR="00DF524E" w14:paraId="18426BBE" w14:textId="77777777" w:rsidTr="00DF524E">
        <w:trPr>
          <w:trHeight w:val="64"/>
          <w:jc w:val="center"/>
        </w:trPr>
        <w:tc>
          <w:tcPr>
            <w:tcW w:w="562" w:type="dxa"/>
            <w:vAlign w:val="center"/>
          </w:tcPr>
          <w:p w14:paraId="0FDE9135" w14:textId="77777777" w:rsid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84" w:type="dxa"/>
            <w:vAlign w:val="center"/>
          </w:tcPr>
          <w:p w14:paraId="5D31AA89" w14:textId="177CCE15" w:rsidR="00DF524E" w:rsidRPr="00DF524E" w:rsidRDefault="00DF524E" w:rsidP="00DF524E">
            <w:pPr>
              <w:spacing w:after="0" w:line="240" w:lineRule="auto"/>
              <w:ind w:left="0" w:hanging="2"/>
              <w:jc w:val="center"/>
              <w:rPr>
                <w:rFonts w:ascii="Times New Roman" w:eastAsia="Times New Roman" w:hAnsi="Times New Roman" w:cs="Times New Roman"/>
                <w:bCs/>
                <w:color w:val="000000"/>
                <w:lang w:eastAsia="ru-RU"/>
              </w:rPr>
            </w:pPr>
            <w:r w:rsidRPr="00DF524E">
              <w:rPr>
                <w:rFonts w:ascii="Times New Roman" w:eastAsia="Times New Roman" w:hAnsi="Times New Roman" w:cs="Times New Roman"/>
                <w:bCs/>
                <w:color w:val="000000"/>
                <w:lang w:eastAsia="ru-RU"/>
              </w:rPr>
              <w:t>Филе куриное замороженное</w:t>
            </w:r>
            <w:r w:rsidR="006C188B">
              <w:rPr>
                <w:rFonts w:ascii="Times New Roman" w:eastAsia="Times New Roman" w:hAnsi="Times New Roman" w:cs="Times New Roman"/>
                <w:bCs/>
                <w:color w:val="000000"/>
                <w:lang w:eastAsia="ru-RU"/>
              </w:rPr>
              <w:t xml:space="preserve">  </w:t>
            </w:r>
          </w:p>
        </w:tc>
        <w:tc>
          <w:tcPr>
            <w:tcW w:w="1418" w:type="dxa"/>
            <w:vAlign w:val="center"/>
          </w:tcPr>
          <w:p w14:paraId="55683631" w14:textId="77777777" w:rsidR="00DF524E" w:rsidRPr="00DF524E" w:rsidRDefault="00CC120D" w:rsidP="00DF524E">
            <w:pPr>
              <w:spacing w:after="0" w:line="240" w:lineRule="auto"/>
              <w:ind w:left="0" w:hanging="2"/>
              <w:rPr>
                <w:rFonts w:ascii="Times New Roman" w:hAnsi="Times New Roman" w:cs="Times New Roman"/>
              </w:rPr>
            </w:pPr>
            <w:r>
              <w:rPr>
                <w:rFonts w:ascii="Times New Roman" w:eastAsia="Times New Roman" w:hAnsi="Times New Roman" w:cs="Times New Roman"/>
                <w:bCs/>
                <w:lang w:eastAsia="ru-RU"/>
              </w:rPr>
              <w:t xml:space="preserve">10.12.20.110 </w:t>
            </w:r>
          </w:p>
        </w:tc>
        <w:tc>
          <w:tcPr>
            <w:tcW w:w="4394" w:type="dxa"/>
            <w:vAlign w:val="center"/>
          </w:tcPr>
          <w:p w14:paraId="19F3C946"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Соответствует требованиям ГОСТ 31962-2013 «Мясо кур (Тушки кур, цыплят, цыплят-бройлеров и их части). Технические условия» и/или ГОСТ Р 52306-2005 Мясо птицы (тушки цыплят, цыплят-бройлеров и их разделанные части) для детского питания. Технические условия</w:t>
            </w:r>
          </w:p>
          <w:p w14:paraId="387D433E"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Термическое состояние: замороженная</w:t>
            </w:r>
          </w:p>
          <w:p w14:paraId="38897FEF"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Разделка: филе</w:t>
            </w:r>
          </w:p>
          <w:p w14:paraId="0DFDC892"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Сорт: не ниже 1</w:t>
            </w:r>
          </w:p>
          <w:p w14:paraId="5C044D3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Упитанность: Мышцы развиты хорошо. Форма груди округлая. Отложения подкожного жира на груди, животе и в виде сплошной полосы на спине.</w:t>
            </w:r>
          </w:p>
          <w:p w14:paraId="2C1368C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Запах: свойственный свежему мясу данного вида птицы.</w:t>
            </w:r>
          </w:p>
          <w:p w14:paraId="7FA7C221"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Цвет:</w:t>
            </w:r>
          </w:p>
          <w:p w14:paraId="61CF6765"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мышечной ткани: от бледно-розового до розового</w:t>
            </w:r>
          </w:p>
          <w:p w14:paraId="6CBE6DD2"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 подкожного и внутреннего жира: бледно-желтый или желтый</w:t>
            </w:r>
          </w:p>
          <w:p w14:paraId="60881337"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Предоставление сертификата соответствия на продукцию и ветеринарное свидетельство обязательно.</w:t>
            </w:r>
          </w:p>
          <w:p w14:paraId="5F55FD9E"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lang w:val="ru"/>
              </w:rPr>
            </w:pPr>
            <w:r w:rsidRPr="00DF524E">
              <w:rPr>
                <w:rFonts w:ascii="Times New Roman" w:eastAsia="Times New Roman" w:hAnsi="Times New Roman" w:cs="Times New Roman"/>
                <w:color w:val="000000"/>
                <w:lang w:val="ru"/>
              </w:rPr>
              <w:t>Продукты не должны содержать генно-инженерно-модифицированные организмы (ГМО).</w:t>
            </w:r>
          </w:p>
          <w:p w14:paraId="00EF9209" w14:textId="77777777" w:rsidR="00DF524E" w:rsidRPr="00DF524E" w:rsidRDefault="00DF524E" w:rsidP="00DF52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rPr>
                <w:rFonts w:ascii="Times New Roman" w:eastAsia="Times New Roman" w:hAnsi="Times New Roman" w:cs="Times New Roman"/>
                <w:color w:val="000000"/>
              </w:rPr>
            </w:pPr>
            <w:r w:rsidRPr="00DF524E">
              <w:rPr>
                <w:rFonts w:ascii="Times New Roman" w:eastAsia="Times New Roman" w:hAnsi="Times New Roman" w:cs="Times New Roman"/>
                <w:color w:val="000000"/>
                <w:lang w:val="ru"/>
              </w:rPr>
              <w:t>Упаковка: предназначенная и соответствующая стандартам для данной продукции</w:t>
            </w:r>
          </w:p>
        </w:tc>
        <w:tc>
          <w:tcPr>
            <w:tcW w:w="709" w:type="dxa"/>
            <w:vAlign w:val="center"/>
          </w:tcPr>
          <w:p w14:paraId="01C20B83" w14:textId="77777777" w:rsidR="00DF524E" w:rsidRPr="00DF524E" w:rsidRDefault="00DF524E" w:rsidP="00DF524E">
            <w:pPr>
              <w:spacing w:after="0" w:line="240" w:lineRule="auto"/>
              <w:ind w:left="0" w:hanging="2"/>
              <w:rPr>
                <w:rFonts w:ascii="Times New Roman" w:hAnsi="Times New Roman" w:cs="Times New Roman"/>
              </w:rPr>
            </w:pPr>
            <w:r w:rsidRPr="00DF524E">
              <w:rPr>
                <w:rFonts w:ascii="Times New Roman" w:eastAsia="Times New Roman" w:hAnsi="Times New Roman" w:cs="Times New Roman"/>
                <w:color w:val="000000"/>
              </w:rPr>
              <w:t>кг</w:t>
            </w:r>
          </w:p>
        </w:tc>
        <w:tc>
          <w:tcPr>
            <w:tcW w:w="956" w:type="dxa"/>
            <w:vAlign w:val="center"/>
          </w:tcPr>
          <w:p w14:paraId="0C404276" w14:textId="77777777" w:rsidR="00DF524E" w:rsidRPr="00DF524E" w:rsidRDefault="00DF524E" w:rsidP="00DF524E">
            <w:pPr>
              <w:spacing w:after="0" w:line="240" w:lineRule="auto"/>
              <w:ind w:left="0" w:hanging="2"/>
              <w:jc w:val="center"/>
              <w:rPr>
                <w:rFonts w:ascii="Times New Roman" w:eastAsia="Times New Roman" w:hAnsi="Times New Roman" w:cs="Times New Roman"/>
                <w:bCs/>
                <w:color w:val="000000"/>
                <w:lang w:eastAsia="ru-RU"/>
              </w:rPr>
            </w:pPr>
            <w:r w:rsidRPr="00DF524E">
              <w:rPr>
                <w:rFonts w:ascii="Times New Roman" w:eastAsia="Times New Roman" w:hAnsi="Times New Roman" w:cs="Times New Roman"/>
                <w:bCs/>
                <w:color w:val="000000"/>
                <w:lang w:eastAsia="ru-RU"/>
              </w:rPr>
              <w:t xml:space="preserve">2800 </w:t>
            </w:r>
          </w:p>
        </w:tc>
      </w:tr>
    </w:tbl>
    <w:p w14:paraId="472C0C12" w14:textId="77777777" w:rsidR="005A5406" w:rsidRDefault="005A5406">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highlight w:val="yellow"/>
        </w:rPr>
      </w:pPr>
    </w:p>
    <w:p w14:paraId="7FD7EA2C" w14:textId="77777777" w:rsidR="005A5406" w:rsidRPr="00F158B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35383B"/>
        </w:rPr>
      </w:pPr>
      <w:r w:rsidRPr="00F158B6">
        <w:rPr>
          <w:rFonts w:ascii="Times New Roman" w:eastAsia="Times New Roman" w:hAnsi="Times New Roman" w:cs="Times New Roman"/>
          <w:b/>
          <w:bCs/>
          <w:color w:val="000000"/>
        </w:rPr>
        <w:t>2. Место поставки:</w:t>
      </w:r>
      <w:r w:rsidRPr="00F158B6">
        <w:rPr>
          <w:rFonts w:ascii="Times New Roman" w:eastAsia="Times New Roman" w:hAnsi="Times New Roman" w:cs="Times New Roman"/>
          <w:color w:val="000000"/>
        </w:rPr>
        <w:t xml:space="preserve"> 660130, Красноярский край, город Красноярск, Елены Стасовой ул., д. 28.</w:t>
      </w:r>
    </w:p>
    <w:p w14:paraId="193F9FCF" w14:textId="316776A3" w:rsidR="005A5406" w:rsidRPr="00F158B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sidRPr="00F158B6">
        <w:rPr>
          <w:rFonts w:ascii="Times New Roman" w:eastAsia="Times New Roman" w:hAnsi="Times New Roman" w:cs="Times New Roman"/>
          <w:b/>
          <w:bCs/>
          <w:color w:val="000000"/>
        </w:rPr>
        <w:t>3. Период поставки товара:</w:t>
      </w:r>
      <w:r w:rsidR="00DF524E" w:rsidRPr="00F158B6">
        <w:t xml:space="preserve"> </w:t>
      </w:r>
      <w:r w:rsidR="00DF524E" w:rsidRPr="00F158B6">
        <w:rPr>
          <w:rFonts w:ascii="Times New Roman" w:eastAsia="Times New Roman" w:hAnsi="Times New Roman" w:cs="Times New Roman"/>
          <w:color w:val="000000"/>
        </w:rPr>
        <w:t>с 01.01.2027 по 3</w:t>
      </w:r>
      <w:r w:rsidR="00A8345E" w:rsidRPr="00F158B6">
        <w:rPr>
          <w:rFonts w:ascii="Times New Roman" w:eastAsia="Times New Roman" w:hAnsi="Times New Roman" w:cs="Times New Roman"/>
          <w:color w:val="000000"/>
        </w:rPr>
        <w:t>1</w:t>
      </w:r>
      <w:r w:rsidR="00DF524E" w:rsidRPr="00F158B6">
        <w:rPr>
          <w:rFonts w:ascii="Times New Roman" w:eastAsia="Times New Roman" w:hAnsi="Times New Roman" w:cs="Times New Roman"/>
          <w:color w:val="000000"/>
        </w:rPr>
        <w:t>.</w:t>
      </w:r>
      <w:r w:rsidR="00A8345E" w:rsidRPr="00F158B6">
        <w:rPr>
          <w:rFonts w:ascii="Times New Roman" w:eastAsia="Times New Roman" w:hAnsi="Times New Roman" w:cs="Times New Roman"/>
          <w:color w:val="000000"/>
        </w:rPr>
        <w:t>12</w:t>
      </w:r>
      <w:r w:rsidR="00DF524E" w:rsidRPr="00F158B6">
        <w:rPr>
          <w:rFonts w:ascii="Times New Roman" w:eastAsia="Times New Roman" w:hAnsi="Times New Roman" w:cs="Times New Roman"/>
          <w:color w:val="000000"/>
        </w:rPr>
        <w:t>.2027 года, согласно заявкам Заказчика</w:t>
      </w:r>
    </w:p>
    <w:p w14:paraId="38E28B8F" w14:textId="77777777" w:rsidR="005A5406" w:rsidRPr="00F158B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sidRPr="00F158B6">
        <w:rPr>
          <w:rFonts w:ascii="Times New Roman" w:eastAsia="Times New Roman" w:hAnsi="Times New Roman" w:cs="Times New Roman"/>
          <w:color w:val="000000"/>
        </w:rPr>
        <w:t>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чем за сутки до дня поставки.</w:t>
      </w:r>
    </w:p>
    <w:p w14:paraId="6610D21A"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sidRPr="00F158B6">
        <w:rPr>
          <w:rFonts w:ascii="Times New Roman" w:eastAsia="Times New Roman" w:hAnsi="Times New Roman" w:cs="Times New Roman"/>
          <w:b/>
          <w:bCs/>
          <w:color w:val="000000"/>
        </w:rPr>
        <w:t>4. Требования к безопасности, качеству, к функциональным характеристикам (потребительским</w:t>
      </w:r>
      <w:r>
        <w:rPr>
          <w:rFonts w:ascii="Times New Roman" w:eastAsia="Times New Roman" w:hAnsi="Times New Roman" w:cs="Times New Roman"/>
          <w:b/>
          <w:bCs/>
          <w:color w:val="000000"/>
        </w:rPr>
        <w:t xml:space="preserve"> свойствам) товара, требования к упаковке поставляемого товара:</w:t>
      </w:r>
    </w:p>
    <w:p w14:paraId="2E591187"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 Качество и безопасность поставляемого товара должны соответствовать требованиям и нормам, установленным: </w:t>
      </w:r>
    </w:p>
    <w:p w14:paraId="2A0238F8"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Федеральным законом от 02.01.2000 № 29-ФЗ «О качестве и безопасности пищевых продуктов»;</w:t>
      </w:r>
    </w:p>
    <w:p w14:paraId="32503C2A"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Федеральным закон от 30.03.1999 № 52-ФЗ «О санитарно-эпидемиологическом благополучии населения»;</w:t>
      </w:r>
    </w:p>
    <w:p w14:paraId="4B20E854"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СанПиН 2.3.2.1324-03 «Гигиенические требования к срокам годности и условиям хранения пищевых продуктов»;</w:t>
      </w:r>
    </w:p>
    <w:p w14:paraId="487DCCE3"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СанПиН 2.3.2.1078-01 «Гигиенические требования к безопасности и пищевой ценности пищевых продуктов»;</w:t>
      </w:r>
    </w:p>
    <w:p w14:paraId="1D29E94C"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СП 2.4.3648-20 «Санитарно-эпидемиологические требования к организациям воспитания и обучения, отдыха и оздоровления детей и молодежи»;</w:t>
      </w:r>
    </w:p>
    <w:p w14:paraId="6BE7D15D"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757C4F0"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021/2011 «О безопасности пищевой продукции»;</w:t>
      </w:r>
    </w:p>
    <w:p w14:paraId="3D2AF13F"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022/2011 «Пищевая продукция в части ее маркировки»;</w:t>
      </w:r>
    </w:p>
    <w:p w14:paraId="3375D15C"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ТС 005/2011 «О безопасности упаковки»;</w:t>
      </w:r>
    </w:p>
    <w:p w14:paraId="49ED773C"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ТР ЕАЭС 051/2021 «О безопасности мяса птицы и продукции его переработки»;</w:t>
      </w:r>
    </w:p>
    <w:p w14:paraId="36041735"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55FB20FF"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1E2DC130"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142"/>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ГОСТ Р 51074-2003 «Продукты пищевые. Информация для потребителя. Общие требования», технического регламента Таможенного союза ТР ТС 022/2011 «Пищевая продукция в части ее маркировки».</w:t>
      </w:r>
    </w:p>
    <w:p w14:paraId="5C590D27"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5F5A6C47"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4.5. Ветеринарные сопроводительные документы на товар должны быть оформлены в соответствии с Приказом Минсельхоза РФ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2AF8DB34"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5. Требования к сроку и (или) объему предоставления гарантий качества товаров:</w:t>
      </w:r>
    </w:p>
    <w:p w14:paraId="27FE1396"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9423616"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5.2. Наличие недостатков и сроки их устранения фиксируются Сторонами в двухстороннем акте выявленных недостатков.</w:t>
      </w:r>
    </w:p>
    <w:p w14:paraId="5C21C69A" w14:textId="77777777" w:rsidR="005A5406" w:rsidRPr="00F158B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r w:rsidRPr="00F158B6">
        <w:rPr>
          <w:rFonts w:ascii="Times New Roman" w:eastAsia="Times New Roman" w:hAnsi="Times New Roman" w:cs="Times New Roman"/>
          <w:color w:val="000000"/>
        </w:rPr>
        <w:t>3. Остаточный срок годности: не менее 70% от установленного производителем.</w:t>
      </w:r>
    </w:p>
    <w:p w14:paraId="16CCEF45"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sidRPr="00F158B6">
        <w:rPr>
          <w:rFonts w:ascii="Times New Roman" w:eastAsia="Times New Roman" w:hAnsi="Times New Roman" w:cs="Times New Roman"/>
          <w:b/>
          <w:bCs/>
          <w:color w:val="000000"/>
        </w:rPr>
        <w:t>6. Требования к условиям поставки товара, отгрузке товара:</w:t>
      </w:r>
      <w:bookmarkStart w:id="0" w:name="_GoBack"/>
      <w:bookmarkEnd w:id="0"/>
    </w:p>
    <w:p w14:paraId="4F03DE11"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626B0E43"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400F033F"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1AFC58BD"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 Товар должен сопровождаться следующими документами:</w:t>
      </w:r>
    </w:p>
    <w:p w14:paraId="5DE4FDC2"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товарная накладная (ТОРГ-12) или УПД (оригиналы);</w:t>
      </w:r>
    </w:p>
    <w:p w14:paraId="34E7F709"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счет на оплату (оригиналы);</w:t>
      </w:r>
    </w:p>
    <w:p w14:paraId="41FCDBE7"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счет-фактура или УПД (оригиналы);</w:t>
      </w:r>
    </w:p>
    <w:p w14:paraId="1C8CF946"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копия сертификата соответствия или декларации соответствия.</w:t>
      </w:r>
    </w:p>
    <w:p w14:paraId="6743A96D" w14:textId="77777777"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14:paraId="6D5772A9" w14:textId="77777777" w:rsidR="005A5406" w:rsidRDefault="005A5406">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left="0" w:hanging="2"/>
        <w:jc w:val="both"/>
        <w:rPr>
          <w:rFonts w:ascii="Times New Roman" w:eastAsia="Times New Roman" w:hAnsi="Times New Roman" w:cs="Times New Roman"/>
          <w:color w:val="000000"/>
        </w:rPr>
      </w:pPr>
    </w:p>
    <w:p w14:paraId="4ED6A372" w14:textId="77777777" w:rsidR="005A5406" w:rsidRDefault="00263E3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sectPr w:rsidR="005A5406">
      <w:footerReference w:type="default" r:id="rId8"/>
      <w:pgSz w:w="11906" w:h="16838"/>
      <w:pgMar w:top="426" w:right="794" w:bottom="851" w:left="1361"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0901E" w14:textId="77777777" w:rsidR="002C7619" w:rsidRDefault="002C7619">
      <w:pPr>
        <w:spacing w:after="0" w:line="240" w:lineRule="auto"/>
        <w:ind w:left="0" w:hanging="2"/>
      </w:pPr>
      <w:r>
        <w:separator/>
      </w:r>
    </w:p>
  </w:endnote>
  <w:endnote w:type="continuationSeparator" w:id="0">
    <w:p w14:paraId="60859C89" w14:textId="77777777" w:rsidR="002C7619" w:rsidRDefault="002C761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2CA0F" w14:textId="5BE8A004" w:rsidR="005A5406" w:rsidRDefault="00263E3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left="0" w:hanging="2"/>
      <w:jc w:val="center"/>
      <w:rPr>
        <w:color w:val="000000"/>
        <w:sz w:val="20"/>
        <w:szCs w:val="20"/>
      </w:rPr>
    </w:pPr>
    <w:r>
      <w:rPr>
        <w:color w:val="000000"/>
        <w:sz w:val="20"/>
        <w:szCs w:val="20"/>
      </w:rPr>
      <w:t xml:space="preserve">Страница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FA4FBF">
      <w:rPr>
        <w:b/>
        <w:bCs/>
        <w:noProof/>
        <w:color w:val="000000"/>
        <w:sz w:val="20"/>
        <w:szCs w:val="20"/>
      </w:rPr>
      <w:t>4</w:t>
    </w:r>
    <w:r>
      <w:rPr>
        <w:b/>
        <w:bCs/>
        <w:color w:val="000000"/>
        <w:sz w:val="20"/>
        <w:szCs w:val="20"/>
      </w:rPr>
      <w:fldChar w:fldCharType="end"/>
    </w:r>
    <w:r>
      <w:rPr>
        <w:color w:val="000000"/>
        <w:sz w:val="20"/>
        <w:szCs w:val="20"/>
      </w:rPr>
      <w:t xml:space="preserve"> из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FA4FBF">
      <w:rPr>
        <w:b/>
        <w:bCs/>
        <w:noProof/>
        <w:color w:val="000000"/>
        <w:sz w:val="20"/>
        <w:szCs w:val="20"/>
      </w:rPr>
      <w:t>4</w:t>
    </w:r>
    <w:r>
      <w:rPr>
        <w:b/>
        <w:bC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204E3" w14:textId="77777777" w:rsidR="002C7619" w:rsidRDefault="002C7619">
      <w:pPr>
        <w:spacing w:after="0" w:line="240" w:lineRule="auto"/>
        <w:ind w:left="0" w:hanging="2"/>
      </w:pPr>
      <w:r>
        <w:separator/>
      </w:r>
    </w:p>
  </w:footnote>
  <w:footnote w:type="continuationSeparator" w:id="0">
    <w:p w14:paraId="09E71D74" w14:textId="77777777" w:rsidR="002C7619" w:rsidRDefault="002C7619">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25573"/>
    <w:multiLevelType w:val="hybridMultilevel"/>
    <w:tmpl w:val="DF044FD2"/>
    <w:lvl w:ilvl="0" w:tplc="A14435AE">
      <w:start w:val="1"/>
      <w:numFmt w:val="decimal"/>
      <w:lvlText w:val="%1."/>
      <w:lvlJc w:val="left"/>
      <w:pPr>
        <w:tabs>
          <w:tab w:val="num" w:pos="720"/>
        </w:tabs>
        <w:ind w:left="720" w:hanging="720"/>
      </w:pPr>
    </w:lvl>
    <w:lvl w:ilvl="1" w:tplc="D9948768">
      <w:start w:val="1"/>
      <w:numFmt w:val="decimal"/>
      <w:pStyle w:val="-"/>
      <w:lvlText w:val="%2."/>
      <w:lvlJc w:val="left"/>
      <w:pPr>
        <w:tabs>
          <w:tab w:val="num" w:pos="1440"/>
        </w:tabs>
        <w:ind w:left="1440" w:hanging="720"/>
      </w:pPr>
    </w:lvl>
    <w:lvl w:ilvl="2" w:tplc="0890D41C">
      <w:start w:val="1"/>
      <w:numFmt w:val="decimal"/>
      <w:pStyle w:val="-0"/>
      <w:lvlText w:val="%3."/>
      <w:lvlJc w:val="left"/>
      <w:pPr>
        <w:tabs>
          <w:tab w:val="num" w:pos="2160"/>
        </w:tabs>
        <w:ind w:left="2160" w:hanging="720"/>
      </w:pPr>
    </w:lvl>
    <w:lvl w:ilvl="3" w:tplc="F290276A">
      <w:start w:val="1"/>
      <w:numFmt w:val="decimal"/>
      <w:lvlText w:val="%4."/>
      <w:lvlJc w:val="left"/>
      <w:pPr>
        <w:tabs>
          <w:tab w:val="num" w:pos="2880"/>
        </w:tabs>
        <w:ind w:left="2880" w:hanging="720"/>
      </w:pPr>
    </w:lvl>
    <w:lvl w:ilvl="4" w:tplc="9B3E1204">
      <w:start w:val="1"/>
      <w:numFmt w:val="decimal"/>
      <w:lvlText w:val="%5."/>
      <w:lvlJc w:val="left"/>
      <w:pPr>
        <w:tabs>
          <w:tab w:val="num" w:pos="3600"/>
        </w:tabs>
        <w:ind w:left="3600" w:hanging="720"/>
      </w:pPr>
    </w:lvl>
    <w:lvl w:ilvl="5" w:tplc="89E0BDC6">
      <w:start w:val="1"/>
      <w:numFmt w:val="decimal"/>
      <w:lvlText w:val="%6."/>
      <w:lvlJc w:val="left"/>
      <w:pPr>
        <w:tabs>
          <w:tab w:val="num" w:pos="4320"/>
        </w:tabs>
        <w:ind w:left="4320" w:hanging="720"/>
      </w:pPr>
    </w:lvl>
    <w:lvl w:ilvl="6" w:tplc="D5A8263A">
      <w:start w:val="1"/>
      <w:numFmt w:val="decimal"/>
      <w:lvlText w:val="%7."/>
      <w:lvlJc w:val="left"/>
      <w:pPr>
        <w:tabs>
          <w:tab w:val="num" w:pos="5040"/>
        </w:tabs>
        <w:ind w:left="5040" w:hanging="720"/>
      </w:pPr>
    </w:lvl>
    <w:lvl w:ilvl="7" w:tplc="C46E2348">
      <w:start w:val="1"/>
      <w:numFmt w:val="decimal"/>
      <w:lvlText w:val="%8."/>
      <w:lvlJc w:val="left"/>
      <w:pPr>
        <w:tabs>
          <w:tab w:val="num" w:pos="5760"/>
        </w:tabs>
        <w:ind w:left="5760" w:hanging="720"/>
      </w:pPr>
    </w:lvl>
    <w:lvl w:ilvl="8" w:tplc="D3645C46">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406"/>
    <w:rsid w:val="00263E3D"/>
    <w:rsid w:val="002C7619"/>
    <w:rsid w:val="005A5406"/>
    <w:rsid w:val="006C188B"/>
    <w:rsid w:val="00A8345E"/>
    <w:rsid w:val="00B85986"/>
    <w:rsid w:val="00C67317"/>
    <w:rsid w:val="00CC120D"/>
    <w:rsid w:val="00CD0911"/>
    <w:rsid w:val="00D31979"/>
    <w:rsid w:val="00DF524E"/>
    <w:rsid w:val="00E927B5"/>
    <w:rsid w:val="00F158B6"/>
    <w:rsid w:val="00FA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CCFA5"/>
  <w15:docId w15:val="{077AC160-4CCA-4790-B70B-E64707A9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pPr>
      <w:spacing w:after="160" w:line="259" w:lineRule="auto"/>
      <w:ind w:left="-1" w:hanging="1"/>
      <w:outlineLvl w:val="0"/>
    </w:pPr>
    <w:rPr>
      <w:position w:val="-1"/>
      <w:sz w:val="22"/>
      <w:szCs w:val="22"/>
      <w:lang w:val="ru-RU" w:eastAsia="en-US"/>
    </w:rPr>
  </w:style>
  <w:style w:type="paragraph" w:styleId="1">
    <w:name w:val="heading 1"/>
    <w:basedOn w:val="a"/>
    <w:next w:val="a"/>
    <w:link w:val="10"/>
    <w:pPr>
      <w:keepNext/>
      <w:keepLines/>
      <w:spacing w:before="480" w:after="120"/>
    </w:pPr>
    <w:rPr>
      <w:b/>
      <w:bCs/>
      <w:sz w:val="48"/>
      <w:szCs w:val="48"/>
    </w:rPr>
  </w:style>
  <w:style w:type="paragraph" w:styleId="2">
    <w:name w:val="heading 2"/>
    <w:basedOn w:val="a"/>
    <w:next w:val="a"/>
    <w:link w:val="21"/>
    <w:qFormat/>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pPr>
      <w:keepNext/>
      <w:keepLines/>
      <w:spacing w:before="280" w:after="80"/>
      <w:outlineLvl w:val="2"/>
    </w:pPr>
    <w:rPr>
      <w:b/>
      <w:bCs/>
      <w:sz w:val="28"/>
      <w:szCs w:val="28"/>
    </w:rPr>
  </w:style>
  <w:style w:type="paragraph" w:styleId="4">
    <w:name w:val="heading 4"/>
    <w:basedOn w:val="a"/>
    <w:next w:val="a"/>
    <w:link w:val="40"/>
    <w:pPr>
      <w:keepNext/>
      <w:keepLines/>
      <w:spacing w:before="240" w:after="40"/>
      <w:outlineLvl w:val="3"/>
    </w:pPr>
    <w:rPr>
      <w:b/>
      <w:bCs/>
      <w:sz w:val="24"/>
      <w:szCs w:val="24"/>
    </w:rPr>
  </w:style>
  <w:style w:type="paragraph" w:styleId="5">
    <w:name w:val="heading 5"/>
    <w:basedOn w:val="a"/>
    <w:next w:val="a"/>
    <w:link w:val="50"/>
    <w:pPr>
      <w:keepNext/>
      <w:keepLines/>
      <w:spacing w:before="220" w:after="40"/>
      <w:outlineLvl w:val="4"/>
    </w:pPr>
    <w:rPr>
      <w:b/>
      <w:bCs/>
    </w:rPr>
  </w:style>
  <w:style w:type="paragraph" w:styleId="6">
    <w:name w:val="heading 6"/>
    <w:basedOn w:val="a"/>
    <w:next w:val="a"/>
    <w:link w:val="60"/>
    <w:pPr>
      <w:keepNext/>
      <w:keepLines/>
      <w:spacing w:before="200" w:after="40"/>
      <w:outlineLvl w:val="5"/>
    </w:pPr>
    <w:rPr>
      <w:b/>
      <w:bCs/>
      <w:sz w:val="20"/>
      <w:szCs w:val="20"/>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1">
    <w:name w:val="Заголовок 2 Знак1"/>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character" w:customStyle="1" w:styleId="11">
    <w:name w:val="Нижний колонтитул Знак1"/>
    <w:basedOn w:val="a0"/>
    <w:link w:val="ad"/>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f0"/>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4">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table" w:customStyle="1" w:styleId="TableNormal">
    <w:name w:val="TableNormal"/>
    <w:tblPr>
      <w:tblCellMar>
        <w:top w:w="100" w:type="dxa"/>
        <w:left w:w="100" w:type="dxa"/>
        <w:bottom w:w="100" w:type="dxa"/>
        <w:right w:w="100" w:type="dxa"/>
      </w:tblCellMar>
    </w:tblPr>
  </w:style>
  <w:style w:type="paragraph" w:styleId="a6">
    <w:name w:val="Title"/>
    <w:basedOn w:val="a"/>
    <w:next w:val="a"/>
    <w:link w:val="a5"/>
    <w:pPr>
      <w:keepNext/>
      <w:keepLines/>
      <w:spacing w:before="480" w:after="120"/>
    </w:pPr>
    <w:rPr>
      <w:b/>
      <w:bCs/>
      <w:sz w:val="72"/>
      <w:szCs w:val="72"/>
    </w:rPr>
  </w:style>
  <w:style w:type="character" w:styleId="af6">
    <w:name w:val="Hyperlink"/>
    <w:qFormat/>
    <w:rPr>
      <w:color w:val="0563C1"/>
      <w:position w:val="-1"/>
      <w:u w:val="single"/>
      <w:vertAlign w:val="baseline"/>
      <w:cs w:val="0"/>
    </w:rPr>
  </w:style>
  <w:style w:type="table" w:styleId="af7">
    <w:name w:val="Table Grid"/>
    <w:basedOn w:val="a1"/>
    <w:pPr>
      <w:spacing w:line="1" w:lineRule="atLeast"/>
      <w:ind w:left="-1" w:hanging="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Normal (Web)"/>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docyv53363bqiaagaaeyqcaaagiaiaaamzdaaabscmaaaaaaaaaaaaaaaaaaaaaaaaaaaaaaaaaaaaaaaaaaaaaaaaaaaaaaaaaaaaaaaaaaaaaaaaaaaaaaaaaaaaaaaaaaaaaaaaaaaaaaaaaaaaaaaaaaaaaaaaaaaaaaaaaaaaaaaaaaaaaaaaaaaaaaaaaaaaaaaaaaaaaaaaaaaaaaaaaaaaaaaaaaaaaaaaaaaaaaaa">
    <w:name w:val="docdata;docy;v5;3363;bqiaagaaeyqcaaagiaiaaamzdaaabscm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pPr>
      <w:spacing w:line="1" w:lineRule="atLeast"/>
      <w:ind w:left="-1" w:hanging="1"/>
      <w:outlineLvl w:val="0"/>
    </w:pPr>
    <w:rPr>
      <w:rFonts w:ascii="Times New Roman" w:hAnsi="Times New Roman"/>
      <w:color w:val="000000"/>
      <w:position w:val="-1"/>
      <w:sz w:val="24"/>
      <w:szCs w:val="24"/>
      <w:lang w:val="ru-RU"/>
    </w:rPr>
  </w:style>
  <w:style w:type="table" w:customStyle="1" w:styleId="15">
    <w:name w:val="Сетка таблицы1"/>
    <w:basedOn w:val="a1"/>
    <w:next w:val="af7"/>
    <w:pPr>
      <w:spacing w:line="1" w:lineRule="atLeast"/>
      <w:ind w:left="-1" w:hanging="1"/>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pPr>
      <w:spacing w:after="0" w:line="240" w:lineRule="auto"/>
      <w:jc w:val="center"/>
    </w:pPr>
    <w:rPr>
      <w:rFonts w:ascii="Times New Roman" w:eastAsia="Times New Roman" w:hAnsi="Times New Roman"/>
      <w:sz w:val="28"/>
      <w:szCs w:val="24"/>
    </w:rPr>
  </w:style>
  <w:style w:type="character" w:customStyle="1" w:styleId="afa">
    <w:name w:val="Основной текст Знак"/>
    <w:rPr>
      <w:rFonts w:ascii="Times New Roman" w:eastAsia="Times New Roman" w:hAnsi="Times New Roman"/>
      <w:position w:val="-1"/>
      <w:sz w:val="28"/>
      <w:szCs w:val="24"/>
      <w:vertAlign w:val="baseline"/>
      <w:cs w:val="0"/>
    </w:rPr>
  </w:style>
  <w:style w:type="paragraph" w:customStyle="1" w:styleId="UseCaseListParagraphBullet1BulletListFooterTextnumberedParagraphedeliste1lp1">
    <w:name w:val="Абзац списка;Use Case List Paragraph;Маркер;ТЗ список;Абзац списка литеральный;Bullet 1;Bullet List;FooterText;numbered;Paragraphe de liste1;lp1"/>
    <w:basedOn w:val="a"/>
    <w:pPr>
      <w:widowControl w:val="0"/>
      <w:spacing w:after="0" w:line="240" w:lineRule="auto"/>
      <w:ind w:left="720"/>
      <w:contextualSpacing/>
    </w:pPr>
    <w:rPr>
      <w:rFonts w:ascii="Courier New" w:eastAsia="Courier New" w:hAnsi="Courier New"/>
      <w:color w:val="000000"/>
      <w:sz w:val="24"/>
      <w:szCs w:val="24"/>
    </w:rPr>
  </w:style>
  <w:style w:type="character" w:customStyle="1" w:styleId="UseCaseListParagraphBullet1BulletListFooterTextnumberedParagraphedeliste1lp10">
    <w:name w:val="Абзац списка Знак;Use Case List Paragraph Знак;Маркер Знак;ТЗ список Знак;Абзац списка литеральный Знак;Bullet 1 Знак;Bullet List Знак;FooterText Знак;numbered Знак;Paragraphe de liste1 Знак;lp1 Знак"/>
    <w:rPr>
      <w:rFonts w:ascii="Courier New" w:eastAsia="Courier New" w:hAnsi="Courier New" w:cs="Courier New"/>
      <w:color w:val="000000"/>
      <w:position w:val="-1"/>
      <w:sz w:val="24"/>
      <w:szCs w:val="24"/>
      <w:vertAlign w:val="baseline"/>
      <w:cs w:val="0"/>
    </w:rPr>
  </w:style>
  <w:style w:type="table" w:customStyle="1" w:styleId="110">
    <w:name w:val="Сетка таблицы11"/>
    <w:basedOn w:val="a1"/>
    <w:next w:val="af7"/>
    <w:pPr>
      <w:spacing w:line="1" w:lineRule="atLeast"/>
      <w:ind w:left="-1" w:hanging="1"/>
      <w:outlineLvl w:val="0"/>
    </w:pPr>
    <w:rPr>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f7"/>
    <w:pPr>
      <w:spacing w:line="1" w:lineRule="atLeast"/>
      <w:ind w:left="-1" w:hanging="1"/>
      <w:outlineLvl w:val="0"/>
    </w:pPr>
    <w:rPr>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Основной"/>
    <w:basedOn w:val="a"/>
    <w:pPr>
      <w:spacing w:after="0" w:line="240" w:lineRule="auto"/>
      <w:ind w:firstLine="567"/>
      <w:jc w:val="both"/>
    </w:pPr>
    <w:rPr>
      <w:rFonts w:ascii="Arial" w:eastAsia="Times New Roman" w:hAnsi="Arial"/>
      <w:sz w:val="16"/>
      <w:szCs w:val="16"/>
    </w:rPr>
  </w:style>
  <w:style w:type="character" w:customStyle="1" w:styleId="afc">
    <w:name w:val="Основной Знак"/>
    <w:rPr>
      <w:rFonts w:ascii="Arial" w:eastAsia="Times New Roman" w:hAnsi="Arial" w:cs="Arial"/>
      <w:position w:val="-1"/>
      <w:sz w:val="16"/>
      <w:szCs w:val="16"/>
      <w:vertAlign w:val="baseline"/>
      <w:cs w:val="0"/>
    </w:rPr>
  </w:style>
  <w:style w:type="paragraph" w:customStyle="1" w:styleId="16">
    <w:name w:val="Обычный1"/>
    <w:pPr>
      <w:widowControl w:val="0"/>
      <w:spacing w:line="1" w:lineRule="atLeast"/>
      <w:ind w:left="-1" w:hanging="1"/>
      <w:outlineLvl w:val="0"/>
    </w:pPr>
    <w:rPr>
      <w:rFonts w:ascii="Times New Roman" w:eastAsia="Times New Roman" w:hAnsi="Times New Roman"/>
      <w:position w:val="-1"/>
      <w:lang w:val="ru-RU"/>
    </w:rPr>
  </w:style>
  <w:style w:type="character" w:customStyle="1" w:styleId="17">
    <w:name w:val="Обычный1 Знак"/>
    <w:rPr>
      <w:rFonts w:ascii="Times New Roman" w:eastAsia="Times New Roman" w:hAnsi="Times New Roman"/>
      <w:position w:val="-1"/>
      <w:vertAlign w:val="baseline"/>
      <w:cs w:val="0"/>
      <w:lang w:val="ru-RU" w:eastAsia="ru-RU" w:bidi="ar-SA"/>
    </w:rPr>
  </w:style>
  <w:style w:type="paragraph" w:customStyle="1" w:styleId="afd">
    <w:name w:val="Íîðìàëüíûé"/>
    <w:pPr>
      <w:spacing w:line="1" w:lineRule="atLeast"/>
      <w:ind w:left="-1" w:hanging="1"/>
      <w:outlineLvl w:val="0"/>
    </w:pPr>
    <w:rPr>
      <w:rFonts w:ascii="Courier" w:eastAsia="Times New Roman" w:hAnsi="Courier" w:cs="Courier"/>
      <w:position w:val="-1"/>
      <w:sz w:val="24"/>
      <w:szCs w:val="24"/>
      <w:lang w:val="en-GB"/>
    </w:rPr>
  </w:style>
  <w:style w:type="paragraph" w:styleId="ad">
    <w:name w:val="footer"/>
    <w:basedOn w:val="a"/>
    <w:link w:val="11"/>
    <w:pPr>
      <w:tabs>
        <w:tab w:val="center" w:pos="4677"/>
        <w:tab w:val="right" w:pos="9355"/>
      </w:tabs>
      <w:spacing w:after="0" w:line="240" w:lineRule="auto"/>
    </w:pPr>
    <w:rPr>
      <w:sz w:val="20"/>
      <w:szCs w:val="20"/>
      <w:lang w:eastAsia="zh-CN"/>
    </w:rPr>
  </w:style>
  <w:style w:type="character" w:customStyle="1" w:styleId="afe">
    <w:name w:val="Нижний колонтитул Знак"/>
    <w:rPr>
      <w:position w:val="-1"/>
      <w:vertAlign w:val="baseline"/>
      <w:cs w:val="0"/>
      <w:lang w:eastAsia="zh-CN"/>
    </w:rPr>
  </w:style>
  <w:style w:type="character" w:customStyle="1" w:styleId="25">
    <w:name w:val="Заголовок 2 Знак"/>
    <w:rPr>
      <w:rFonts w:ascii="Calibri Light" w:eastAsia="Times New Roman" w:hAnsi="Calibri Light" w:cs="Times New Roman"/>
      <w:b/>
      <w:bCs/>
      <w:i/>
      <w:iCs/>
      <w:position w:val="-1"/>
      <w:sz w:val="28"/>
      <w:szCs w:val="28"/>
      <w:vertAlign w:val="baseline"/>
      <w:cs w:val="0"/>
      <w:lang w:eastAsia="en-US"/>
    </w:rPr>
  </w:style>
  <w:style w:type="paragraph" w:styleId="aff">
    <w:name w:val="Body Text Indent"/>
    <w:basedOn w:val="a"/>
    <w:qFormat/>
    <w:pPr>
      <w:spacing w:after="120"/>
      <w:ind w:left="283"/>
    </w:pPr>
  </w:style>
  <w:style w:type="character" w:customStyle="1" w:styleId="aff0">
    <w:name w:val="Основной текст с отступом Знак"/>
    <w:rPr>
      <w:position w:val="-1"/>
      <w:sz w:val="22"/>
      <w:szCs w:val="22"/>
      <w:vertAlign w:val="baseline"/>
      <w:cs w:val="0"/>
      <w:lang w:eastAsia="en-US"/>
    </w:rPr>
  </w:style>
  <w:style w:type="paragraph" w:customStyle="1" w:styleId="-">
    <w:name w:val="Контракт-пункт"/>
    <w:basedOn w:val="a"/>
    <w:pPr>
      <w:numPr>
        <w:ilvl w:val="1"/>
        <w:numId w:val="1"/>
      </w:numPr>
      <w:tabs>
        <w:tab w:val="num" w:pos="851"/>
      </w:tabs>
      <w:spacing w:after="0" w:line="240" w:lineRule="auto"/>
      <w:ind w:left="851" w:hanging="1"/>
      <w:jc w:val="both"/>
    </w:pPr>
    <w:rPr>
      <w:rFonts w:ascii="Times New Roman" w:eastAsia="Times New Roman" w:hAnsi="Times New Roman"/>
      <w:sz w:val="24"/>
      <w:szCs w:val="24"/>
      <w:lang w:eastAsia="ru-RU"/>
    </w:rPr>
  </w:style>
  <w:style w:type="paragraph" w:customStyle="1" w:styleId="-0">
    <w:name w:val="Контракт-подподпункт"/>
    <w:basedOn w:val="a"/>
    <w:pPr>
      <w:numPr>
        <w:ilvl w:val="2"/>
        <w:numId w:val="1"/>
      </w:numPr>
      <w:spacing w:after="0" w:line="240" w:lineRule="auto"/>
      <w:ind w:left="-1" w:hanging="1"/>
      <w:jc w:val="both"/>
    </w:pPr>
    <w:rPr>
      <w:rFonts w:ascii="Times New Roman" w:eastAsia="Times New Roman" w:hAnsi="Times New Roman"/>
      <w:sz w:val="24"/>
      <w:szCs w:val="24"/>
      <w:lang w:eastAsia="ru-RU"/>
    </w:rPr>
  </w:style>
  <w:style w:type="table" w:customStyle="1" w:styleId="26">
    <w:name w:val="Сетка таблицы2"/>
    <w:basedOn w:val="a1"/>
    <w:next w:val="af7"/>
    <w:pPr>
      <w:spacing w:line="1" w:lineRule="atLeast"/>
      <w:ind w:left="-1" w:hanging="1"/>
      <w:outlineLvl w:val="0"/>
    </w:pPr>
    <w:rPr>
      <w:rFonts w:ascii="Times New Roman" w:eastAsia="Times New Roman" w:hAnsi="Times New Roman"/>
      <w:position w:val="-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7"/>
    <w:pPr>
      <w:spacing w:line="1" w:lineRule="atLeast"/>
      <w:ind w:left="-1" w:hanging="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note text"/>
    <w:basedOn w:val="a"/>
    <w:link w:val="13"/>
    <w:qFormat/>
    <w:pPr>
      <w:spacing w:after="0" w:line="240" w:lineRule="auto"/>
    </w:pPr>
    <w:rPr>
      <w:sz w:val="20"/>
      <w:szCs w:val="20"/>
    </w:rPr>
  </w:style>
  <w:style w:type="character" w:customStyle="1" w:styleId="aff1">
    <w:name w:val="Текст сноски Знак"/>
    <w:rPr>
      <w:position w:val="-1"/>
      <w:vertAlign w:val="baseline"/>
      <w:cs w:val="0"/>
      <w:lang w:eastAsia="en-US"/>
    </w:rPr>
  </w:style>
  <w:style w:type="character" w:styleId="aff2">
    <w:name w:val="footnote reference"/>
    <w:rPr>
      <w:position w:val="-1"/>
      <w:vertAlign w:val="superscript"/>
      <w:cs w:val="0"/>
    </w:rPr>
  </w:style>
  <w:style w:type="table" w:customStyle="1" w:styleId="43">
    <w:name w:val="Сетка таблицы4"/>
    <w:basedOn w:val="a1"/>
    <w:next w:val="af7"/>
    <w:pPr>
      <w:spacing w:line="1" w:lineRule="atLeast"/>
      <w:ind w:left="-1" w:hanging="1"/>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7"/>
    <w:pPr>
      <w:spacing w:line="1" w:lineRule="atLeast"/>
      <w:ind w:left="-1" w:hanging="1"/>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Subtitle"/>
    <w:basedOn w:val="a"/>
    <w:next w:val="a"/>
    <w:link w:val="a7"/>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Liberation Sans"/>
        <a:cs typeface="Liberation Sans"/>
      </a:majorFont>
      <a:minorFont>
        <a:latin typeface="Cambria"/>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YDYIcDSd8AaYUDIjDJCvXq7Ujw==">CgMxLjA4AHIhMVFST2pucmg3ZTQxRFZNOEpscmRDTXVOSTZBWjE1d3BT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airat28@mail.ru</dc:creator>
  <cp:lastModifiedBy>User</cp:lastModifiedBy>
  <cp:revision>9</cp:revision>
  <dcterms:created xsi:type="dcterms:W3CDTF">2026-08-21T08:28:00Z</dcterms:created>
  <dcterms:modified xsi:type="dcterms:W3CDTF">2026-08-31T04:48:00Z</dcterms:modified>
</cp:coreProperties>
</file>