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pPr>
      <w:r>
        <w:rPr>
          <w:sz w:val="24"/>
        </w:rPr>
        <w:t>Договор поставки № _______</w:t>
      </w:r>
    </w:p>
    <w:p>
      <w:pPr>
        <w:pStyle w:val="Normal"/>
        <w:widowControl/>
        <w:shd w:val="clear" w:color="auto" w:fill="FFFFFF"/>
        <w:tabs>
          <w:tab w:val="clear" w:pos="720"/>
          <w:tab w:val="left" w:pos="3060" w:leader="none"/>
          <w:tab w:val="left" w:pos="6519" w:leader="none"/>
        </w:tabs>
        <w:suppressAutoHyphens w:val="true"/>
        <w:bidi w:val="0"/>
        <w:spacing w:before="0" w:after="120"/>
        <w:ind w:left="0" w:right="0" w:firstLine="567"/>
        <w:jc w:val="left"/>
        <w:rPr/>
      </w:pPr>
      <w:r>
        <w:rPr>
          <w:sz w:val="24"/>
          <w:szCs w:val="24"/>
        </w:rPr>
        <w:t>г. Балаково</w:t>
        <w:tab/>
        <w:tab/>
        <w:t>«___</w:t>
      </w:r>
      <w:r>
        <w:rPr>
          <w:rStyle w:val="FootnoteReference"/>
          <w:b/>
          <w:sz w:val="24"/>
          <w:szCs w:val="24"/>
        </w:rPr>
        <w:footnoteReference w:id="2"/>
      </w:r>
      <w:r>
        <w:rPr>
          <w:sz w:val="24"/>
          <w:szCs w:val="24"/>
        </w:rPr>
        <w:t>» __________ 20__ года</w:t>
      </w:r>
    </w:p>
    <w:p>
      <w:pPr>
        <w:pStyle w:val="Normal"/>
        <w:spacing w:before="0" w:after="120"/>
        <w:ind w:firstLine="567"/>
        <w:jc w:val="both"/>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___________________________________________________</w:t>
      </w:r>
      <w:r>
        <w:rPr>
          <w:color w:val="000000"/>
          <w:sz w:val="24"/>
          <w:szCs w:val="24"/>
        </w:rPr>
        <w:t>, действующего на основании доверенности № __ от __.__.20__ г.</w:t>
      </w:r>
      <w:r>
        <w:rPr>
          <w:sz w:val="24"/>
          <w:szCs w:val="24"/>
        </w:rPr>
        <w:t>,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в лице ________________, действующего на основании ______________, с другой стороны,</w:t>
      </w:r>
    </w:p>
    <w:p>
      <w:pPr>
        <w:pStyle w:val="Normal"/>
        <w:spacing w:before="0" w:after="120"/>
        <w:ind w:firstLine="567"/>
        <w:jc w:val="both"/>
        <w:rPr/>
      </w:pPr>
      <w:r>
        <w:rPr>
          <w:bCs/>
          <w:sz w:val="24"/>
          <w:szCs w:val="24"/>
          <w:shd w:fill="auto" w:val="clear"/>
        </w:rPr>
        <w:t xml:space="preserve">совместно в дальнейшем именуемые «Стороны», а по отдельности – «Сторона», </w:t>
      </w:r>
      <w:r>
        <w:rPr>
          <w:bCs/>
          <w:color w:val="000000"/>
          <w:sz w:val="24"/>
          <w:szCs w:val="24"/>
          <w:shd w:fill="auto" w:val="clear"/>
        </w:rPr>
        <w:t xml:space="preserve">по результатам проведенной Покупателем нерегламентированной закупочной процедуры по лоту № </w:t>
      </w:r>
      <w:r>
        <w:rPr>
          <w:rFonts w:cs="Times New Roman"/>
          <w:b w:val="false"/>
          <w:bCs w:val="false"/>
          <w:color w:val="000000"/>
          <w:sz w:val="24"/>
          <w:szCs w:val="24"/>
          <w:shd w:fill="auto" w:val="clear"/>
          <w:lang w:eastAsia="ru-RU"/>
        </w:rPr>
        <w:t>________________________________________</w:t>
      </w:r>
      <w:r>
        <w:rPr>
          <w:bCs/>
          <w:color w:val="000000"/>
          <w:sz w:val="24"/>
          <w:szCs w:val="24"/>
          <w:shd w:fill="auto" w:val="clear"/>
        </w:rPr>
        <w:t>, что подтверждается аналитической запиской от __.__.20__ г., 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rFonts w:eastAsia="Times New Roman" w:cs="Times New Roman"/>
          <w:b/>
          <w:bCs/>
          <w:sz w:val="24"/>
          <w:szCs w:val="24"/>
          <w:lang w:val="ru-RU" w:eastAsia="ru-RU"/>
        </w:rPr>
        <w:t>промышленный водонагревател</w:t>
      </w:r>
      <w:r>
        <w:rPr>
          <w:rFonts w:eastAsia="Times New Roman" w:cs="Times New Roman"/>
          <w:b/>
          <w:bCs/>
          <w:color w:val="000000"/>
          <w:sz w:val="24"/>
          <w:szCs w:val="24"/>
          <w:shd w:fill="auto" w:val="clear"/>
          <w:lang w:val="ru-RU" w:eastAsia="en-US"/>
        </w:rPr>
        <w:t>ь</w:t>
      </w:r>
      <w:r>
        <w:rPr>
          <w:b w:val="false"/>
          <w:sz w:val="24"/>
          <w:szCs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w:t>
      </w:r>
      <w:r>
        <w:rPr>
          <w:b w:val="false"/>
          <w:sz w:val="24"/>
          <w:shd w:fill="auto" w:val="clear"/>
        </w:rPr>
        <w:t>и Техническими требованиями (</w:t>
      </w:r>
      <w:r>
        <w:rPr>
          <w:sz w:val="24"/>
          <w:shd w:fill="auto" w:val="clear"/>
        </w:rPr>
        <w:t>Приложение № 2</w:t>
      </w:r>
      <w:r>
        <w:rPr>
          <w:b w:val="false"/>
          <w:sz w:val="24"/>
          <w:shd w:fill="auto" w:val="clear"/>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Саратовского филиала АО «Гидроремонт-ВКК» в г. Балаково.</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Место поставки: </w:t>
      </w:r>
      <w:r>
        <w:rPr>
          <w:rFonts w:eastAsia="Times New Roman" w:cs="Times New Roman"/>
          <w:color w:val="1C1C1C"/>
          <w:sz w:val="24"/>
          <w:szCs w:val="24"/>
          <w:lang w:eastAsia="ru-RU"/>
        </w:rPr>
        <w:t>РФ, 413865, Саратовская обл., г. Балаково, ул. Заовражная, д.48</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Срок поставки Продукции по Договору: в</w:t>
      </w:r>
      <w:r>
        <w:rPr>
          <w:rFonts w:eastAsia="Times New Roman" w:cs="Times New Roman"/>
          <w:sz w:val="24"/>
          <w:szCs w:val="24"/>
          <w:lang w:eastAsia="ru-RU"/>
        </w:rPr>
        <w:t xml:space="preserve"> течение  ( ___________) календарных дней с даты подписания Договора Сторонами</w:t>
      </w:r>
      <w:r>
        <w:rPr>
          <w:sz w:val="24"/>
          <w:szCs w:val="24"/>
          <w:shd w:fill="auto" w:val="clear"/>
        </w:rPr>
        <w:t>.</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__________(__________________) рублей _____ копеек </w:t>
      </w:r>
      <w:r>
        <w:rPr>
          <w:bCs/>
          <w:sz w:val="24"/>
          <w:szCs w:val="24"/>
          <w:u w:val="single"/>
          <w:shd w:fill="auto" w:val="clear"/>
        </w:rPr>
        <w:t>без учёта НДС, при этом НДС исчисляется дополнительно по ставке, установленной ст.164 Налогового кодекса РФ.</w:t>
      </w:r>
      <w:r>
        <w:rPr>
          <w:rStyle w:val="FootnoteReference"/>
          <w:bCs/>
          <w:sz w:val="24"/>
          <w:szCs w:val="28"/>
          <w:u w:val="single"/>
          <w:shd w:fill="auto" w:val="clear"/>
        </w:rPr>
        <w:footnoteReference w:id="3"/>
      </w:r>
    </w:p>
    <w:p>
      <w:pPr>
        <w:pStyle w:val="Normal"/>
        <w:numPr>
          <w:ilvl w:val="1"/>
          <w:numId w:val="6"/>
        </w:numPr>
        <w:tabs>
          <w:tab w:val="clear" w:pos="720"/>
          <w:tab w:val="left" w:pos="0" w:leader="none"/>
          <w:tab w:val="left" w:pos="426" w:leader="none"/>
          <w:tab w:val="left" w:pos="851" w:leader="none"/>
        </w:tabs>
        <w:spacing w:before="0" w:after="120"/>
        <w:ind w:left="0" w:firstLine="567"/>
        <w:jc w:val="both"/>
        <w:rPr>
          <w:highlight w:val="none"/>
          <w:shd w:fill="auto" w:val="clear"/>
        </w:rPr>
      </w:pPr>
      <w:r>
        <w:rPr>
          <w:bCs/>
          <w:sz w:val="24"/>
          <w:szCs w:val="24"/>
          <w:shd w:fill="auto" w:val="clear"/>
        </w:rPr>
        <w:t xml:space="preserve">Цена Договора включает в себя </w:t>
      </w:r>
      <w:r>
        <w:rPr>
          <w:sz w:val="24"/>
          <w:szCs w:val="24"/>
          <w:shd w:fill="auto" w:val="clear"/>
        </w:rPr>
        <w:t xml:space="preserve">стоимость Продукции, </w:t>
      </w:r>
      <w:r>
        <w:rPr>
          <w:bCs/>
          <w:sz w:val="24"/>
          <w:szCs w:val="24"/>
          <w:shd w:fill="auto" w:val="clear"/>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1020" w:leader="none"/>
        </w:tabs>
        <w:spacing w:before="0" w:after="120"/>
        <w:ind w:left="0" w:firstLine="567"/>
        <w:contextualSpacing w:val="false"/>
        <w:jc w:val="both"/>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1020" w:leader="none"/>
        </w:tabs>
        <w:spacing w:before="0" w:after="120"/>
        <w:ind w:left="0" w:firstLine="567"/>
        <w:contextualSpacing w:val="false"/>
        <w:jc w:val="both"/>
        <w:rPr>
          <w:sz w:val="24"/>
          <w:szCs w:val="24"/>
        </w:rPr>
      </w:pPr>
      <w:r>
        <w:rPr>
          <w:sz w:val="24"/>
          <w:szCs w:val="24"/>
        </w:rPr>
        <w:t>Стоимость единицы Продукции определяется Спецификацией (</w:t>
      </w:r>
      <w:r>
        <w:rPr>
          <w:b/>
          <w:sz w:val="24"/>
          <w:szCs w:val="24"/>
        </w:rPr>
        <w:t>Приложение № 1</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Платеж в размере 100% (сто процентов) от стоимости поставленной Продукции </w:t>
      </w:r>
      <w:r>
        <w:rPr>
          <w:sz w:val="24"/>
          <w:szCs w:val="24"/>
          <w:u w:val="single"/>
        </w:rPr>
        <w:t>б</w:t>
      </w:r>
      <w:r>
        <w:rPr>
          <w:bCs/>
          <w:sz w:val="24"/>
          <w:szCs w:val="24"/>
          <w:u w:val="single"/>
        </w:rPr>
        <w:t xml:space="preserve">ез учёта НДС, </w:t>
      </w:r>
      <w:r>
        <w:rPr>
          <w:sz w:val="24"/>
          <w:szCs w:val="24"/>
          <w:u w:val="single"/>
        </w:rPr>
        <w:t>кроме того НДС по ставке, установленной статьей 164 НК РФ на дату подписания Товарной накладной по форме ТОРГ-12 или Универсального передаточного документа (УПД)</w:t>
      </w:r>
      <w:r>
        <w:rPr>
          <w:sz w:val="24"/>
          <w:szCs w:val="24"/>
          <w:u w:val="single"/>
          <w:vertAlign w:val="superscript"/>
        </w:rPr>
        <w:t>2</w:t>
      </w:r>
      <w:r>
        <w:rPr>
          <w:sz w:val="24"/>
          <w:szCs w:val="24"/>
        </w:rPr>
        <w:t>,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соответствующую Продукцию, при условии получения счета, выставленного Поставщиком с учетом п. 2.6 Договора.</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spacing w:before="0" w:after="113"/>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13"/>
        <w:ind w:left="0" w:firstLine="567"/>
        <w:jc w:val="both"/>
        <w:rPr>
          <w:highlight w:val="none"/>
          <w:shd w:fill="auto" w:val="clear"/>
        </w:rPr>
      </w:pPr>
      <w:r>
        <w:rPr>
          <w:sz w:val="24"/>
          <w:szCs w:val="24"/>
          <w:shd w:fill="auto"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w:t>
      </w:r>
      <w:r>
        <w:rPr>
          <w:rStyle w:val="FootnoteReference"/>
          <w:bCs/>
          <w:szCs w:val="28"/>
          <w:shd w:fill="auto" w:val="clear"/>
        </w:rPr>
        <w:footnoteReference w:id="4"/>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fill="FFFFFF"/>
        <w:tabs>
          <w:tab w:val="clear" w:pos="720"/>
          <w:tab w:val="left" w:pos="0" w:leader="none"/>
          <w:tab w:val="left" w:pos="900" w:leader="none"/>
          <w:tab w:val="left" w:pos="1134" w:leader="none"/>
          <w:tab w:val="left" w:pos="1276" w:leader="none"/>
        </w:tabs>
        <w:spacing w:before="0" w:after="120"/>
        <w:ind w:left="0" w:right="0" w:firstLine="567"/>
        <w:jc w:val="both"/>
        <w:rPr>
          <w:sz w:val="24"/>
          <w:szCs w:val="24"/>
        </w:rPr>
      </w:pPr>
      <w:r>
        <w:rPr>
          <w:i w:val="false"/>
          <w:iCs w:val="false"/>
          <w:spacing w:val="-4"/>
          <w:kern w:val="0"/>
          <w:sz w:val="24"/>
          <w:szCs w:val="24"/>
          <w:u w:val="none"/>
          <w:shd w:fill="auto" w:val="clear"/>
          <w:lang w:val="ru-RU" w:eastAsia="en-US" w:bidi="ar-SA"/>
        </w:rPr>
        <w:t>Сертификат качества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u w:val="none"/>
        </w:rPr>
      </w:pPr>
      <w:r>
        <w:rPr>
          <w:i w:val="false"/>
          <w:iCs w:val="false"/>
          <w:spacing w:val="-4"/>
          <w:kern w:val="0"/>
          <w:sz w:val="24"/>
          <w:szCs w:val="24"/>
          <w:u w:val="none"/>
          <w:shd w:fill="auto" w:val="clear"/>
          <w:lang w:val="ru-RU" w:eastAsia="en-US" w:bidi="ar-SA"/>
        </w:rPr>
        <w:t>Сертификат соответствия требованиям пожарной безопасности в 1 экз.;</w:t>
      </w:r>
    </w:p>
    <w:p>
      <w:pPr>
        <w:pStyle w:val="Normal"/>
        <w:numPr>
          <w:ilvl w:val="0"/>
          <w:numId w:val="3"/>
        </w:numPr>
        <w:tabs>
          <w:tab w:val="clear" w:pos="720"/>
          <w:tab w:val="left" w:pos="910" w:leader="none"/>
        </w:tabs>
        <w:spacing w:before="0" w:after="113"/>
        <w:ind w:left="0" w:firstLine="567"/>
        <w:jc w:val="both"/>
        <w:rPr>
          <w:sz w:val="24"/>
          <w:szCs w:val="24"/>
        </w:rPr>
      </w:pPr>
      <w:r>
        <w:rPr>
          <w:rFonts w:eastAsia="Times New Roman" w:cs="Times New Roman"/>
          <w:bCs/>
          <w:i w:val="false"/>
          <w:iCs w:val="false"/>
          <w:spacing w:val="-4"/>
          <w:kern w:val="0"/>
          <w:sz w:val="24"/>
          <w:szCs w:val="24"/>
          <w:u w:val="none"/>
          <w:shd w:fill="auto" w:val="clear"/>
          <w:lang w:val="ru-RU" w:eastAsia="ru-RU" w:bidi="ar-SA"/>
        </w:rPr>
        <w:t xml:space="preserve">Технический паспорт на русском языке </w:t>
      </w:r>
      <w:r>
        <w:rPr>
          <w:bCs/>
          <w:i w:val="false"/>
          <w:iCs w:val="false"/>
          <w:spacing w:val="-4"/>
          <w:kern w:val="0"/>
          <w:sz w:val="24"/>
          <w:szCs w:val="24"/>
          <w:u w:val="none"/>
          <w:shd w:fill="auto" w:val="clear"/>
          <w:lang w:val="ru-RU" w:eastAsia="en-US" w:bidi="ar-SA"/>
        </w:rPr>
        <w:t>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13"/>
        <w:ind w:left="0" w:firstLine="567"/>
        <w:jc w:val="both"/>
        <w:rPr>
          <w:u w:val="single"/>
        </w:rPr>
      </w:pPr>
      <w:r>
        <w:rPr>
          <w:bCs/>
          <w:i w:val="false"/>
          <w:iCs w:val="false"/>
          <w:spacing w:val="-4"/>
          <w:kern w:val="0"/>
          <w:sz w:val="24"/>
          <w:szCs w:val="24"/>
          <w:u w:val="none"/>
          <w:shd w:fill="auto" w:val="clear"/>
          <w:lang w:val="ru-RU" w:eastAsia="en-US" w:bidi="ar-SA"/>
        </w:rPr>
        <w:t>Протоколы заводских испытаний в 1. экз.;</w:t>
      </w:r>
    </w:p>
    <w:p>
      <w:pPr>
        <w:pStyle w:val="Normal"/>
        <w:widowControl/>
        <w:numPr>
          <w:ilvl w:val="0"/>
          <w:numId w:val="3"/>
        </w:numPr>
        <w:shd w:val="clear" w:color="auto" w:fill="FFFFFF"/>
        <w:tabs>
          <w:tab w:val="clear" w:pos="720"/>
          <w:tab w:val="left" w:pos="0" w:leader="none"/>
          <w:tab w:val="left" w:pos="900" w:leader="none"/>
          <w:tab w:val="left" w:pos="1134" w:leader="none"/>
          <w:tab w:val="left" w:pos="1276" w:leader="none"/>
        </w:tabs>
        <w:spacing w:before="0" w:after="113"/>
        <w:ind w:left="0" w:firstLine="567"/>
        <w:jc w:val="both"/>
        <w:rPr>
          <w:u w:val="none"/>
        </w:rPr>
      </w:pPr>
      <w:r>
        <w:rPr>
          <w:rFonts w:eastAsia="Times New Roman" w:cs="Times New Roman"/>
          <w:b w:val="false"/>
          <w:bCs w:val="false"/>
          <w:i w:val="false"/>
          <w:iCs w:val="false"/>
          <w:spacing w:val="-4"/>
          <w:kern w:val="0"/>
          <w:sz w:val="24"/>
          <w:szCs w:val="24"/>
          <w:u w:val="none"/>
          <w:shd w:fill="auto" w:val="clear"/>
          <w:lang w:val="ru-RU" w:eastAsia="ru-RU" w:bidi="ar-SA"/>
        </w:rPr>
        <w:t>Гарантийный талон на Продукцию или другой документ, выполнение требований которого является условием выполнения гарантийных обязательств производителя или Поставщика</w:t>
      </w:r>
      <w:r>
        <w:rPr>
          <w:rFonts w:eastAsia="Times New Roman" w:cs="Times New Roman"/>
          <w:b w:val="false"/>
          <w:bCs w:val="false"/>
          <w:i w:val="false"/>
          <w:iCs w:val="false"/>
          <w:spacing w:val="-4"/>
          <w:kern w:val="0"/>
          <w:sz w:val="24"/>
          <w:szCs w:val="24"/>
          <w:u w:val="none"/>
          <w:shd w:fill="auto" w:val="clear"/>
          <w:lang w:val="ru-RU" w:eastAsia="x-none" w:bidi="ar-SA"/>
        </w:rPr>
        <w:t xml:space="preserve">, </w:t>
      </w:r>
      <w:r>
        <w:rPr>
          <w:b w:val="false"/>
          <w:bCs w:val="false"/>
          <w:i w:val="false"/>
          <w:iCs w:val="false"/>
          <w:spacing w:val="-4"/>
          <w:kern w:val="0"/>
          <w:sz w:val="24"/>
          <w:szCs w:val="24"/>
          <w:u w:val="none"/>
          <w:shd w:fill="auto" w:val="clear"/>
          <w:lang w:val="ru-RU" w:eastAsia="en-US" w:bidi="ar-SA"/>
        </w:rPr>
        <w:t>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i/>
          <w:sz w:val="24"/>
          <w:szCs w:val="24"/>
          <w:shd w:fill="auto" w:val="clear"/>
        </w:rPr>
        <w:t xml:space="preserve">, </w:t>
      </w:r>
      <w:r>
        <w:rPr>
          <w:b w:val="false"/>
          <w:bCs w:val="false"/>
          <w:sz w:val="24"/>
          <w:szCs w:val="24"/>
          <w:shd w:fill="auto" w:val="clear"/>
        </w:rPr>
        <w:t>сертификат о происхождении товара</w:t>
      </w:r>
      <w:r>
        <w:rPr>
          <w:sz w:val="24"/>
          <w:szCs w:val="24"/>
          <w:shd w:fill="auto" w:val="clear"/>
        </w:rPr>
        <w:t xml:space="preserve"> и т.п., копия таможенной декларации и/или иные документы, подтверждающие законность ввоза продукции иностранного производства)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2">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sz w:val="24"/>
          <w:szCs w:val="24"/>
        </w:rPr>
        <w:t xml:space="preserve">) в 1 экз.; </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3">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rFonts w:cs="Times New"/>
          <w:color w:val="000000"/>
          <w:sz w:val="24"/>
          <w:szCs w:val="24"/>
          <w:u w:val="none"/>
        </w:rPr>
        <w:t>)</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w:t>
      </w:r>
      <w:r>
        <w:rPr>
          <w:sz w:val="24"/>
          <w:szCs w:val="24"/>
          <w:u w:val="single"/>
          <w:shd w:fill="auto" w:val="clear"/>
        </w:rPr>
        <w:t>3 (трех) календарных дней</w:t>
      </w:r>
      <w:r>
        <w:rPr>
          <w:sz w:val="24"/>
          <w:szCs w:val="24"/>
        </w:rPr>
        <w:t xml:space="preserve">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rPr>
        <w:t xml:space="preserve">Приемка Продукции со вскрытием упаковки производится Покупателем в течение </w:t>
      </w:r>
      <w:r>
        <w:rPr>
          <w:sz w:val="24"/>
          <w:szCs w:val="24"/>
          <w:u w:val="single"/>
          <w:shd w:fill="auto" w:val="clear"/>
        </w:rPr>
        <w:t>10 (десяти) рабочих дней</w:t>
      </w:r>
      <w:r>
        <w:rPr>
          <w:sz w:val="24"/>
          <w:szCs w:val="24"/>
        </w:rPr>
        <w:t xml:space="preserve"> с даты подписания </w:t>
      </w:r>
      <w:r>
        <w:rPr>
          <w:color w:val="000000"/>
          <w:sz w:val="24"/>
          <w:szCs w:val="24"/>
        </w:rPr>
        <w:t>товарно-транспортной накладной по форме №1-Т, или Железнодорожной накладной (форма № ГУ-27),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4">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color w:val="000000"/>
          <w:sz w:val="24"/>
          <w:szCs w:val="24"/>
        </w:rPr>
        <w:t>).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w:t>
      </w:r>
      <w:r>
        <w:rPr>
          <w:sz w:val="24"/>
          <w:szCs w:val="24"/>
          <w:u w:val="single"/>
        </w:rPr>
        <w:t>15 (пятнадцати) календарных дней</w:t>
      </w:r>
      <w:r>
        <w:rPr>
          <w:sz w:val="24"/>
          <w:szCs w:val="24"/>
        </w:rPr>
        <w:t xml:space="preserve"> с даты уведомления его Покупателем об отказе от Продукции возместить понесенные убытки, в том числе расходы, связанные с хранением Продукции.</w:t>
      </w:r>
    </w:p>
    <w:p>
      <w:pPr>
        <w:pStyle w:val="Normal"/>
        <w:widowControl w:val="false"/>
        <w:numPr>
          <w:ilvl w:val="1"/>
          <w:numId w:val="4"/>
        </w:numPr>
        <w:shd w:val="clear"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w:t>
      </w:r>
      <w:r>
        <w:rPr>
          <w:sz w:val="24"/>
          <w:szCs w:val="24"/>
          <w:u w:val="none"/>
          <w:shd w:fill="auto" w:val="clear"/>
        </w:rPr>
        <w:t xml:space="preserve"> не менее 12</w:t>
      </w:r>
      <w:r>
        <w:rPr>
          <w:rFonts w:eastAsia="Times New Roman" w:cs="Times New Roman"/>
          <w:sz w:val="24"/>
          <w:szCs w:val="24"/>
          <w:u w:val="none"/>
          <w:shd w:fill="auto" w:val="clear"/>
          <w:lang w:eastAsia="ru-RU"/>
        </w:rPr>
        <w:t xml:space="preserve"> (двенадцати) месяцев</w:t>
      </w:r>
      <w:r>
        <w:rPr>
          <w:sz w:val="24"/>
          <w:szCs w:val="24"/>
          <w:u w:val="none"/>
          <w:shd w:fill="auto" w:val="clear"/>
        </w:rPr>
        <w:t>,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w:t>
      </w:r>
      <w:r>
        <w:rPr>
          <w:b/>
          <w:sz w:val="24"/>
          <w:szCs w:val="24"/>
        </w:rPr>
        <w:t>Приложение №1</w:t>
      </w:r>
      <w:r>
        <w:rPr>
          <w:sz w:val="24"/>
          <w:szCs w:val="24"/>
        </w:rPr>
        <w:t>).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u w:val="single"/>
        </w:rPr>
        <w:t>2 (два) рабочих дня</w:t>
      </w:r>
      <w:r>
        <w:rPr>
          <w:sz w:val="24"/>
          <w:szCs w:val="24"/>
        </w:rPr>
        <w:t xml:space="preserve">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r>
        <w:rPr>
          <w:bCs/>
          <w:color w:val="auto"/>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несвоевременного устранения Поставщиком выявленных недостатков Продукции согласно п. 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numPr>
          <w:ilvl w:val="0"/>
          <w:numId w:val="14"/>
        </w:numPr>
        <w:tabs>
          <w:tab w:val="clear" w:pos="720"/>
          <w:tab w:val="left" w:pos="1701" w:leader="none"/>
        </w:tabs>
        <w:spacing w:before="0" w:after="113"/>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rStyle w:val="Style9"/>
          <w:bCs/>
          <w:szCs w:val="28"/>
          <w:u w:val="none"/>
          <w:shd w:fill="auto" w:val="clear"/>
        </w:rPr>
        <w:t xml:space="preserve"> </w:t>
      </w:r>
      <w:r>
        <w:rPr>
          <w:rStyle w:val="FootnoteReference"/>
          <w:bCs/>
          <w:szCs w:val="28"/>
          <w:u w:val="none"/>
          <w:shd w:fill="auto" w:val="clear"/>
        </w:rPr>
        <w:footnoteReference w:id="5"/>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юридических лиц, созданных и действующих в соответствии с законодательством Российской Федерации:</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договор/договор об учреждении (создании)/решение единственного учредителя о создании;</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общественных или религиозных организаций (объединений):</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документ о выборе (назначении) попечительского совета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решение и договор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jc w:val="both"/>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Независимо от других положений Договора, обязательства Поставщика по п. 7.4.-7.5.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ListParagraph"/>
        <w:numPr>
          <w:ilvl w:val="0"/>
          <w:numId w:val="6"/>
        </w:numPr>
        <w:tabs>
          <w:tab w:val="clear" w:pos="720"/>
          <w:tab w:val="left" w:pos="426" w:leader="none"/>
        </w:tabs>
        <w:spacing w:before="0" w:after="120"/>
        <w:ind w:left="0" w:hanging="0"/>
        <w:contextualSpacing w:val="false"/>
        <w:jc w:val="center"/>
        <w:rPr>
          <w:b/>
          <w:sz w:val="24"/>
          <w:szCs w:val="24"/>
        </w:rPr>
      </w:pPr>
      <w:r>
        <w:rPr>
          <w:b/>
          <w:sz w:val="24"/>
          <w:szCs w:val="24"/>
        </w:rPr>
        <w:t>Антикоррупционная оговорка</w:t>
      </w:r>
    </w:p>
    <w:p>
      <w:pPr>
        <w:pStyle w:val="ListParagraph"/>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 xml:space="preserve">Каналы связи Линия доверия Группы РусГидро: </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Электронная почта: ld@rushydro.ru.</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Телефонный автоответчик (необходимо позвонить по телефону +7(495) 785-09-37.</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12.2.,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bookmarkStart w:id="3" w:name="sub_1"/>
      <w:r>
        <w:rPr>
          <w:b w:val="false"/>
          <w:sz w:val="24"/>
          <w:szCs w:val="24"/>
        </w:rPr>
        <w:t>- Приложение № 1 – Спецификация.</w:t>
      </w:r>
    </w:p>
    <w:p>
      <w:pPr>
        <w:pStyle w:val="Normal"/>
        <w:spacing w:before="0" w:after="120"/>
        <w:ind w:left="567" w:hanging="567"/>
        <w:rPr>
          <w:sz w:val="24"/>
          <w:szCs w:val="24"/>
        </w:rPr>
      </w:pPr>
      <w:r>
        <w:rPr>
          <w:sz w:val="24"/>
          <w:szCs w:val="24"/>
        </w:rPr>
        <w:tab/>
      </w:r>
      <w:r>
        <w:rPr>
          <w:sz w:val="24"/>
          <w:szCs w:val="24"/>
          <w:shd w:fill="auto" w:val="clear"/>
        </w:rPr>
        <w:t>- Приложение № 2 – Технические требования на поставку продукции.</w:t>
      </w:r>
      <w:bookmarkEnd w:id="3"/>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Адреса, реквизиты и подписи Сторон</w:t>
      </w:r>
    </w:p>
    <w:tbl>
      <w:tblPr>
        <w:tblW w:w="992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5031"/>
        <w:gridCol w:w="4889"/>
      </w:tblGrid>
      <w:tr>
        <w:trPr/>
        <w:tc>
          <w:tcPr>
            <w:tcW w:w="5031" w:type="dxa"/>
            <w:tcBorders/>
          </w:tcPr>
          <w:p>
            <w:pPr>
              <w:pStyle w:val="Normal"/>
              <w:widowControl w:val="false"/>
              <w:rPr>
                <w:b/>
                <w:sz w:val="24"/>
                <w:szCs w:val="24"/>
                <w:u w:val="single"/>
              </w:rPr>
            </w:pPr>
            <w:r>
              <w:rPr>
                <w:b/>
                <w:sz w:val="24"/>
                <w:szCs w:val="24"/>
                <w:u w:val="single"/>
              </w:rPr>
              <w:t>Покупатель:</w:t>
            </w:r>
          </w:p>
        </w:tc>
        <w:tc>
          <w:tcPr>
            <w:tcW w:w="4889" w:type="dxa"/>
            <w:tcBorders/>
          </w:tcPr>
          <w:p>
            <w:pPr>
              <w:pStyle w:val="Normal"/>
              <w:widowControl w:val="false"/>
              <w:rPr>
                <w:b/>
                <w:sz w:val="24"/>
                <w:szCs w:val="24"/>
                <w:u w:val="single"/>
              </w:rPr>
            </w:pPr>
            <w:r>
              <w:rPr>
                <w:b/>
                <w:sz w:val="24"/>
                <w:szCs w:val="24"/>
                <w:u w:val="single"/>
              </w:rPr>
              <w:t>Поставщик:</w:t>
            </w:r>
          </w:p>
        </w:tc>
      </w:tr>
      <w:tr>
        <w:trPr/>
        <w:tc>
          <w:tcPr>
            <w:tcW w:w="5031" w:type="dxa"/>
            <w:tcBorders/>
          </w:tcPr>
          <w:p>
            <w:pPr>
              <w:pStyle w:val="Normal"/>
              <w:widowControl w:val="false"/>
              <w:rPr>
                <w:b/>
                <w:sz w:val="24"/>
                <w:szCs w:val="24"/>
              </w:rPr>
            </w:pPr>
            <w:r>
              <w:rPr>
                <w:b/>
                <w:sz w:val="24"/>
                <w:szCs w:val="24"/>
              </w:rPr>
              <w:t>Акционерное общество «Гидроремонт-ВКК» (АО «Гидроремонт-ВКК»)</w:t>
            </w:r>
          </w:p>
          <w:p>
            <w:pPr>
              <w:pStyle w:val="Normal"/>
              <w:widowControl w:val="false"/>
              <w:rPr>
                <w:sz w:val="24"/>
                <w:szCs w:val="24"/>
              </w:rPr>
            </w:pPr>
            <w:r>
              <w:rPr>
                <w:sz w:val="24"/>
                <w:szCs w:val="24"/>
              </w:rPr>
              <w:t xml:space="preserve">Место нахождения: </w:t>
            </w:r>
            <w:r>
              <w:rPr>
                <w:color w:val="000000"/>
                <w:sz w:val="24"/>
                <w:szCs w:val="24"/>
                <w:lang w:val="ru-RU"/>
              </w:rPr>
              <w:t>603140, Россия, Нижегородская область, г.о. город Нижний Новгород, г. Нижний Новгород, пер. Мотальный, д. 8, помещ. ВП31, офис С1А</w:t>
            </w:r>
            <w:r>
              <w:rPr>
                <w:sz w:val="24"/>
                <w:szCs w:val="24"/>
              </w:rPr>
              <w:t>.</w:t>
            </w:r>
          </w:p>
          <w:p>
            <w:pPr>
              <w:pStyle w:val="Normal"/>
              <w:widowControl w:val="false"/>
              <w:rPr>
                <w:b/>
                <w:bCs/>
                <w:sz w:val="24"/>
                <w:szCs w:val="24"/>
              </w:rPr>
            </w:pPr>
            <w:r>
              <w:rPr>
                <w:b/>
                <w:bCs/>
                <w:sz w:val="24"/>
                <w:szCs w:val="24"/>
              </w:rPr>
              <w:t>Саратовский филиал АО «Гидроремонт-ВКК» в г. Балаково</w:t>
            </w:r>
          </w:p>
          <w:p>
            <w:pPr>
              <w:pStyle w:val="Normal"/>
              <w:widowControl w:val="false"/>
              <w:rPr>
                <w:sz w:val="24"/>
                <w:szCs w:val="24"/>
              </w:rPr>
            </w:pPr>
            <w:r>
              <w:rPr>
                <w:sz w:val="24"/>
                <w:szCs w:val="24"/>
              </w:rPr>
              <w:t>Место нахождения филиала: 413840, Российская Федерация, Саратовская обл., г. Балаково.</w:t>
            </w:r>
          </w:p>
          <w:p>
            <w:pPr>
              <w:pStyle w:val="Normal"/>
              <w:widowControl w:val="false"/>
              <w:rPr>
                <w:sz w:val="24"/>
                <w:szCs w:val="24"/>
              </w:rPr>
            </w:pPr>
            <w:r>
              <w:rPr>
                <w:sz w:val="24"/>
                <w:szCs w:val="24"/>
              </w:rPr>
              <w:t>Почтовый адрес для отправки корреспонденции в филиал: 413865, Российская Федерация, Саратовская область, г. Балаково, ул. Заовражная, 48, а/я 582, 25-ОПС.</w:t>
            </w:r>
          </w:p>
          <w:p>
            <w:pPr>
              <w:pStyle w:val="Normal"/>
              <w:widowControl w:val="false"/>
              <w:rPr>
                <w:sz w:val="24"/>
                <w:szCs w:val="24"/>
              </w:rPr>
            </w:pPr>
            <w:r>
              <w:rPr>
                <w:sz w:val="24"/>
                <w:szCs w:val="24"/>
              </w:rPr>
              <w:t>ИНН/КПП 6345012488/643903001</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ОКВЭД: 33.12</w:t>
            </w:r>
          </w:p>
          <w:p>
            <w:pPr>
              <w:pStyle w:val="Normal"/>
              <w:widowControl w:val="false"/>
              <w:rPr>
                <w:sz w:val="24"/>
                <w:szCs w:val="24"/>
              </w:rPr>
            </w:pPr>
            <w:r>
              <w:rPr>
                <w:sz w:val="24"/>
                <w:szCs w:val="24"/>
              </w:rPr>
              <w:t>ОКПО: 65814475</w:t>
            </w:r>
          </w:p>
          <w:p>
            <w:pPr>
              <w:pStyle w:val="Normal"/>
              <w:widowControl w:val="false"/>
              <w:rPr>
                <w:sz w:val="24"/>
                <w:szCs w:val="24"/>
              </w:rPr>
            </w:pPr>
            <w:r>
              <w:rPr>
                <w:sz w:val="24"/>
                <w:szCs w:val="24"/>
              </w:rPr>
              <w:t>Наименование банка: БАНК ГПБ (АО)</w:t>
            </w:r>
          </w:p>
          <w:p>
            <w:pPr>
              <w:pStyle w:val="Normal"/>
              <w:widowControl w:val="false"/>
              <w:rPr>
                <w:sz w:val="24"/>
                <w:szCs w:val="24"/>
              </w:rPr>
            </w:pPr>
            <w:r>
              <w:rPr>
                <w:sz w:val="24"/>
                <w:szCs w:val="24"/>
              </w:rPr>
              <w:t>Расчетный счет: 40702810500000046811</w:t>
            </w:r>
          </w:p>
          <w:p>
            <w:pPr>
              <w:pStyle w:val="Normal"/>
              <w:widowControl w:val="false"/>
              <w:rPr>
                <w:sz w:val="24"/>
                <w:szCs w:val="24"/>
              </w:rPr>
            </w:pPr>
            <w:r>
              <w:rPr>
                <w:sz w:val="24"/>
                <w:szCs w:val="24"/>
              </w:rPr>
              <w:t>К/с счет: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Телефон 8 (8453) 35 84 50</w:t>
            </w:r>
          </w:p>
          <w:p>
            <w:pPr>
              <w:pStyle w:val="Normal"/>
              <w:widowControl w:val="false"/>
              <w:rPr/>
            </w:pPr>
            <w:r>
              <w:rPr>
                <w:sz w:val="24"/>
                <w:szCs w:val="24"/>
                <w:lang w:val="en-US"/>
              </w:rPr>
              <w:t xml:space="preserve">e-mail: </w:t>
            </w:r>
            <w:hyperlink r:id="rId8">
              <w:r>
                <w:rPr>
                  <w:sz w:val="24"/>
                  <w:szCs w:val="24"/>
                  <w:lang w:val="en-US"/>
                </w:rPr>
                <w:t>balakovo@rushydro.ru</w:t>
              </w:r>
            </w:hyperlink>
          </w:p>
          <w:p>
            <w:pPr>
              <w:pStyle w:val="Normal"/>
              <w:widowControl w:val="false"/>
              <w:rPr>
                <w:sz w:val="24"/>
                <w:szCs w:val="24"/>
              </w:rPr>
            </w:pPr>
            <w:r>
              <w:rPr>
                <w:sz w:val="24"/>
                <w:szCs w:val="24"/>
              </w:rPr>
            </w:r>
          </w:p>
        </w:tc>
        <w:tc>
          <w:tcPr>
            <w:tcW w:w="48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5031"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889"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headerReference w:type="default" r:id="rId9"/>
          <w:footerReference w:type="even" r:id="rId10"/>
          <w:footerReference w:type="default" r:id="rId11"/>
          <w:footerReference w:type="first" r:id="rId12"/>
          <w:footnotePr>
            <w:numFmt w:val="decimal"/>
          </w:footnotePr>
          <w:type w:val="nextPage"/>
          <w:pgSz w:w="11906" w:h="16838"/>
          <w:pgMar w:left="1134" w:right="850" w:gutter="0" w:header="850" w:top="1264" w:footer="1134" w:bottom="1548"/>
          <w:pgNumType w:fmt="decimal"/>
          <w:formProt w:val="false"/>
          <w:textDirection w:val="lrTb"/>
          <w:docGrid w:type="default" w:linePitch="100" w:charSpace="8192"/>
        </w:sectPr>
      </w:pPr>
    </w:p>
    <w:p>
      <w:pPr>
        <w:pStyle w:val="BodyText"/>
        <w:numPr>
          <w:ilvl w:val="0"/>
          <w:numId w:val="0"/>
        </w:numPr>
        <w:spacing w:before="0" w:after="6"/>
        <w:ind w:left="0" w:firstLine="567"/>
        <w:jc w:val="right"/>
        <w:outlineLvl w:val="0"/>
        <w:rPr>
          <w:highlight w:val="none"/>
          <w:shd w:fill="auto" w:val="clear"/>
        </w:rPr>
      </w:pPr>
      <w:r>
        <w:rPr>
          <w:b/>
          <w:bCs/>
          <w:sz w:val="24"/>
          <w:szCs w:val="24"/>
          <w:shd w:fill="auto" w:val="clear"/>
        </w:rPr>
        <w:t>Приложение № 1</w:t>
      </w:r>
    </w:p>
    <w:p>
      <w:pPr>
        <w:pStyle w:val="BodyText"/>
        <w:spacing w:before="0" w:after="6"/>
        <w:ind w:firstLine="567"/>
        <w:jc w:val="right"/>
        <w:rPr>
          <w:highlight w:val="none"/>
          <w:shd w:fill="auto" w:val="clear"/>
        </w:rPr>
      </w:pPr>
      <w:r>
        <w:rPr>
          <w:bCs/>
          <w:sz w:val="24"/>
          <w:szCs w:val="24"/>
          <w:shd w:fill="auto" w:val="clear"/>
        </w:rPr>
        <w:t>к договору поставки</w:t>
      </w:r>
    </w:p>
    <w:p>
      <w:pPr>
        <w:pStyle w:val="BodyText"/>
        <w:spacing w:before="0" w:after="6"/>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0"/>
        <w:ind w:left="0" w:firstLine="567"/>
        <w:jc w:val="center"/>
        <w:outlineLvl w:val="0"/>
        <w:rPr>
          <w:sz w:val="24"/>
          <w:szCs w:val="24"/>
        </w:rPr>
      </w:pPr>
      <w:r>
        <w:rPr>
          <w:b/>
          <w:sz w:val="24"/>
          <w:szCs w:val="24"/>
        </w:rPr>
        <w:t>Спецификация</w:t>
      </w:r>
    </w:p>
    <w:p>
      <w:pPr>
        <w:pStyle w:val="Normal"/>
        <w:numPr>
          <w:ilvl w:val="0"/>
          <w:numId w:val="0"/>
        </w:numPr>
        <w:spacing w:before="0" w:after="0"/>
        <w:ind w:left="0" w:firstLine="567"/>
        <w:jc w:val="center"/>
        <w:outlineLvl w:val="0"/>
        <w:rPr>
          <w:b/>
          <w:i/>
          <w:i/>
          <w:sz w:val="12"/>
          <w:szCs w:val="12"/>
        </w:rPr>
      </w:pPr>
      <w:r>
        <w:rPr>
          <w:b/>
          <w:i/>
          <w:sz w:val="12"/>
          <w:szCs w:val="12"/>
        </w:rPr>
      </w:r>
    </w:p>
    <w:tbl>
      <w:tblPr>
        <w:tblW w:w="14995" w:type="dxa"/>
        <w:jc w:val="left"/>
        <w:tblInd w:w="28" w:type="dxa"/>
        <w:tblLayout w:type="fixed"/>
        <w:tblCellMar>
          <w:top w:w="0" w:type="dxa"/>
          <w:left w:w="28" w:type="dxa"/>
          <w:bottom w:w="0" w:type="dxa"/>
          <w:right w:w="28" w:type="dxa"/>
        </w:tblCellMar>
        <w:tblLook w:val="04a0" w:noVBand="1" w:noHBand="0" w:lastColumn="0" w:firstColumn="1" w:lastRow="0" w:firstRow="1"/>
      </w:tblPr>
      <w:tblGrid>
        <w:gridCol w:w="427"/>
        <w:gridCol w:w="4387"/>
        <w:gridCol w:w="2431"/>
        <w:gridCol w:w="2507"/>
        <w:gridCol w:w="1018"/>
        <w:gridCol w:w="1665"/>
        <w:gridCol w:w="1300"/>
        <w:gridCol w:w="1258"/>
      </w:tblGrid>
      <w:tr>
        <w:trPr>
          <w:trHeight w:val="227" w:hRule="atLeast"/>
        </w:trPr>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п/п</w:t>
            </w:r>
          </w:p>
        </w:tc>
        <w:tc>
          <w:tcPr>
            <w:tcW w:w="4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w:t>
            </w:r>
          </w:p>
        </w:tc>
        <w:tc>
          <w:tcPr>
            <w:tcW w:w="24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bCs/>
              </w:rPr>
            </w:pPr>
            <w:r>
              <w:rPr>
                <w:bCs/>
              </w:rPr>
              <w:t>Страна происхождения Продукции</w:t>
            </w:r>
          </w:p>
        </w:tc>
        <w:tc>
          <w:tcPr>
            <w:tcW w:w="250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bCs/>
              </w:rPr>
            </w:pPr>
            <w:r>
              <w:rPr>
                <w:bCs/>
              </w:rPr>
              <w:t>Производитель Продукции</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 изм.</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Кол-во</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rPr>
              <w:t>Цена  за ед., руб. без учета НДС</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rPr>
              <w:t>Сумма, руб.</w:t>
            </w:r>
          </w:p>
          <w:p>
            <w:pPr>
              <w:pStyle w:val="Normal"/>
              <w:widowControl w:val="false"/>
              <w:jc w:val="center"/>
              <w:rPr>
                <w:sz w:val="20"/>
                <w:szCs w:val="20"/>
              </w:rPr>
            </w:pPr>
            <w:r>
              <w:rPr>
                <w:bCs/>
                <w:sz w:val="20"/>
                <w:szCs w:val="20"/>
              </w:rPr>
              <w:t>без учета НДС</w:t>
            </w:r>
          </w:p>
        </w:tc>
      </w:tr>
      <w:tr>
        <w:trPr>
          <w:trHeight w:val="227" w:hRule="atLeast"/>
        </w:trPr>
        <w:tc>
          <w:tcPr>
            <w:tcW w:w="4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20"/>
                <w:szCs w:val="20"/>
              </w:rPr>
            </w:pPr>
            <w:r>
              <w:rPr>
                <w:sz w:val="20"/>
                <w:szCs w:val="20"/>
              </w:rPr>
              <w:t>1</w:t>
            </w:r>
          </w:p>
        </w:tc>
        <w:tc>
          <w:tcPr>
            <w:tcW w:w="438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4"/>
              <w:widowControl w:val="false"/>
              <w:jc w:val="left"/>
              <w:rPr>
                <w:sz w:val="20"/>
                <w:szCs w:val="20"/>
              </w:rPr>
            </w:pPr>
            <w:r>
              <w:rPr/>
            </w:r>
          </w:p>
        </w:tc>
        <w:tc>
          <w:tcPr>
            <w:tcW w:w="2431"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jc w:val="center"/>
              <w:rPr>
                <w:rFonts w:ascii="Times New Roman" w:hAnsi="Times New Roman"/>
                <w:sz w:val="20"/>
                <w:szCs w:val="20"/>
              </w:rPr>
            </w:pPr>
            <w:r>
              <w:rPr>
                <w:sz w:val="20"/>
                <w:szCs w:val="20"/>
              </w:rPr>
            </w:r>
          </w:p>
        </w:tc>
        <w:tc>
          <w:tcPr>
            <w:tcW w:w="2507"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jc w:val="center"/>
              <w:rPr>
                <w:rFonts w:ascii="Times New Roman" w:hAnsi="Times New Roman"/>
                <w:sz w:val="20"/>
                <w:szCs w:val="20"/>
              </w:rPr>
            </w:pPr>
            <w:r>
              <w:rPr>
                <w:sz w:val="20"/>
                <w:szCs w:val="20"/>
              </w:rPr>
            </w:r>
          </w:p>
        </w:tc>
        <w:tc>
          <w:tcPr>
            <w:tcW w:w="101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pPr>
            <w:r>
              <w:rPr/>
              <w:t>шт</w:t>
            </w:r>
          </w:p>
        </w:tc>
        <w:tc>
          <w:tcPr>
            <w:tcW w:w="16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pPr>
            <w:r>
              <w:rPr/>
              <w:t>1</w:t>
            </w:r>
          </w:p>
        </w:tc>
        <w:tc>
          <w:tcPr>
            <w:tcW w:w="13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pPr>
            <w:r>
              <w:rPr/>
            </w:r>
          </w:p>
        </w:tc>
        <w:tc>
          <w:tcPr>
            <w:tcW w:w="125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color w:val="000000"/>
              </w:rPr>
            </w:pPr>
            <w:r>
              <w:rPr>
                <w:color w:val="000000"/>
              </w:rPr>
            </w:r>
          </w:p>
        </w:tc>
      </w:tr>
      <w:tr>
        <w:trPr>
          <w:trHeight w:val="227" w:hRule="atLeast"/>
        </w:trPr>
        <w:tc>
          <w:tcPr>
            <w:tcW w:w="13735"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pPr>
            <w:r>
              <w:rPr>
                <w:b/>
              </w:rPr>
              <w:t>ИТОГО:</w:t>
            </w:r>
          </w:p>
        </w:tc>
        <w:tc>
          <w:tcPr>
            <w:tcW w:w="125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r>
        <w:trPr>
          <w:trHeight w:val="227" w:hRule="atLeast"/>
        </w:trPr>
        <w:tc>
          <w:tcPr>
            <w:tcW w:w="13735"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pPr>
            <w:r>
              <w:rPr>
                <w:b/>
                <w:u w:val="single"/>
              </w:rPr>
              <w:t>Кроме того НДС __ %:</w:t>
            </w:r>
          </w:p>
        </w:tc>
        <w:tc>
          <w:tcPr>
            <w:tcW w:w="125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r>
        <w:trPr>
          <w:trHeight w:val="227" w:hRule="atLeast"/>
        </w:trPr>
        <w:tc>
          <w:tcPr>
            <w:tcW w:w="13735"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pPr>
            <w:r>
              <w:rPr>
                <w:b/>
                <w:bCs/>
                <w:u w:val="single"/>
              </w:rPr>
              <w:t>ИТОГО с НДС ___%:</w:t>
            </w:r>
          </w:p>
        </w:tc>
        <w:tc>
          <w:tcPr>
            <w:tcW w:w="125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bl>
    <w:p>
      <w:pPr>
        <w:pStyle w:val="BodyText"/>
        <w:rPr>
          <w:sz w:val="22"/>
          <w:szCs w:val="22"/>
        </w:rPr>
      </w:pPr>
      <w:r>
        <w:rPr>
          <w:b/>
          <w:bCs/>
          <w:i/>
          <w:sz w:val="22"/>
          <w:szCs w:val="22"/>
        </w:rPr>
        <w:t>Условия поставки:</w:t>
      </w:r>
    </w:p>
    <w:p>
      <w:pPr>
        <w:pStyle w:val="ListParagraph"/>
        <w:shd w:val="clear" w:color="auto" w:fill="FFFFFF"/>
        <w:tabs>
          <w:tab w:val="clear" w:pos="720"/>
          <w:tab w:val="left" w:pos="851" w:leader="none"/>
          <w:tab w:val="left" w:pos="5321" w:leader="none"/>
        </w:tabs>
        <w:spacing w:before="0" w:after="0"/>
        <w:ind w:left="0" w:hanging="0"/>
        <w:contextualSpacing w:val="false"/>
        <w:jc w:val="both"/>
        <w:rPr>
          <w:sz w:val="22"/>
          <w:szCs w:val="22"/>
        </w:rPr>
      </w:pPr>
      <w:r>
        <w:rPr>
          <w:bCs/>
          <w:sz w:val="22"/>
          <w:szCs w:val="22"/>
        </w:rPr>
        <w:t xml:space="preserve">1. Общая сумма Спецификации составляет </w:t>
      </w:r>
      <w:r>
        <w:rPr>
          <w:b w:val="false"/>
          <w:bCs w:val="false"/>
          <w:sz w:val="22"/>
          <w:szCs w:val="22"/>
          <w:u w:val="none"/>
        </w:rPr>
        <w:t xml:space="preserve">__________(__________________) рублей _____ </w:t>
      </w:r>
      <w:r>
        <w:rPr>
          <w:b w:val="false"/>
          <w:bCs/>
          <w:sz w:val="22"/>
          <w:szCs w:val="22"/>
          <w:u w:val="none"/>
        </w:rPr>
        <w:t xml:space="preserve">копеек </w:t>
      </w:r>
      <w:r>
        <w:rPr>
          <w:b w:val="false"/>
          <w:bCs/>
          <w:sz w:val="22"/>
          <w:szCs w:val="22"/>
          <w:u w:val="single"/>
        </w:rPr>
        <w:t>без учёта НДС, при этом НДС исчисляется дополнительно по ставке, установленной ст.164 Налогового кодекса РФ.</w:t>
      </w:r>
      <w:r>
        <w:rPr>
          <w:rStyle w:val="FootnoteReference"/>
          <w:b w:val="false"/>
          <w:bCs/>
          <w:sz w:val="22"/>
          <w:szCs w:val="22"/>
          <w:u w:val="single"/>
        </w:rPr>
        <w:footnoteReference w:id="6"/>
      </w:r>
    </w:p>
    <w:p>
      <w:pPr>
        <w:pStyle w:val="Normal"/>
        <w:widowControl w:val="false"/>
        <w:jc w:val="both"/>
        <w:rPr>
          <w:sz w:val="22"/>
          <w:szCs w:val="22"/>
        </w:rPr>
      </w:pPr>
      <w:r>
        <w:rPr>
          <w:sz w:val="22"/>
          <w:szCs w:val="22"/>
        </w:rPr>
        <w:t>2. Характеристики Продукции: согласно настоящей Спецификации и Техническим требованиям (Приложение №2) к Договору.</w:t>
      </w:r>
    </w:p>
    <w:p>
      <w:pPr>
        <w:pStyle w:val="ListParagraph"/>
        <w:tabs>
          <w:tab w:val="clear" w:pos="720"/>
          <w:tab w:val="left" w:pos="284" w:leader="none"/>
        </w:tabs>
        <w:ind w:left="0" w:hanging="0"/>
        <w:jc w:val="both"/>
        <w:rPr>
          <w:sz w:val="22"/>
          <w:szCs w:val="22"/>
        </w:rPr>
      </w:pPr>
      <w:r>
        <w:rPr>
          <w:sz w:val="22"/>
          <w:szCs w:val="22"/>
        </w:rPr>
        <w:t xml:space="preserve">3. </w:t>
      </w:r>
      <w:r>
        <w:rPr>
          <w:bCs/>
          <w:sz w:val="22"/>
          <w:szCs w:val="22"/>
          <w:lang w:eastAsia="en-US"/>
        </w:rPr>
        <w:t xml:space="preserve">Приемка Продукции осуществляется на территории Грузополучателя в рабочие дни: пн-чт с 8-00 до 12-00 и с 13-00 до 16-00 (по местному времени), </w:t>
      </w:r>
      <w:r>
        <w:rPr>
          <w:rFonts w:eastAsia="Times New Roman" w:cs="Times New Roman"/>
          <w:bCs/>
          <w:color w:val="1C1C1C"/>
          <w:sz w:val="22"/>
          <w:szCs w:val="22"/>
          <w:lang w:eastAsia="ru-RU"/>
        </w:rPr>
        <w:t>в пятницу с 8-00 до 12-00 и с 13-00 до 15-00 (по местному времени)</w:t>
      </w:r>
      <w:r>
        <w:rPr>
          <w:bCs/>
          <w:sz w:val="22"/>
          <w:szCs w:val="22"/>
          <w:lang w:eastAsia="en-US"/>
        </w:rPr>
        <w:t>. Информация о транспорте, на котором осуществляется доставка Продукции, для оформления допуска на территорию Грузополучателя предоставляется Поставщиком Покупателю не позднее чем за 2 рабочих дня, предшествующих дню поставки.</w:t>
      </w:r>
    </w:p>
    <w:p>
      <w:pPr>
        <w:pStyle w:val="Normal"/>
        <w:widowControl w:val="false"/>
        <w:tabs>
          <w:tab w:val="clear" w:pos="720"/>
          <w:tab w:val="left" w:pos="284" w:leader="none"/>
        </w:tabs>
        <w:jc w:val="both"/>
        <w:rPr>
          <w:sz w:val="22"/>
          <w:szCs w:val="22"/>
        </w:rPr>
      </w:pPr>
      <w:r>
        <w:rPr>
          <w:sz w:val="22"/>
          <w:szCs w:val="22"/>
        </w:rPr>
        <w:t>4. При оформлении первичных документов указывать следующие реквизиты:</w:t>
      </w:r>
    </w:p>
    <w:p>
      <w:pPr>
        <w:pStyle w:val="BodyTextIndent"/>
        <w:ind w:hanging="0"/>
        <w:rPr>
          <w:sz w:val="22"/>
          <w:szCs w:val="22"/>
        </w:rPr>
      </w:pPr>
      <w:r>
        <w:rPr>
          <w:b/>
          <w:sz w:val="22"/>
          <w:szCs w:val="22"/>
        </w:rPr>
        <w:t>Покупатель:</w:t>
      </w:r>
    </w:p>
    <w:p>
      <w:pPr>
        <w:pStyle w:val="Normal"/>
        <w:jc w:val="both"/>
        <w:rPr>
          <w:sz w:val="22"/>
          <w:szCs w:val="22"/>
        </w:rPr>
      </w:pPr>
      <w:r>
        <w:rPr>
          <w:b/>
          <w:sz w:val="22"/>
          <w:szCs w:val="22"/>
        </w:rPr>
        <w:t>АО «Гидроремонт-ВКК»</w:t>
      </w:r>
    </w:p>
    <w:p>
      <w:pPr>
        <w:pStyle w:val="Normal"/>
        <w:jc w:val="both"/>
        <w:rPr>
          <w:sz w:val="22"/>
          <w:szCs w:val="22"/>
        </w:rPr>
      </w:pPr>
      <w:r>
        <w:rPr>
          <w:sz w:val="22"/>
          <w:szCs w:val="22"/>
        </w:rPr>
        <w:t xml:space="preserve">Место нахождения: </w:t>
      </w:r>
      <w:r>
        <w:rPr>
          <w:color w:val="000000"/>
          <w:sz w:val="22"/>
          <w:szCs w:val="22"/>
          <w:lang w:val="ru-RU"/>
        </w:rPr>
        <w:t>603140, Россия, Нижегородская область, г.о. город Нижний Новгород, г. Нижний Новгород, пер. Мотальный, д. 8, помещ. ВП31, офис С1А</w:t>
      </w:r>
      <w:r>
        <w:rPr>
          <w:sz w:val="22"/>
          <w:szCs w:val="22"/>
        </w:rPr>
        <w:t>.</w:t>
      </w:r>
    </w:p>
    <w:p>
      <w:pPr>
        <w:pStyle w:val="Normal"/>
        <w:tabs>
          <w:tab w:val="clear" w:pos="720"/>
          <w:tab w:val="left" w:pos="284" w:leader="none"/>
        </w:tabs>
        <w:jc w:val="both"/>
        <w:rPr>
          <w:sz w:val="22"/>
          <w:szCs w:val="22"/>
        </w:rPr>
      </w:pPr>
      <w:r>
        <w:rPr>
          <w:b w:val="false"/>
          <w:bCs w:val="false"/>
          <w:sz w:val="22"/>
          <w:szCs w:val="22"/>
          <w:shd w:fill="auto" w:val="clear"/>
        </w:rPr>
        <w:t>ИНН/КПП: 6345012488/643903001.</w:t>
      </w:r>
    </w:p>
    <w:p>
      <w:pPr>
        <w:pStyle w:val="Normal"/>
        <w:tabs>
          <w:tab w:val="clear" w:pos="720"/>
          <w:tab w:val="left" w:pos="284" w:leader="none"/>
          <w:tab w:val="left" w:pos="426" w:leader="none"/>
        </w:tabs>
        <w:jc w:val="both"/>
        <w:rPr>
          <w:sz w:val="22"/>
          <w:szCs w:val="22"/>
        </w:rPr>
      </w:pPr>
      <w:r>
        <w:rPr>
          <w:b/>
          <w:sz w:val="22"/>
          <w:szCs w:val="22"/>
        </w:rPr>
        <w:t>Плательщик / Грузополучатель:</w:t>
      </w:r>
    </w:p>
    <w:p>
      <w:pPr>
        <w:pStyle w:val="Normal"/>
        <w:numPr>
          <w:ilvl w:val="0"/>
          <w:numId w:val="0"/>
        </w:numPr>
        <w:ind w:left="0" w:hanging="0"/>
        <w:outlineLvl w:val="0"/>
        <w:rPr>
          <w:sz w:val="22"/>
          <w:szCs w:val="22"/>
        </w:rPr>
      </w:pPr>
      <w:r>
        <w:rPr>
          <w:b/>
          <w:sz w:val="22"/>
          <w:szCs w:val="22"/>
        </w:rPr>
        <w:t>Саратовский филиал АО «Гидроремонт-ВКК» в г. Балаково</w:t>
      </w:r>
    </w:p>
    <w:p>
      <w:pPr>
        <w:pStyle w:val="Normal"/>
        <w:tabs>
          <w:tab w:val="clear" w:pos="720"/>
          <w:tab w:val="left" w:pos="284" w:leader="none"/>
        </w:tabs>
        <w:jc w:val="both"/>
        <w:rPr>
          <w:sz w:val="22"/>
          <w:szCs w:val="22"/>
        </w:rPr>
      </w:pPr>
      <w:r>
        <w:rPr>
          <w:sz w:val="22"/>
          <w:szCs w:val="22"/>
        </w:rPr>
        <w:t>Место нахождения филиала: 413840, Саратовская обл., г. Балаково.</w:t>
      </w:r>
    </w:p>
    <w:p>
      <w:pPr>
        <w:pStyle w:val="Normal"/>
        <w:tabs>
          <w:tab w:val="clear" w:pos="720"/>
          <w:tab w:val="left" w:pos="284" w:leader="none"/>
          <w:tab w:val="left" w:pos="426" w:leader="none"/>
        </w:tabs>
        <w:jc w:val="both"/>
        <w:rPr>
          <w:sz w:val="22"/>
          <w:szCs w:val="22"/>
        </w:rPr>
      </w:pPr>
      <w:r>
        <w:rPr>
          <w:sz w:val="22"/>
          <w:szCs w:val="22"/>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0"/>
              <w:jc w:val="left"/>
              <w:rPr>
                <w:sz w:val="22"/>
                <w:szCs w:val="22"/>
              </w:rPr>
            </w:pPr>
            <w:r>
              <w:rPr>
                <w:rFonts w:ascii="Times New Roman" w:hAnsi="Times New Roman"/>
                <w:b/>
                <w:sz w:val="22"/>
                <w:szCs w:val="22"/>
                <w:u w:val="single"/>
                <w:lang w:val="ru-RU"/>
              </w:rPr>
              <w:t>Покупатель</w:t>
            </w:r>
            <w:r>
              <w:rPr>
                <w:rFonts w:ascii="Times New Roman" w:hAnsi="Times New Roman"/>
                <w:b/>
                <w:sz w:val="22"/>
                <w:szCs w:val="22"/>
                <w:u w:val="single"/>
              </w:rPr>
              <w:t>:</w:t>
            </w:r>
          </w:p>
        </w:tc>
        <w:tc>
          <w:tcPr>
            <w:tcW w:w="4785" w:type="dxa"/>
            <w:tcBorders/>
            <w:shd w:color="auto" w:fill="FFFFFF" w:themeFill="background1" w:val="clear"/>
          </w:tcPr>
          <w:p>
            <w:pPr>
              <w:pStyle w:val="Style19"/>
              <w:widowControl w:val="false"/>
              <w:spacing w:lineRule="auto" w:line="240" w:before="0" w:after="0"/>
              <w:jc w:val="left"/>
              <w:rPr>
                <w:sz w:val="22"/>
                <w:szCs w:val="22"/>
              </w:rPr>
            </w:pPr>
            <w:r>
              <w:rPr>
                <w:rFonts w:ascii="Times New Roman" w:hAnsi="Times New Roman"/>
                <w:b/>
                <w:sz w:val="22"/>
                <w:szCs w:val="22"/>
                <w:u w:val="single"/>
                <w:lang w:val="ru-RU"/>
              </w:rPr>
              <w:t>Поставщик</w:t>
            </w:r>
            <w:r>
              <w:rPr>
                <w:rFonts w:ascii="Times New Roman" w:hAnsi="Times New Roman"/>
                <w:b/>
                <w:sz w:val="22"/>
                <w:szCs w:val="22"/>
                <w:u w:val="single"/>
              </w:rPr>
              <w:t>:</w:t>
            </w:r>
          </w:p>
        </w:tc>
      </w:tr>
      <w:tr>
        <w:trPr/>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785" w:type="dxa"/>
            <w:tcBorders/>
            <w:shd w:color="auto" w:fill="FFFFFF" w:themeFill="background1" w:val="clear"/>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sz w:val="22"/>
                <w:szCs w:val="22"/>
              </w:rPr>
              <w:t>м.п.</w:t>
            </w:r>
          </w:p>
        </w:tc>
      </w:tr>
    </w:tbl>
    <w:p>
      <w:pPr>
        <w:sectPr>
          <w:headerReference w:type="default" r:id="rId13"/>
          <w:headerReference w:type="first" r:id="rId14"/>
          <w:footerReference w:type="default" r:id="rId15"/>
          <w:footerReference w:type="first" r:id="rId16"/>
          <w:footnotePr>
            <w:numFmt w:val="decimal"/>
          </w:footnotePr>
          <w:type w:val="nextPage"/>
          <w:pgSz w:orient="landscape" w:w="16838" w:h="11906"/>
          <w:pgMar w:left="1134" w:right="707" w:gutter="0" w:header="493" w:top="907" w:footer="493" w:bottom="907"/>
          <w:pgNumType w:fmt="decimal"/>
          <w:formProt w:val="false"/>
          <w:textDirection w:val="lrTb"/>
          <w:docGrid w:type="default" w:linePitch="100" w:charSpace="8192"/>
        </w:sectPr>
      </w:pPr>
      <w:r>
        <w:br w:type="page"/>
      </w:r>
    </w:p>
    <w:p>
      <w:pPr>
        <w:pStyle w:val="BodyText"/>
        <w:numPr>
          <w:ilvl w:val="0"/>
          <w:numId w:val="0"/>
        </w:numPr>
        <w:spacing w:before="0" w:after="6"/>
        <w:ind w:left="0" w:firstLine="567"/>
        <w:jc w:val="right"/>
        <w:outlineLvl w:val="0"/>
        <w:rPr>
          <w:highlight w:val="none"/>
          <w:shd w:fill="auto" w:val="clear"/>
        </w:rPr>
      </w:pPr>
      <w:r>
        <w:rPr>
          <w:b/>
          <w:bCs/>
          <w:sz w:val="24"/>
          <w:szCs w:val="24"/>
          <w:shd w:fill="auto" w:val="clear"/>
        </w:rPr>
        <w:t>Приложение № 2</w:t>
      </w:r>
    </w:p>
    <w:p>
      <w:pPr>
        <w:pStyle w:val="BodyText"/>
        <w:spacing w:before="0" w:after="6"/>
        <w:ind w:firstLine="567"/>
        <w:jc w:val="right"/>
        <w:rPr>
          <w:highlight w:val="none"/>
          <w:shd w:fill="auto" w:val="clear"/>
        </w:rPr>
      </w:pPr>
      <w:r>
        <w:rPr>
          <w:bCs/>
          <w:sz w:val="24"/>
          <w:szCs w:val="24"/>
          <w:shd w:fill="auto" w:val="clear"/>
        </w:rPr>
        <w:t>к договору поставки</w:t>
      </w:r>
    </w:p>
    <w:p>
      <w:pPr>
        <w:pStyle w:val="BodyText"/>
        <w:spacing w:before="0" w:after="6"/>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spacing w:before="0" w:after="6"/>
        <w:ind w:firstLine="567"/>
        <w:jc w:val="right"/>
        <w:rPr>
          <w:bCs/>
          <w:sz w:val="24"/>
          <w:szCs w:val="24"/>
          <w:highlight w:val="none"/>
          <w:shd w:fill="auto" w:val="clear"/>
        </w:rPr>
      </w:pPr>
      <w:r>
        <w:rPr>
          <w:bCs/>
          <w:sz w:val="24"/>
          <w:szCs w:val="24"/>
          <w:shd w:fill="auto" w:val="clear"/>
        </w:rPr>
      </w:r>
    </w:p>
    <w:p>
      <w:pPr>
        <w:pStyle w:val="BodyText"/>
        <w:spacing w:before="0" w:after="6"/>
        <w:ind w:firstLine="567"/>
        <w:jc w:val="right"/>
        <w:rPr>
          <w:bCs/>
          <w:sz w:val="24"/>
          <w:szCs w:val="24"/>
          <w:highlight w:val="none"/>
          <w:shd w:fill="auto" w:val="clear"/>
        </w:rPr>
      </w:pPr>
      <w:r>
        <w:rPr>
          <w:bCs/>
          <w:sz w:val="24"/>
          <w:szCs w:val="24"/>
          <w:shd w:fill="auto" w:val="clear"/>
        </w:rPr>
      </w:r>
    </w:p>
    <w:p>
      <w:pPr>
        <w:pStyle w:val="BodyText"/>
        <w:spacing w:lineRule="auto" w:line="240" w:before="0" w:after="0"/>
        <w:ind w:left="0" w:right="0" w:hanging="0"/>
        <w:jc w:val="right"/>
        <w:rPr>
          <w:bCs/>
          <w:sz w:val="24"/>
          <w:szCs w:val="24"/>
          <w:highlight w:val="none"/>
          <w:shd w:fill="auto" w:val="clear"/>
        </w:rPr>
      </w:pPr>
      <w:r>
        <w:rPr>
          <w:bCs/>
          <w:sz w:val="24"/>
          <w:szCs w:val="24"/>
          <w:shd w:fill="auto" w:val="clear"/>
        </w:rPr>
      </w:r>
    </w:p>
    <w:p>
      <w:pPr>
        <w:pStyle w:val="BodyText"/>
        <w:spacing w:lineRule="auto" w:line="240" w:before="0" w:after="0"/>
        <w:ind w:left="0" w:right="0" w:hanging="0"/>
        <w:jc w:val="center"/>
        <w:rPr/>
      </w:pPr>
      <w:r>
        <w:rPr>
          <w:b/>
          <w:bCs/>
          <w:sz w:val="24"/>
          <w:szCs w:val="24"/>
          <w:shd w:fill="auto" w:val="clear"/>
        </w:rPr>
        <w:t>ТЕХНИЧЕСКИЕ ТРЕБОВАНИЯ</w:t>
      </w:r>
    </w:p>
    <w:p>
      <w:pPr>
        <w:pStyle w:val="Normal"/>
        <w:widowControl w:val="false"/>
        <w:spacing w:lineRule="auto" w:line="240" w:before="0" w:after="0"/>
        <w:ind w:left="0" w:right="0" w:hanging="0"/>
        <w:jc w:val="center"/>
        <w:rPr>
          <w:rFonts w:ascii="Times New Roman" w:hAnsi="Times New Roman" w:eastAsia="Times New Roman" w:cs="Times New Roman"/>
          <w:b/>
          <w:sz w:val="24"/>
          <w:szCs w:val="24"/>
          <w:lang w:eastAsia="ru-RU"/>
        </w:rPr>
      </w:pPr>
      <w:r>
        <w:rPr>
          <w:rFonts w:eastAsia="Times New Roman" w:cs="Times New Roman"/>
          <w:b/>
          <w:sz w:val="24"/>
          <w:szCs w:val="24"/>
          <w:lang w:eastAsia="ru-RU"/>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lineRule="auto" w:line="240" w:before="0" w:after="0"/>
        <w:ind w:left="0" w:righ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0"/>
              <w:jc w:val="left"/>
              <w:rPr>
                <w:sz w:val="12"/>
                <w:szCs w:val="12"/>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9"/>
              <w:widowControl w:val="false"/>
              <w:spacing w:lineRule="auto" w:line="240" w:before="0" w:after="0"/>
              <w:jc w:val="left"/>
              <w:rPr>
                <w:sz w:val="12"/>
                <w:szCs w:val="12"/>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pStyle w:val="BodyText"/>
        <w:numPr>
          <w:ilvl w:val="0"/>
          <w:numId w:val="0"/>
        </w:numPr>
        <w:spacing w:before="0" w:after="120"/>
        <w:ind w:left="0" w:hanging="0"/>
        <w:outlineLvl w:val="0"/>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850"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635" simplePos="0" locked="0" layoutInCell="0" allowOverlap="1" relativeHeight="36">
              <wp:simplePos x="0" y="0"/>
              <wp:positionH relativeFrom="margin">
                <wp:posOffset>6112510</wp:posOffset>
              </wp:positionH>
              <wp:positionV relativeFrom="paragraph">
                <wp:posOffset>635</wp:posOffset>
              </wp:positionV>
              <wp:extent cx="276860"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635" simplePos="0" locked="0" layoutInCell="0" allowOverlap="1" relativeHeight="36">
              <wp:simplePos x="0" y="0"/>
              <wp:positionH relativeFrom="margin">
                <wp:posOffset>6112510</wp:posOffset>
              </wp:positionH>
              <wp:positionV relativeFrom="paragraph">
                <wp:posOffset>635</wp:posOffset>
              </wp:positionV>
              <wp:extent cx="276860"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0">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739.7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8">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Здесь и далее подчеркиванием, обозначен текст, доступный для удаления или редактирования в процессе подготовки договора, так же, как и поля, отмеченные пропусками.</w:t>
      </w:r>
    </w:p>
  </w:footnote>
  <w:footnote w:id="3">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5">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b/>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3"/>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11">
    <w:name w:val="Гиперссылка1"/>
    <w:basedOn w:val="DefaultParagraphFont"/>
    <w:qFormat/>
    <w:rPr>
      <w:color w:val="0000FF" w:themeColor="hyperlink"/>
      <w:u w:val="single"/>
    </w:rPr>
  </w:style>
  <w:style w:type="character" w:styleId="WW8Num36z0">
    <w:name w:val="WW8Num36z0"/>
    <w:qFormat/>
    <w:rPr/>
  </w:style>
  <w:style w:type="character" w:styleId="FootnoteReference1">
    <w:name w:val="Footnote Reference1"/>
    <w:qFormat/>
    <w:rPr>
      <w:vertAlign w:val="superscript"/>
    </w:rPr>
  </w:style>
  <w:style w:type="character" w:styleId="Style14">
    <w:name w:val="Символ нумерации"/>
    <w:qFormat/>
    <w:rPr/>
  </w:style>
  <w:style w:type="character" w:styleId="WW8Num9z0">
    <w:name w:val="WW8Num9z0"/>
    <w:qFormat/>
    <w:rPr>
      <w:rFonts w:ascii="Symbol" w:hAnsi="Symbol" w:cs="Symbol"/>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7">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2"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8"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19"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0"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1"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3"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Style22">
    <w:name w:val="Содержимое врезки"/>
    <w:basedOn w:val="Normal"/>
    <w:qFormat/>
    <w:pPr/>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Style23">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numbering" w:styleId="WW8Num13">
    <w:name w:val="WW8Num13"/>
    <w:qFormat/>
  </w:style>
  <w:style w:type="numbering" w:styleId="WW8Num36">
    <w:name w:val="WW8Num36"/>
    <w:qFormat/>
  </w:style>
  <w:style w:type="numbering" w:styleId="WW8Num9">
    <w:name w:val="WW8Num9"/>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yperlink" Target="mailto:balakovo@rushydro.ru"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DA7FA-3592-41AA-857B-D223033A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Application>AlterOffice/3.4.0.9$Linux_X86_64 LibreOffice_project/b8daf9e823b1a5463a2f48435ddc2e8696e7d4fc</Application>
  <AppVersion>15.0000</AppVersion>
  <Pages>19</Pages>
  <Words>6656</Words>
  <Characters>47289</Characters>
  <CharactersWithSpaces>53434</CharactersWithSpaces>
  <Paragraphs>334</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2023-05-04T10:21:00Z</dcterms:created>
  <dc:creator>Света &amp; Алла (Twix)</dc:creator>
  <dc:description/>
  <dc:language>ru-RU</dc:language>
  <cp:lastModifiedBy>shipovalovaya@corp.gidroogk.com</cp:lastModifiedBy>
  <cp:lastPrinted>2017-11-07T14:48:00Z</cp:lastPrinted>
  <dcterms:modified xsi:type="dcterms:W3CDTF">2026-08-11T10:39:11Z</dcterms:modified>
  <cp:revision>69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