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13" w:type="dxa"/>
        <w:jc w:val="left"/>
        <w:tblInd w:w="1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922"/>
        <w:gridCol w:w="5790"/>
      </w:tblGrid>
      <w:tr>
        <w:trPr>
          <w:trHeight w:val="2804" w:hRule="atLeast"/>
        </w:trPr>
        <w:tc>
          <w:tcPr>
            <w:tcW w:w="4922" w:type="dxa"/>
            <w:tcBorders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790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0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113" w:right="454" w:hanging="0"/>
              <w:jc w:val="left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</w:r>
          </w:p>
          <w:p>
            <w:pPr>
              <w:pStyle w:val="Normal"/>
              <w:widowControl w:val="false"/>
              <w:ind w:firstLine="6096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5839" w:right="5329" w:hanging="0"/>
              <w:jc w:val="left"/>
              <w:rPr>
                <w:sz w:val="26"/>
                <w:szCs w:val="26"/>
                <w:lang w:eastAsia="x-none"/>
              </w:rPr>
            </w:pPr>
            <w:r>
              <w:rPr>
                <w:sz w:val="26"/>
                <w:szCs w:val="26"/>
                <w:lang w:eastAsia="x-none"/>
              </w:rPr>
            </w:r>
          </w:p>
        </w:tc>
      </w:tr>
    </w:tbl>
    <w:p>
      <w:pPr>
        <w:pStyle w:val="Normal"/>
        <w:keepNext w:val="true"/>
        <w:keepLines/>
        <w:tabs>
          <w:tab w:val="clear" w:pos="708"/>
          <w:tab w:val="left" w:pos="213" w:leader="none"/>
          <w:tab w:val="right" w:pos="10204" w:leader="none"/>
        </w:tabs>
        <w:rPr>
          <w:sz w:val="24"/>
          <w:szCs w:val="24"/>
        </w:rPr>
      </w:pPr>
      <w:r>
        <w:rPr>
          <w:sz w:val="24"/>
          <w:szCs w:val="24"/>
        </w:rPr>
        <w:tab/>
        <w:tab/>
      </w:r>
    </w:p>
    <w:p>
      <w:pPr>
        <w:pStyle w:val="Normal"/>
        <w:keepNext w:val="true"/>
        <w:keepLines/>
        <w:tabs>
          <w:tab w:val="clear" w:pos="708"/>
          <w:tab w:val="left" w:pos="213" w:leader="none"/>
          <w:tab w:val="right" w:pos="1020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tabs>
          <w:tab w:val="clear" w:pos="708"/>
          <w:tab w:val="left" w:pos="213" w:leader="none"/>
          <w:tab w:val="right" w:pos="1020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tabs>
          <w:tab w:val="clear" w:pos="708"/>
          <w:tab w:val="left" w:pos="213" w:leader="none"/>
          <w:tab w:val="right" w:pos="10204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widowControl/>
        <w:suppressAutoHyphens w:val="true"/>
        <w:bidi w:val="0"/>
        <w:spacing w:before="0" w:after="0"/>
        <w:ind w:left="0" w:right="5159" w:hanging="0"/>
        <w:jc w:val="left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bookmarkStart w:id="0" w:name="_Toc137554584"/>
      <w:bookmarkStart w:id="1" w:name="_Toc141696704"/>
      <w:bookmarkStart w:id="2" w:name="_Toc139856287"/>
      <w:bookmarkStart w:id="3" w:name="_Toc137554584"/>
      <w:bookmarkStart w:id="4" w:name="_Toc141696704"/>
      <w:bookmarkStart w:id="5" w:name="_Toc139856287"/>
      <w:bookmarkEnd w:id="3"/>
      <w:bookmarkEnd w:id="4"/>
      <w:bookmarkEnd w:id="5"/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ОКПД2 45.20.11 Оказание услуг по техническому обслуживанию и текущему ремонту негарантийных транспортных средств в Приморском крае для нужд Владивостокского представительства АО "ТК РусГидро"</w:t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Лот №</w:t>
      </w:r>
      <w:r>
        <w:rPr>
          <w:b w:val="false"/>
          <w:bCs w:val="false"/>
          <w:i/>
          <w:iCs/>
          <w:sz w:val="24"/>
          <w:szCs w:val="24"/>
        </w:rPr>
        <w:t xml:space="preserve"> </w:t>
      </w:r>
      <w:r>
        <w:rPr>
          <w:b/>
          <w:bCs/>
          <w:i w:val="false"/>
          <w:iCs w:val="false"/>
          <w:strike w:val="false"/>
          <w:dstrike w:val="false"/>
          <w:sz w:val="24"/>
          <w:szCs w:val="24"/>
          <w:shd w:fill="auto" w:val="clear"/>
        </w:rPr>
        <w:t xml:space="preserve"> 8063-ТО ПРОД-2027-Влад ТК РусГидро АО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Наименование закупаемой продукции</w:t>
            </w:r>
            <w:r>
              <w:rPr>
                <w:rStyle w:val="Style14"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7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Цель оказания услуг</w:t>
            </w:r>
            <w:r>
              <w:rPr>
                <w:rStyle w:val="Style14"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8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Существующее положение</w:t>
            </w:r>
            <w:r>
              <w:rPr>
                <w:rStyle w:val="Style14"/>
                <w:vanish w:val="false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  <w:lang w:val="en-US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  <w:sz w:val="24"/>
                <w:szCs w:val="24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  <w:sz w:val="24"/>
                <w:szCs w:val="24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  <w:sz w:val="24"/>
                <w:szCs w:val="24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rStyle w:val="Style14"/>
                <w:sz w:val="24"/>
                <w:szCs w:val="24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  <w:sz w:val="24"/>
                <w:szCs w:val="24"/>
              </w:rPr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7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54643711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договора………………………………….........................................…………………………………...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rPr>
              <w:rFonts w:eastAsia="" w:eastAsiaTheme="minorEastAsia"/>
            </w:rPr>
          </w:pPr>
          <w:r>
            <w:rPr>
              <w:rFonts w:eastAsia="" w:eastAsiaTheme="minorEastAsia"/>
              <w:b/>
              <w:sz w:val="24"/>
              <w:szCs w:val="24"/>
            </w:rPr>
            <w:t>5</w:t>
          </w:r>
          <w:r>
            <w:rPr>
              <w:rFonts w:eastAsia="" w:eastAsiaTheme="minorEastAsia"/>
            </w:rPr>
            <w:t xml:space="preserve">. </w:t>
          </w:r>
          <w:r>
            <w:rPr>
              <w:rFonts w:eastAsia="" w:eastAsiaTheme="minorEastAsia"/>
              <w:b/>
              <w:sz w:val="24"/>
              <w:szCs w:val="24"/>
            </w:rPr>
            <w:t>Приложения………………………………………………………………………………………....11</w:t>
          </w:r>
          <w:r>
            <w:rPr>
              <w:sz w:val="24"/>
              <w:b/>
              <w:szCs w:val="24"/>
              <w:rFonts w:eastAsia="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6" w:name="_Toc54643694"/>
      <w:r>
        <w:rPr>
          <w:sz w:val="24"/>
          <w:szCs w:val="24"/>
          <w:lang w:val="ru-RU"/>
        </w:rPr>
        <w:t>Общие сведения</w:t>
      </w:r>
      <w:bookmarkEnd w:id="6"/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7" w:name="_Toc54643695"/>
      <w:bookmarkStart w:id="8" w:name="_Toc46743505"/>
      <w:r>
        <w:rPr/>
        <w:t>Обозначения и сокращения</w:t>
      </w:r>
      <w:bookmarkEnd w:id="7"/>
      <w:bookmarkEnd w:id="8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Технический ремонт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Транспортное средство</w:t>
            </w:r>
          </w:p>
        </w:tc>
      </w:tr>
      <w:tr>
        <w:trPr>
          <w:trHeight w:val="538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shd w:fill="auto" w:val="clear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shd w:fill="auto" w:val="clear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Транспортный участок</w:t>
            </w:r>
          </w:p>
        </w:tc>
      </w:tr>
      <w:tr>
        <w:trPr>
          <w:trHeight w:val="473" w:hRule="atLeast"/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shd w:fill="auto" w:val="clear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  <w:shd w:fill="auto" w:val="clear"/>
              </w:rPr>
            </w:pPr>
            <w:r>
              <w:rPr>
                <w:rStyle w:val="Style8"/>
                <w:b w:val="false"/>
                <w:bCs/>
                <w:i w:val="false"/>
                <w:sz w:val="24"/>
                <w:szCs w:val="24"/>
                <w:shd w:fill="auto" w:val="clear"/>
              </w:rPr>
              <w:t>Техническое обслуживание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rPr/>
      </w:pPr>
      <w:bookmarkStart w:id="9" w:name="_Toc54643696"/>
      <w:bookmarkStart w:id="10" w:name="_Toc46743506"/>
      <w:bookmarkEnd w:id="9"/>
      <w:bookmarkEnd w:id="10"/>
      <w:r>
        <w:rPr/>
        <w:t>Наименование закупаемой продукции</w:t>
      </w:r>
    </w:p>
    <w:p>
      <w:pPr>
        <w:pStyle w:val="Normal"/>
        <w:keepNext w:val="true"/>
        <w:keepLines/>
        <w:tabs>
          <w:tab w:val="clear" w:pos="708"/>
          <w:tab w:val="left" w:pos="426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>ОКПД 2: 45.20.11 Оказание услуг по техническому обслуживанию и текущему ремонту негарантийных транспортных средств в Приморском крае для нужд Владивостокского представительства АО "ТК РусГидро"»</w:t>
      </w:r>
    </w:p>
    <w:p>
      <w:pPr>
        <w:pStyle w:val="Normal"/>
        <w:keepNext w:val="true"/>
        <w:keepLines/>
        <w:tabs>
          <w:tab w:val="clear" w:pos="708"/>
          <w:tab w:val="left" w:pos="426" w:leader="none"/>
        </w:tabs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 w:val="false"/>
          <w:i w:val="false"/>
          <w:sz w:val="24"/>
          <w:szCs w:val="24"/>
          <w:shd w:fill="auto" w:val="clear"/>
        </w:rPr>
      </w:r>
    </w:p>
    <w:p>
      <w:pPr>
        <w:pStyle w:val="Heading4"/>
        <w:widowControl w:val="false"/>
        <w:numPr>
          <w:ilvl w:val="1"/>
          <w:numId w:val="3"/>
        </w:numPr>
        <w:tabs>
          <w:tab w:val="clear" w:pos="708"/>
          <w:tab w:val="left" w:pos="426" w:leader="none"/>
        </w:tabs>
        <w:spacing w:before="0" w:after="0"/>
        <w:ind w:left="431" w:hanging="431"/>
        <w:jc w:val="both"/>
        <w:rPr>
          <w:b w:val="false"/>
          <w:i/>
          <w:i/>
          <w:shd w:fill="FFFF99" w:val="clear"/>
        </w:rPr>
      </w:pPr>
      <w:r>
        <w:rPr/>
        <w:t xml:space="preserve">Цель </w:t>
      </w:r>
      <w:r>
        <w:rPr>
          <w:lang w:val="ru-RU"/>
        </w:rPr>
        <w:t>оказания услуг</w:t>
      </w:r>
      <w:r>
        <w:rPr/>
        <w:t xml:space="preserve"> </w:t>
      </w:r>
    </w:p>
    <w:p>
      <w:pPr>
        <w:pStyle w:val="Heading4"/>
        <w:widowControl w:val="false"/>
        <w:numPr>
          <w:ilvl w:val="0"/>
          <w:numId w:val="0"/>
        </w:numPr>
        <w:spacing w:before="0" w:after="0"/>
        <w:ind w:left="0" w:hanging="0"/>
        <w:jc w:val="both"/>
        <w:rPr>
          <w:b w:val="false"/>
          <w:lang w:val="ru-RU"/>
        </w:rPr>
      </w:pPr>
      <w:r>
        <w:rPr>
          <w:b w:val="false"/>
          <w:lang w:val="ru-RU"/>
        </w:rPr>
        <w:t>Проведение технического обслуживания и технического ремонта транспортных средств в Приморском крае для нужд</w:t>
      </w:r>
      <w:r>
        <w:rPr>
          <w:b w:val="false"/>
        </w:rPr>
        <w:t xml:space="preserve"> Владивостокского представительства АО «ТК РусГидро»</w:t>
      </w:r>
      <w:r>
        <w:rPr>
          <w:b w:val="false"/>
          <w:lang w:val="ru-RU"/>
        </w:rPr>
        <w:t xml:space="preserve"> с целью поддержания автотранспорта в надлежащем состоянии.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4"/>
        <w:numPr>
          <w:ilvl w:val="1"/>
          <w:numId w:val="3"/>
        </w:numPr>
        <w:spacing w:before="0" w:after="0"/>
        <w:rPr/>
      </w:pPr>
      <w:r>
        <w:rPr/>
        <w:t>Существующее положение</w:t>
      </w:r>
      <w:r>
        <w:rPr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rStyle w:val="Style8"/>
          <w:b w:val="false"/>
          <w:bCs/>
          <w:i w:val="false"/>
          <w:sz w:val="24"/>
          <w:szCs w:val="24"/>
          <w:shd w:fill="auto" w:val="clear"/>
        </w:rPr>
        <w:t>Эксплуатация транспортных средств осуществляется в рамках исполнения доходного договора на транспортное обслуживание № 71-13/1034 от 01.07.2026г. с ПАО «ДЭК», согласно перечня (Таблица 1 Перечень объектов заказчика).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4"/>
          <w:szCs w:val="24"/>
          <w:shd w:fill="auto" w:val="clear"/>
        </w:rPr>
      </w:pPr>
      <w:r>
        <w:rPr>
          <w:b w:val="false"/>
          <w:bCs/>
          <w:i w:val="false"/>
          <w:sz w:val="24"/>
          <w:szCs w:val="24"/>
          <w:shd w:fill="auto" w:val="clear"/>
        </w:rPr>
      </w:r>
    </w:p>
    <w:p>
      <w:pPr>
        <w:pStyle w:val="Heading1"/>
        <w:keepLines/>
        <w:numPr>
          <w:ilvl w:val="0"/>
          <w:numId w:val="0"/>
        </w:numPr>
        <w:spacing w:before="0" w:after="0"/>
        <w:ind w:left="0" w:hanging="0"/>
        <w:rPr>
          <w:rStyle w:val="Style8"/>
          <w:b/>
          <w:i w:val="false"/>
          <w:i w:val="false"/>
          <w:sz w:val="24"/>
          <w:szCs w:val="24"/>
          <w:shd w:fill="auto" w:val="clear"/>
          <w:lang w:val="ru-RU"/>
        </w:rPr>
      </w:pPr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</w:p>
    <w:tbl>
      <w:tblPr>
        <w:tblStyle w:val="af"/>
        <w:tblW w:w="10147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562"/>
        <w:gridCol w:w="2026"/>
        <w:gridCol w:w="1933"/>
        <w:gridCol w:w="3587"/>
        <w:gridCol w:w="2039"/>
      </w:tblGrid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0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Наименование объекта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Расположение объекта </w:t>
              <w:br/>
            </w:r>
            <w:r>
              <w:rPr>
                <w:rFonts w:eastAsia="Times New Roman" w:cs="Times New Roman"/>
                <w:i/>
                <w:iCs/>
                <w:kern w:val="0"/>
                <w:sz w:val="24"/>
                <w:szCs w:val="24"/>
                <w:lang w:val="ru-RU" w:eastAsia="ru-RU" w:bidi="ar-SA"/>
              </w:rPr>
              <w:t>(место оказания услуг)</w:t>
            </w:r>
          </w:p>
        </w:tc>
        <w:tc>
          <w:tcPr>
            <w:tcW w:w="35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Примечания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0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58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56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center"/>
              <w:rPr>
                <w:rStyle w:val="Strong"/>
                <w:b w:val="false"/>
                <w:sz w:val="24"/>
                <w:szCs w:val="24"/>
                <w:lang w:val="en-US"/>
              </w:rPr>
            </w:pPr>
            <w:r>
              <w:rPr>
                <w:rStyle w:val="Strong"/>
                <w:rFonts w:eastAsia="Times New Roman" w:cs="Times New Roman"/>
                <w:b w:val="false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0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Транспортное средство</w:t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г. Владивосток</w:t>
            </w:r>
          </w:p>
        </w:tc>
        <w:tc>
          <w:tcPr>
            <w:tcW w:w="358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ALPHARD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LAND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CRUISER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200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LAND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CRUISER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PRADO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150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LEXUS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LX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570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 xml:space="preserve"> 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LAND CRUISER PRADO 120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 LAND CRUISER PRADO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LEXUS GS 350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LEXUS LS 460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HYUNDAI GRAND STAREX (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>Дизель</w:t>
            </w:r>
            <w:r>
              <w:rPr>
                <w:rFonts w:cs="Times New Roman"/>
                <w:iCs/>
                <w:kern w:val="0"/>
                <w:lang w:val="en-US" w:eastAsia="ru-RU" w:bidi="ar-SA"/>
              </w:rPr>
              <w:t>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KIA BONGO III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NISSAN e-NV200 (Электричество)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NISSAN LEAF (Электричество)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HYUNDAI Staria (</w:t>
            </w:r>
            <w:r>
              <w:rPr>
                <w:rFonts w:cs="Times New Roman"/>
                <w:iCs/>
                <w:kern w:val="0"/>
                <w:lang w:val="ru-RU" w:eastAsia="ru-RU" w:bidi="ar-SA"/>
              </w:rPr>
              <w:t>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NISSAN TERRANO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PEUGEOT 39023A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RENAULT DUSTER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 CAMRY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 Hiace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 Hiace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TOYOTA Regius Ace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both"/>
              <w:rPr>
                <w:iCs/>
                <w:lang w:val="en-US"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UAZ PATRIOT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en-US" w:eastAsia="ru-RU" w:bidi="ar-SA"/>
              </w:rPr>
              <w:t>Sollers B-BF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iCs/>
              </w:rPr>
            </w:pPr>
            <w:r>
              <w:rPr>
                <w:rFonts w:cs="Times New Roman"/>
                <w:iCs/>
                <w:kern w:val="0"/>
                <w:lang w:val="en-US" w:eastAsia="ru-RU" w:bidi="ar-SA"/>
              </w:rPr>
              <w:t>УАЗ-315195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Fonts w:cs="Times New Roman"/>
                <w:iCs/>
                <w:kern w:val="0"/>
                <w:lang w:val="ru-RU" w:eastAsia="ru-RU" w:bidi="ar-SA"/>
              </w:rPr>
              <w:t>Toyota Highlander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ru-RU" w:eastAsia="ru-RU" w:bidi="ar-SA"/>
              </w:rPr>
              <w:t>Volkswagen 7HM Multivan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ru-RU" w:eastAsia="ru-RU" w:bidi="ar-SA"/>
              </w:rPr>
              <w:t>JunFeng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ru-RU" w:eastAsia="ru-RU" w:bidi="ar-SA"/>
              </w:rPr>
              <w:t>Toyota Fortuner (Бензин)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ru-RU" w:eastAsia="ru-RU" w:bidi="ar-SA"/>
              </w:rPr>
              <w:t>ММС L200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suppressAutoHyphens w:val="true"/>
              <w:spacing w:before="0" w:after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ru-RU" w:eastAsia="ru-RU" w:bidi="ar-SA"/>
              </w:rPr>
              <w:t>Русак, К6 39951 (Дизель)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contextualSpacing/>
              <w:jc w:val="left"/>
              <w:rPr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b w:val="false"/>
                <w:i w:val="false"/>
                <w:iCs/>
                <w:shd w:fill="auto" w:val="clear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720" w:hanging="0"/>
              <w:contextualSpacing/>
              <w:jc w:val="left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03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0" w:after="0"/>
              <w:jc w:val="both"/>
              <w:rPr>
                <w:rStyle w:val="Style8"/>
                <w:b w:val="false"/>
                <w:bCs/>
                <w:i w:val="false"/>
                <w:i w:val="false"/>
                <w:sz w:val="24"/>
                <w:szCs w:val="24"/>
              </w:rPr>
            </w:pPr>
            <w:r>
              <w:rPr>
                <w:b w:val="false"/>
                <w:bCs/>
                <w:i w:val="false"/>
                <w:sz w:val="24"/>
                <w:szCs w:val="24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jc w:val="both"/>
        <w:rPr>
          <w:rStyle w:val="Style8"/>
          <w:b w:val="false"/>
          <w:bCs/>
          <w:i w:val="false"/>
          <w:i w:val="false"/>
          <w:sz w:val="24"/>
          <w:szCs w:val="24"/>
        </w:rPr>
      </w:pPr>
      <w:r>
        <w:rPr>
          <w:b w:val="false"/>
          <w:bCs/>
          <w:i w:val="false"/>
          <w:sz w:val="24"/>
          <w:szCs w:val="24"/>
        </w:rPr>
      </w:r>
    </w:p>
    <w:p>
      <w:pPr>
        <w:pStyle w:val="Heading4"/>
        <w:numPr>
          <w:ilvl w:val="0"/>
          <w:numId w:val="0"/>
        </w:numPr>
        <w:ind w:left="432" w:hanging="432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sectPr>
          <w:headerReference w:type="default" r:id="rId2"/>
          <w:type w:val="continuous"/>
          <w:pgSz w:w="11906" w:h="16838"/>
          <w:pgMar w:left="851" w:right="851" w:gutter="0" w:header="680" w:top="737" w:footer="0" w:bottom="992"/>
          <w:formProt w:val="false"/>
          <w:textDirection w:val="lrTb"/>
          <w:docGrid w:type="default" w:linePitch="312" w:charSpace="4294952959"/>
        </w:sectPr>
      </w:pPr>
    </w:p>
    <w:p>
      <w:pPr>
        <w:pStyle w:val="Heading1"/>
        <w:keepLines/>
        <w:numPr>
          <w:ilvl w:val="0"/>
          <w:numId w:val="0"/>
        </w:numPr>
        <w:ind w:left="0" w:hanging="0"/>
        <w:jc w:val="center"/>
        <w:rPr>
          <w:iCs/>
          <w:caps/>
          <w:sz w:val="24"/>
          <w:szCs w:val="24"/>
          <w:lang w:val="ru-RU"/>
        </w:rPr>
      </w:pPr>
      <w:bookmarkStart w:id="11" w:name="_Toc54643702"/>
      <w:bookmarkStart w:id="12" w:name="_Toc51339693"/>
      <w:bookmarkStart w:id="13" w:name="_Toc54643696_Копия_1"/>
      <w:bookmarkStart w:id="14" w:name="_Toc50125126"/>
      <w:bookmarkStart w:id="15" w:name="_Toc46743506_Копия_1"/>
      <w:bookmarkStart w:id="16" w:name="_Toc46743510"/>
      <w:bookmarkEnd w:id="13"/>
      <w:bookmarkEnd w:id="14"/>
      <w:bookmarkEnd w:id="15"/>
      <w:bookmarkEnd w:id="16"/>
      <w:r>
        <w:rPr>
          <w:iCs/>
          <w:sz w:val="24"/>
          <w:szCs w:val="24"/>
          <w:lang w:val="ru-RU"/>
        </w:rPr>
        <w:t>2. Требования</w:t>
      </w:r>
      <w:r>
        <w:rPr>
          <w:iCs/>
          <w:sz w:val="24"/>
          <w:szCs w:val="24"/>
        </w:rPr>
        <w:t xml:space="preserve"> к продукции</w:t>
      </w:r>
      <w:bookmarkEnd w:id="11"/>
      <w:bookmarkEnd w:id="12"/>
    </w:p>
    <w:p>
      <w:pPr>
        <w:pStyle w:val="Heading4"/>
        <w:numPr>
          <w:ilvl w:val="0"/>
          <w:numId w:val="0"/>
        </w:numPr>
        <w:spacing w:before="0" w:after="0"/>
        <w:ind w:left="0" w:hanging="0"/>
        <w:rPr/>
      </w:pPr>
      <w:bookmarkStart w:id="17" w:name="_Toc54643703"/>
      <w:r>
        <w:rPr>
          <w:lang w:val="ru-RU"/>
        </w:rPr>
        <w:t xml:space="preserve">2.1. </w:t>
      </w:r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7"/>
    </w:p>
    <w:p>
      <w:pPr>
        <w:pStyle w:val="Heading3"/>
        <w:numPr>
          <w:ilvl w:val="0"/>
          <w:numId w:val="0"/>
        </w:numPr>
        <w:spacing w:before="0" w:after="0"/>
        <w:ind w:left="720" w:hanging="0"/>
        <w:rPr/>
      </w:pPr>
      <w:bookmarkStart w:id="18" w:name="_Toc54643704"/>
      <w:r>
        <w:rPr>
          <w:lang w:val="ru-RU"/>
        </w:rPr>
        <w:t>2.1.1. Требования к перечню и объему услуг</w:t>
      </w:r>
      <w:bookmarkEnd w:id="18"/>
    </w:p>
    <w:p>
      <w:pPr>
        <w:pStyle w:val="Heading1"/>
        <w:keepLines/>
        <w:numPr>
          <w:ilvl w:val="0"/>
          <w:numId w:val="0"/>
        </w:numPr>
        <w:spacing w:before="0" w:after="0"/>
        <w:ind w:left="0" w:hanging="0"/>
        <w:rPr>
          <w:sz w:val="24"/>
          <w:szCs w:val="24"/>
          <w:lang w:val="ru-RU"/>
        </w:rPr>
      </w:pPr>
      <w:bookmarkStart w:id="19" w:name="_Toc54643705"/>
      <w:bookmarkStart w:id="20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0"/>
      <w:r>
        <w:rPr>
          <w:sz w:val="24"/>
          <w:szCs w:val="24"/>
          <w:lang w:val="ru-RU"/>
        </w:rPr>
        <w:t>и объем оказываемых услуг</w:t>
      </w:r>
      <w:bookmarkEnd w:id="19"/>
    </w:p>
    <w:tbl>
      <w:tblPr>
        <w:tblW w:w="14772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7826"/>
        <w:gridCol w:w="1844"/>
        <w:gridCol w:w="4252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услуг / этапа услуг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Количество*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</w:tr>
      <w:tr>
        <w:trPr>
          <w:trHeight w:val="780" w:hRule="exac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bCs/>
                <w:sz w:val="23"/>
                <w:szCs w:val="23"/>
                <w:shd w:fill="FFFF99" w:val="clear"/>
              </w:rPr>
            </w:pPr>
            <w:r>
              <w:rPr>
                <w:sz w:val="23"/>
                <w:szCs w:val="23"/>
              </w:rPr>
              <w:t>Перечень и объем оказываемых услуг указан в ведомости объемов работ по техническому обслуживанию транспортных средств, являющейся приложением к настоящим Техническим требованиям (Приложение №1).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Услуга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75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Технический ремонт транспортных средств – Слесарно-механические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Нормо-час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75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Технический ремонт транспортных средств — Монтажно-демонтажные работы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Нормо-час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65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Технический ремонт транспортных средств – Электромонтажные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Нормо-час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65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Технический ремонт транспортных средств - Шиномонтажные работы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Нормо-час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69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Технический ремонт транспортных средств – Арматурные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Нормо-час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87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Технический ремонт транспортных средств – Кузовные и малярные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Нормо-час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63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Технический ремонт транспортных средств – Диагностические работы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Нормо-час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63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Технический ремонт транспортных средств – Работы по мойке кузова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Нормо-час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  <w:tr>
        <w:trPr>
          <w:trHeight w:val="263" w:hRule="atLeast"/>
        </w:trPr>
        <w:tc>
          <w:tcPr>
            <w:tcW w:w="8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78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Технический ремонт транспортных средств- Работы по химчистке салона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Нормо-час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</w:tc>
      </w:tr>
    </w:tbl>
    <w:p>
      <w:pPr>
        <w:pStyle w:val="Heading3"/>
        <w:numPr>
          <w:ilvl w:val="0"/>
          <w:numId w:val="0"/>
        </w:numPr>
        <w:ind w:left="720" w:hanging="0"/>
        <w:rPr>
          <w:b w:val="false"/>
          <w:i/>
          <w:i/>
          <w:lang w:val="ru-RU"/>
        </w:rPr>
      </w:pPr>
      <w:r>
        <w:rPr>
          <w:b w:val="false"/>
          <w:i/>
          <w:lang w:val="ru-RU"/>
        </w:rPr>
        <w:t>*Объем услуг является ориентировочным, Заказчик не несет ответственности за неполную выборку услуг на общую сумму договора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3"/>
        <w:numPr>
          <w:ilvl w:val="0"/>
          <w:numId w:val="0"/>
        </w:numPr>
        <w:spacing w:before="0" w:after="0"/>
        <w:ind w:left="720" w:hanging="0"/>
        <w:rPr>
          <w:lang w:val="ru-RU"/>
        </w:rPr>
      </w:pPr>
      <w:r>
        <w:rPr>
          <w:lang w:val="ru-RU"/>
        </w:rPr>
        <w:t>2.1.2. Требования к срокам оказания услуг</w:t>
      </w:r>
    </w:p>
    <w:p>
      <w:pPr>
        <w:pStyle w:val="Heading1"/>
        <w:keepLines/>
        <w:numPr>
          <w:ilvl w:val="0"/>
          <w:numId w:val="0"/>
        </w:numPr>
        <w:spacing w:before="0" w:after="60"/>
        <w:ind w:left="0" w:hanging="0"/>
        <w:rPr>
          <w:sz w:val="24"/>
          <w:szCs w:val="24"/>
          <w:lang w:val="ru-RU"/>
        </w:rPr>
      </w:pPr>
      <w:bookmarkStart w:id="21" w:name="_Toc54643707"/>
      <w:bookmarkStart w:id="22" w:name="_Toc51339697"/>
      <w:bookmarkStart w:id="23" w:name="_Toc50125127"/>
      <w:bookmarkStart w:id="24" w:name="_Toc50125126_Копия_1"/>
      <w:bookmarkEnd w:id="24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5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2"/>
      <w:bookmarkEnd w:id="23"/>
      <w:bookmarkEnd w:id="25"/>
      <w:r>
        <w:rPr>
          <w:sz w:val="24"/>
          <w:szCs w:val="24"/>
          <w:lang w:val="ru-RU"/>
        </w:rPr>
        <w:t>оказания услуг</w:t>
      </w:r>
      <w:bookmarkEnd w:id="21"/>
    </w:p>
    <w:tbl>
      <w:tblPr>
        <w:tblW w:w="14879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29"/>
        <w:gridCol w:w="5953"/>
        <w:gridCol w:w="2693"/>
        <w:gridCol w:w="5103"/>
      </w:tblGrid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r>
              <w:rPr>
                <w:sz w:val="23"/>
                <w:szCs w:val="23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Наименование услуг/ этапа услуг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Требования к началу срока оказания услуг/ этапа услуг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4</w:t>
            </w:r>
          </w:p>
        </w:tc>
      </w:tr>
      <w:tr>
        <w:trPr>
          <w:trHeight w:val="1840" w:hRule="atLeast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ОКПД 2: 45.20.11 Оказание услуг по техническому обслуживанию и текущему ремонту негарантийных транспортных средств в Приморском крае для нужд Владивостокского представительства АО «ТК РусГидро»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both"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360" w:hanging="0"/>
              <w:jc w:val="both"/>
              <w:rPr>
                <w:iCs/>
                <w:sz w:val="23"/>
                <w:szCs w:val="23"/>
              </w:rPr>
            </w:pPr>
            <w:r>
              <w:rPr>
                <w:iCs/>
                <w:sz w:val="23"/>
                <w:szCs w:val="23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ind w:left="0" w:hanging="0"/>
              <w:jc w:val="both"/>
              <w:rPr/>
            </w:pPr>
            <w:r>
              <w:rPr/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360" w:hanging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b w:val="false"/>
                <w:i w:val="false"/>
                <w:iCs/>
                <w:shd w:fill="auto" w:val="clear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01.01.2027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</w:r>
          </w:p>
          <w:p>
            <w:pPr>
              <w:pStyle w:val="Normal"/>
              <w:widowControl w:val="false"/>
              <w:jc w:val="center"/>
              <w:rPr>
                <w:i/>
                <w:i/>
                <w:sz w:val="23"/>
                <w:szCs w:val="23"/>
              </w:rPr>
            </w:pPr>
            <w:r>
              <w:rPr>
                <w:i/>
                <w:sz w:val="23"/>
                <w:szCs w:val="23"/>
              </w:rPr>
              <w:t>31.</w:t>
            </w:r>
            <w:r>
              <w:rPr>
                <w:i/>
                <w:sz w:val="23"/>
                <w:szCs w:val="23"/>
                <w:lang w:val="en-US"/>
              </w:rPr>
              <w:t>12</w:t>
            </w:r>
            <w:r>
              <w:rPr>
                <w:i/>
                <w:sz w:val="23"/>
                <w:szCs w:val="23"/>
              </w:rPr>
              <w:t>.2027</w:t>
            </w:r>
          </w:p>
        </w:tc>
      </w:tr>
    </w:tbl>
    <w:p>
      <w:pPr>
        <w:pStyle w:val="Heading4"/>
        <w:numPr>
          <w:ilvl w:val="0"/>
          <w:numId w:val="0"/>
        </w:numPr>
        <w:spacing w:before="0" w:after="0"/>
        <w:ind w:left="0" w:hanging="0"/>
        <w:rPr>
          <w:lang w:val="ru-RU"/>
        </w:rPr>
      </w:pPr>
      <w:r>
        <w:rPr>
          <w:lang w:val="ru-RU"/>
        </w:rPr>
      </w:r>
      <w:bookmarkStart w:id="26" w:name="_Toc46743510_Копия_1"/>
      <w:bookmarkStart w:id="27" w:name="_Toc46743510_Копия_1"/>
      <w:bookmarkEnd w:id="27"/>
    </w:p>
    <w:p>
      <w:pPr>
        <w:pStyle w:val="Heading4"/>
        <w:numPr>
          <w:ilvl w:val="0"/>
          <w:numId w:val="0"/>
        </w:numPr>
        <w:spacing w:before="0" w:after="0"/>
        <w:ind w:left="0" w:hanging="0"/>
        <w:rPr/>
      </w:pPr>
      <w:r>
        <w:rPr>
          <w:lang w:val="ru-RU"/>
        </w:rPr>
        <w:t xml:space="preserve">2.2. </w:t>
      </w:r>
      <w:r>
        <w:rPr/>
        <w:t xml:space="preserve">Требования к </w:t>
      </w:r>
      <w:r>
        <w:rPr>
          <w:lang w:val="ru-RU"/>
        </w:rPr>
        <w:t>качеству услуг</w:t>
      </w:r>
    </w:p>
    <w:p>
      <w:pPr>
        <w:pStyle w:val="Heading1"/>
        <w:keepLines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r>
        <w:rPr>
          <w:sz w:val="24"/>
          <w:szCs w:val="24"/>
        </w:rPr>
        <w:t xml:space="preserve"> </w:t>
      </w:r>
    </w:p>
    <w:p>
      <w:pPr>
        <w:pStyle w:val="Normal"/>
        <w:keepNext w:val="true"/>
        <w:keepLines/>
        <w:tabs>
          <w:tab w:val="clear" w:pos="708"/>
          <w:tab w:val="left" w:pos="426" w:leader="none"/>
        </w:tabs>
        <w:jc w:val="both"/>
        <w:rPr>
          <w:rStyle w:val="Style8"/>
          <w:b w:val="false"/>
          <w:i w:val="false"/>
          <w:i w:val="false"/>
          <w:sz w:val="24"/>
          <w:szCs w:val="24"/>
          <w:shd w:fill="auto" w:val="clear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№1 Таблицы 2): </w:t>
      </w:r>
      <w:r>
        <w:rPr>
          <w:sz w:val="24"/>
          <w:szCs w:val="24"/>
        </w:rPr>
        <w:t>ОКПД 2: 45.20.11 Оказание услуг по техническому обслуживанию и текущему ремонту негарантийных транспортных средств в Приморском крае для нужд Владивостокского представительства АО "ТК РусГидро"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f"/>
        <w:tblW w:w="148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95"/>
        <w:gridCol w:w="3931"/>
        <w:gridCol w:w="633"/>
        <w:gridCol w:w="4562"/>
        <w:gridCol w:w="3081"/>
        <w:gridCol w:w="1483"/>
      </w:tblGrid>
      <w:tr>
        <w:trPr/>
        <w:tc>
          <w:tcPr>
            <w:tcW w:w="11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9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195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5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22" w:hRule="atLeast"/>
        </w:trPr>
        <w:tc>
          <w:tcPr>
            <w:tcW w:w="11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195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4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3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51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308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4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308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3081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Основание для оказания услуг</w:t>
            </w:r>
          </w:p>
        </w:tc>
        <w:tc>
          <w:tcPr>
            <w:tcW w:w="51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обязуется оказывать Заказчику услуги по техническому обслуживанию и ремонту транспортных средств Заказчика на основании заявок Заказчика.</w:t>
            </w:r>
          </w:p>
        </w:tc>
        <w:tc>
          <w:tcPr>
            <w:tcW w:w="3081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Участник должен предоставить в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заявке согласие оказать услуги, полностью соответствующие настоящим техническим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требованиям, по форме Технического предложения, установленной в Документации о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закупке</w:t>
            </w:r>
          </w:p>
        </w:tc>
        <w:tc>
          <w:tcPr>
            <w:tcW w:w="1483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Использование собственных расходных материалов и запчастей Исполнителя.</w:t>
            </w:r>
          </w:p>
        </w:tc>
        <w:tc>
          <w:tcPr>
            <w:tcW w:w="51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Наличие собственных материалов и запчастей Исполнителя при оказании услуги.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603" w:hRule="atLeast"/>
        </w:trPr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Возможность выбора запасных частей и расходных материалов.</w:t>
            </w:r>
          </w:p>
        </w:tc>
        <w:tc>
          <w:tcPr>
            <w:tcW w:w="51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Предоставить возможность выбора запасных частей и расходных материалов у различных официальных источников.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>
          <w:trHeight w:val="757" w:hRule="atLeast"/>
        </w:trPr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Осуществление контроля.</w:t>
            </w:r>
          </w:p>
        </w:tc>
        <w:tc>
          <w:tcPr>
            <w:tcW w:w="519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Осуществлять допуск Заказчика к проведению контроля за выполняемыми работами при оказании услуги по ремонту ТС.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способам оказания услуг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 xml:space="preserve">             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Техническое обслуживание и технический ремонт не гарантийных транспортных средств должен проводиться с соблюдением «Правил оказания услуг (выполнения работ) по техническому обслуживанию и ремонту автомототранспортных средств», утвержденных Постановлением Правительства РФ от 11.04.2001 № 290,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характеристикам устанавливаемых деталей, узлов, механизмов, материалам, маслам и специальных жидкостей</w:t>
            </w:r>
          </w:p>
        </w:tc>
        <w:tc>
          <w:tcPr>
            <w:tcW w:w="519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Устанавливаемые и используемые на ТС детали, узлы, механизмы, материалы, приборы, масла и специальные жидкости должны быть новыми, не бывшим в употреблении, не восстановленными, не содержать восстановленных элементов, не должны иметь дефектов, связанных с конструкцией, материалами или работой по их изготовлению. Должны соответствовать рекомендациям, изложенным в руководстве по эксплуатации, выданным заводом-изготовителем, для данной марки автомобиля.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Проведение ТО и 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ТР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должно выполняться квалифицированным персоналом.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>
          <w:trHeight w:val="249" w:hRule="atLeast"/>
        </w:trPr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Общие требования к результатам услуг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выполнения работ ТС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№1090 «О правилах дорожного движения»).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ТС прошедшие ТО и ТР должно отвечать требованиям Технического регламента Таможенного союза ТР ТС 018/2011 «О безопасности колесных транспортных средств» Утвержденного Решением Комиссии Таможенного союза от 09.12.2011г №877.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слуг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Осмотр транспортного средства после оказании услуги.</w:t>
            </w:r>
          </w:p>
        </w:tc>
        <w:tc>
          <w:tcPr>
            <w:tcW w:w="5195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После оказании услуги Заказчик проводит визуальный осмотр транспортного средства на предмет соответствия заменённых деталей, узлов, агрегатов, механизмов в процессе ремонта.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51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Заказчику акт сдачи-приемки оказанных услуг в двух экземплярах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>
          <w:trHeight w:val="989" w:hRule="atLeast"/>
        </w:trPr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 на оплату</w:t>
            </w:r>
          </w:p>
        </w:tc>
        <w:tc>
          <w:tcPr>
            <w:tcW w:w="51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 на оплату после оказания услуги.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404" w:hRule="atLeast"/>
        </w:trPr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393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519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Исполнитель передает счет фактуру (если Исполнитель является плательщиком НДС)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>
          <w:trHeight w:val="1252" w:hRule="atLeast"/>
        </w:trPr>
        <w:tc>
          <w:tcPr>
            <w:tcW w:w="11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12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Cs/>
                <w:kern w:val="0"/>
                <w:sz w:val="24"/>
                <w:szCs w:val="24"/>
                <w:lang w:val="ru-RU" w:eastAsia="ru-RU" w:bidi="ar-SA"/>
              </w:rPr>
              <w:t>Исполнитель обязан предоставить гарантии на установленные узлы, агрегаты и запасные части согласно срокам, установленных заводом-изготовителем, а на оказанные услуги по ТР не менее 6 (шести) месяцев при условии эксплуатации транспортного средства согласно руководству по эксплуатации.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11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912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Квалификационные требования к участникам закупки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>
          <w:trHeight w:val="1170" w:hRule="atLeast"/>
        </w:trPr>
        <w:tc>
          <w:tcPr>
            <w:tcW w:w="11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4564" w:type="dxa"/>
            <w:gridSpan w:val="2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  <w:t>Требование к наличию опыта оказания аналогичных услуг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56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услуг по техническому обслуживанию и текущему ремонту негарантийных транспортных средств</w:t>
            </w:r>
          </w:p>
        </w:tc>
        <w:tc>
          <w:tcPr>
            <w:tcW w:w="3081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8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Справка об опыте Участника </w:t>
            </w:r>
            <w:r>
              <w:rPr>
                <w:rFonts w:eastAsia="Times New Roman" w:cs="Times New Roman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(Форма 7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Документации о закупке)</w:t>
            </w:r>
          </w:p>
        </w:tc>
      </w:tr>
    </w:tbl>
    <w:p>
      <w:pPr>
        <w:pStyle w:val="Heading1"/>
        <w:numPr>
          <w:ilvl w:val="0"/>
          <w:numId w:val="0"/>
        </w:numPr>
        <w:ind w:left="0" w:hanging="0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3.</w:t>
      </w:r>
      <w:r>
        <w:rPr>
          <w:sz w:val="24"/>
          <w:szCs w:val="24"/>
        </w:rPr>
        <w:t>Требования к документации по ценообразованию на этапе закупки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bookmarkStart w:id="28" w:name="__RefHeading___Toc10475_1506096587"/>
      <w:bookmarkStart w:id="29" w:name="_Toc150444157"/>
      <w:bookmarkStart w:id="30" w:name="_Toc130396897"/>
      <w:bookmarkStart w:id="31" w:name="_Toc133340001"/>
      <w:bookmarkEnd w:id="28"/>
      <w:bookmarkEnd w:id="29"/>
      <w:bookmarkEnd w:id="30"/>
      <w:bookmarkEnd w:id="31"/>
      <w:r>
        <w:rPr>
          <w:sz w:val="24"/>
          <w:szCs w:val="24"/>
          <w:shd w:fill="auto" w:val="clear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понижающего коэффициента).</w:t>
      </w:r>
    </w:p>
    <w:p>
      <w:pPr>
        <w:pStyle w:val="Normal"/>
        <w:ind w:firstLine="567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pStyle w:val="Normal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3.2. Понижающий коэффициент служит только для оценки и сопоставления предложений Участников по соответствующему ценовому (стоимостному) критерию оценки в соответствии с Приложением №8 к Документации о закупке «Порядок и критерии оценки и сопоставления заявок». Предложения по единичным расценкам, представленные в заявке победителя, будут закреплены в договоре.</w:t>
      </w:r>
    </w:p>
    <w:p>
      <w:pPr>
        <w:pStyle w:val="Normal"/>
        <w:ind w:firstLine="567"/>
        <w:jc w:val="both"/>
        <w:rPr>
          <w:sz w:val="24"/>
          <w:szCs w:val="24"/>
          <w:highlight w:val="none"/>
          <w:shd w:fill="auto" w:val="clear"/>
        </w:rPr>
      </w:pPr>
      <w:r>
        <w:rPr>
          <w:sz w:val="24"/>
          <w:szCs w:val="24"/>
          <w:shd w:fill="auto" w:val="clear"/>
        </w:rPr>
      </w:r>
    </w:p>
    <w:p>
      <w:pPr>
        <w:sectPr>
          <w:headerReference w:type="default" r:id="rId3"/>
          <w:headerReference w:type="first" r:id="rId4"/>
          <w:type w:val="nextPage"/>
          <w:pgSz w:orient="landscape" w:w="16838" w:h="11906"/>
          <w:pgMar w:left="1002" w:right="992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ind w:firstLine="567"/>
        <w:jc w:val="both"/>
        <w:rPr>
          <w:highlight w:val="none"/>
          <w:shd w:fill="auto" w:val="clear"/>
        </w:rPr>
      </w:pPr>
      <w:r>
        <w:rPr>
          <w:sz w:val="24"/>
          <w:szCs w:val="24"/>
          <w:shd w:fill="auto" w:val="clear"/>
        </w:rPr>
        <w:t>3.3. 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услуг, предусмотренные Проектом договора (Приложение № 2 к Документации о закупке).</w:t>
      </w:r>
    </w:p>
    <w:p>
      <w:pPr>
        <w:pStyle w:val="Heading1"/>
        <w:keepLines/>
        <w:numPr>
          <w:ilvl w:val="0"/>
          <w:numId w:val="0"/>
        </w:numPr>
        <w:spacing w:before="0" w:after="0"/>
        <w:ind w:left="3478" w:hanging="3336"/>
        <w:jc w:val="center"/>
        <w:rPr>
          <w:sz w:val="24"/>
          <w:szCs w:val="24"/>
          <w:lang w:val="ru-RU"/>
        </w:rPr>
      </w:pPr>
      <w:bookmarkStart w:id="32" w:name="_Toc46743519"/>
      <w:bookmarkStart w:id="33" w:name="_Toc51339699"/>
      <w:bookmarkEnd w:id="32"/>
      <w:bookmarkEnd w:id="33"/>
      <w:r>
        <w:rPr>
          <w:sz w:val="24"/>
          <w:szCs w:val="24"/>
          <w:lang w:val="ru-RU"/>
        </w:rPr>
        <w:t>4. Требования к документации по ценообразованию на этапе заключения</w:t>
      </w:r>
    </w:p>
    <w:p>
      <w:pPr>
        <w:pStyle w:val="Heading1"/>
        <w:keepLines/>
        <w:numPr>
          <w:ilvl w:val="0"/>
          <w:numId w:val="0"/>
        </w:numPr>
        <w:spacing w:before="0" w:after="0"/>
        <w:ind w:left="3478" w:hanging="4612"/>
        <w:jc w:val="center"/>
        <w:rPr>
          <w:sz w:val="24"/>
          <w:szCs w:val="24"/>
          <w:lang w:val="ru-RU"/>
        </w:rPr>
      </w:pPr>
      <w:bookmarkStart w:id="34" w:name="_Toc54643711"/>
      <w:bookmarkStart w:id="35" w:name="_Toc54281228"/>
      <w:r>
        <w:rPr>
          <w:sz w:val="24"/>
          <w:szCs w:val="24"/>
          <w:lang w:val="ru-RU"/>
        </w:rPr>
        <w:t>(исполнения) договора</w:t>
      </w:r>
      <w:bookmarkEnd w:id="34"/>
      <w:bookmarkEnd w:id="35"/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firstLine="510"/>
        <w:jc w:val="both"/>
        <w:rPr>
          <w:b w:val="false"/>
        </w:rPr>
      </w:pPr>
      <w:r>
        <w:rPr>
          <w:b w:val="false"/>
          <w:lang w:val="ru-RU"/>
        </w:rPr>
        <w:t>4.1. 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услуг), предложенными в заявке Победителем.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firstLine="510"/>
        <w:jc w:val="both"/>
        <w:outlineLvl w:val="3"/>
        <w:rPr>
          <w:b w:val="false"/>
        </w:rPr>
      </w:pPr>
      <w:r>
        <w:rPr>
          <w:b w:val="false"/>
          <w:sz w:val="24"/>
          <w:szCs w:val="24"/>
          <w:lang w:val="ru-RU"/>
        </w:rPr>
        <w:t>4.2. 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</w:t>
      </w:r>
      <w:r>
        <w:rPr>
          <w:b w:val="false"/>
          <w:sz w:val="24"/>
          <w:szCs w:val="24"/>
          <w:shd w:fill="auto" w:val="clear"/>
          <w:lang w:val="ru-RU"/>
        </w:rPr>
        <w:t>).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ind w:left="360" w:hanging="0"/>
        <w:jc w:val="center"/>
        <w:rPr>
          <w:b/>
          <w:sz w:val="24"/>
          <w:szCs w:val="24"/>
          <w:lang w:eastAsia="x-none"/>
        </w:rPr>
      </w:pPr>
      <w:r>
        <w:rPr>
          <w:rFonts w:eastAsia="Calibri"/>
          <w:b/>
          <w:sz w:val="24"/>
          <w:szCs w:val="24"/>
          <w:lang w:eastAsia="x-none"/>
        </w:rPr>
        <w:t>5</w:t>
      </w:r>
      <w:r>
        <w:rPr>
          <w:rFonts w:eastAsia="Calibri"/>
          <w:sz w:val="24"/>
          <w:szCs w:val="24"/>
          <w:lang w:eastAsia="x-none"/>
        </w:rPr>
        <w:t>.</w:t>
      </w:r>
      <w:r>
        <w:rPr>
          <w:lang w:eastAsia="x-none"/>
        </w:rPr>
        <w:t xml:space="preserve"> </w:t>
      </w:r>
      <w:r>
        <w:rPr>
          <w:b/>
          <w:sz w:val="24"/>
          <w:szCs w:val="24"/>
          <w:lang w:eastAsia="x-none"/>
        </w:rPr>
        <w:t>Приложения</w:t>
      </w:r>
    </w:p>
    <w:p>
      <w:pPr>
        <w:pStyle w:val="Normal"/>
        <w:ind w:hanging="0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sectPr>
          <w:headerReference w:type="default" r:id="rId5"/>
          <w:headerReference w:type="first" r:id="rId6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ind w:hanging="0"/>
        <w:jc w:val="both"/>
        <w:rPr>
          <w:highlight w:val="none"/>
          <w:shd w:fill="auto" w:val="clear"/>
        </w:rPr>
      </w:pPr>
      <w:r>
        <w:rPr>
          <w:rFonts w:eastAsia="Calibri"/>
          <w:sz w:val="24"/>
          <w:szCs w:val="24"/>
          <w:shd w:fill="auto" w:val="clear"/>
          <w:lang w:eastAsia="x-none"/>
        </w:rPr>
        <w:t>Приложение №1 - Ведомость объемов работ по техническому обслуживанию транспортных средств.</w:t>
      </w:r>
      <w:bookmarkStart w:id="36" w:name="_Toc51339699_Копия_1"/>
      <w:bookmarkStart w:id="37" w:name="_Toc46743519_Копия_1"/>
    </w:p>
    <w:p>
      <w:pPr>
        <w:pStyle w:val="Normal"/>
        <w:jc w:val="right"/>
        <w:rPr>
          <w:rStyle w:val="Strong"/>
          <w:b w:val="false"/>
          <w:sz w:val="24"/>
          <w:szCs w:val="24"/>
        </w:rPr>
      </w:pPr>
      <w:bookmarkStart w:id="38" w:name="_Toc51339699_Копия_1_Копия_1_Копия_1"/>
      <w:bookmarkStart w:id="39" w:name="_Toc46743519_Копия_1_Копия_1_Копия_1"/>
      <w:bookmarkStart w:id="40" w:name="_Toc46743519_Копия_1_Копия_1_Копия_1_Коп"/>
      <w:bookmarkStart w:id="41" w:name="_Toc51339699_Копия_1_Копия_1_Копия_1_Коп"/>
      <w:bookmarkStart w:id="42" w:name="_Toc46743519_Копия_1_Копия_1_Копия_1_Коп"/>
      <w:bookmarkStart w:id="43" w:name="_Toc51339699_Копия_1_Копия_1_Копия_1_Коп"/>
      <w:bookmarkStart w:id="44" w:name="_Toc46743519_Копия_1_Копия_1"/>
      <w:bookmarkStart w:id="45" w:name="_Toc51339699_Копия_1_Копия_1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>
        <w:rPr>
          <w:rStyle w:val="Strong"/>
          <w:b w:val="false"/>
          <w:sz w:val="24"/>
          <w:szCs w:val="24"/>
        </w:rPr>
        <w:t>Приложение №1 к Техническим требованиям</w:t>
      </w:r>
    </w:p>
    <w:p>
      <w:pPr>
        <w:pStyle w:val="Normal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Ведомость объемов работ по техническому обслуживанию </w:t>
      </w:r>
    </w:p>
    <w:p>
      <w:pPr>
        <w:pStyle w:val="Normal"/>
        <w:jc w:val="center"/>
        <w:rPr>
          <w:b/>
          <w:color w:val="000000"/>
          <w:sz w:val="24"/>
          <w:szCs w:val="24"/>
          <w:lang w:val="en-US"/>
        </w:rPr>
      </w:pPr>
      <w:r>
        <w:rPr>
          <w:b/>
          <w:color w:val="000000"/>
          <w:sz w:val="24"/>
          <w:szCs w:val="24"/>
        </w:rPr>
        <w:t>транспортных средств</w:t>
      </w:r>
      <w:r>
        <w:rPr>
          <w:b/>
          <w:color w:val="000000"/>
          <w:sz w:val="24"/>
          <w:szCs w:val="24"/>
          <w:lang w:val="en-US"/>
        </w:rPr>
        <w:t xml:space="preserve"> 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tbl>
      <w:tblPr>
        <w:tblW w:w="13908" w:type="dxa"/>
        <w:jc w:val="left"/>
        <w:tblInd w:w="738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000" w:noVBand="0" w:noHBand="0" w:lastColumn="0" w:firstColumn="0" w:lastRow="0" w:firstRow="0"/>
      </w:tblPr>
      <w:tblGrid>
        <w:gridCol w:w="489"/>
        <w:gridCol w:w="1974"/>
        <w:gridCol w:w="1627"/>
        <w:gridCol w:w="1011"/>
        <w:gridCol w:w="853"/>
        <w:gridCol w:w="755"/>
        <w:gridCol w:w="709"/>
        <w:gridCol w:w="850"/>
        <w:gridCol w:w="709"/>
        <w:gridCol w:w="708"/>
        <w:gridCol w:w="789"/>
        <w:gridCol w:w="816"/>
        <w:gridCol w:w="818"/>
        <w:gridCol w:w="819"/>
        <w:gridCol w:w="981"/>
      </w:tblGrid>
      <w:tr>
        <w:trPr>
          <w:trHeight w:val="281" w:hRule="atLeast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п</w:t>
            </w: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п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Марка автомобиля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Год. выпуска (не менее)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топлива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 ТС, шт.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ТО-10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ТО-50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ТО-60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ТО-70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ТО-80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ТО-90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ТО-100</w:t>
            </w:r>
          </w:p>
        </w:tc>
      </w:tr>
      <w:tr>
        <w:trPr>
          <w:trHeight w:val="281" w:hRule="atLeast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TOYOTA ALPHARD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  <w:r>
              <w:rPr>
                <w:color w:val="000000"/>
              </w:rPr>
              <w:t>2020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sz w:val="22"/>
                <w:szCs w:val="22"/>
              </w:rPr>
              <w:t>ензин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74" w:hRule="atLeast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TOYOTA LAND CRUISER 200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2008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sz w:val="22"/>
                <w:szCs w:val="22"/>
              </w:rPr>
              <w:t>ензин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</w:tr>
      <w:tr>
        <w:trPr>
          <w:trHeight w:val="563" w:hRule="atLeast"/>
        </w:trPr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TOYOTA LAND CRUISER  PRADO 150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</w:rPr>
              <w:t>Б</w:t>
            </w:r>
            <w:r>
              <w:rPr>
                <w:color w:val="000000"/>
                <w:sz w:val="22"/>
                <w:szCs w:val="22"/>
              </w:rPr>
              <w:t>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>
        <w:trPr>
          <w:trHeight w:val="281" w:hRule="atLeast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LEXUS LX 570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81" w:hRule="atLeast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Тоyота LAND CRUISER PRADO 120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2008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99" w:hRule="atLeast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Тоyота LAND CRUISER PRADO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2000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Дизель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81" w:hRule="atLeast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lang w:val="en-US"/>
              </w:rPr>
              <w:t>Lexus GS</w:t>
            </w:r>
            <w:r>
              <w:rPr/>
              <w:t xml:space="preserve"> 350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2015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rHeight w:val="313" w:hRule="atLeast"/>
        </w:trPr>
        <w:tc>
          <w:tcPr>
            <w:tcW w:w="4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Lexus LS460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2014</w:t>
            </w:r>
          </w:p>
        </w:tc>
        <w:tc>
          <w:tcPr>
            <w:tcW w:w="10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50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HYUNDAI GRAND STAREX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00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KIA BONGO III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rHeight w:val="539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NISSAN e-NV200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Электричество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37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NISSAN LEAF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Электричество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38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HYUNDAI STARIA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125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NISSAN TERRANO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125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PEUGEOT 39023A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>
        <w:trPr>
          <w:trHeight w:val="309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0"/>
                <w:szCs w:val="20"/>
              </w:rPr>
              <w:t>RENAULT DUSTER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>
        <w:trPr>
          <w:trHeight w:val="137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TOYOTA CAMRY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>
        <w:trPr>
          <w:trHeight w:val="88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Toyota Hiace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175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Toyota Hiace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rHeight w:val="150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Toyota Regius Ace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  <w:tr>
        <w:trPr>
          <w:trHeight w:val="113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UAZ PATRIOT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>
        <w:trPr>
          <w:trHeight w:val="125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Volkswagen 7HC Multi Van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2008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350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lang w:val="en-US"/>
              </w:rPr>
              <w:t>УАЗ-315195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>
        <w:trPr>
          <w:trHeight w:val="226" w:hRule="atLeast"/>
        </w:trPr>
        <w:tc>
          <w:tcPr>
            <w:tcW w:w="4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Toyota HIGHLANDER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2016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26" w:hRule="atLeast"/>
        </w:trPr>
        <w:tc>
          <w:tcPr>
            <w:tcW w:w="48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97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Sollers B-BF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2013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</w:tr>
      <w:tr>
        <w:trPr>
          <w:trHeight w:val="226" w:hRule="atLeast"/>
        </w:trPr>
        <w:tc>
          <w:tcPr>
            <w:tcW w:w="48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197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 xml:space="preserve"> </w:t>
            </w:r>
            <w:r>
              <w:rPr/>
              <w:t>JunFeng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2024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26" w:hRule="atLeast"/>
        </w:trPr>
        <w:tc>
          <w:tcPr>
            <w:tcW w:w="48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197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0"/>
              <w:ind w:left="720" w:hanging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ru-RU" w:eastAsia="ru-RU" w:bidi="ar-SA"/>
              </w:rPr>
              <w:t>Toyota Fortuner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2021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Бензин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26" w:hRule="atLeast"/>
        </w:trPr>
        <w:tc>
          <w:tcPr>
            <w:tcW w:w="48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197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0"/>
              <w:ind w:left="720" w:hanging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Style w:val="Style8"/>
                <w:rFonts w:cs="Times New Roman"/>
                <w:b w:val="false"/>
                <w:i w:val="false"/>
                <w:iCs/>
                <w:kern w:val="0"/>
                <w:shd w:fill="auto" w:val="clear"/>
                <w:lang w:val="ru-RU" w:eastAsia="ru-RU" w:bidi="ar-SA"/>
              </w:rPr>
              <w:t>ММС L200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2020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26" w:hRule="atLeast"/>
        </w:trPr>
        <w:tc>
          <w:tcPr>
            <w:tcW w:w="48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1974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spacing w:before="0" w:after="0"/>
              <w:ind w:left="720" w:hanging="0"/>
              <w:contextualSpacing/>
              <w:jc w:val="left"/>
              <w:rPr>
                <w:rStyle w:val="Style8"/>
                <w:b w:val="false"/>
                <w:i w:val="false"/>
                <w:i w:val="false"/>
                <w:iCs/>
                <w:shd w:fill="auto" w:val="clear"/>
              </w:rPr>
            </w:pPr>
            <w:r>
              <w:rPr>
                <w:rStyle w:val="Style8"/>
                <w:rFonts w:cs="Times New Roman"/>
                <w:b w:val="false"/>
                <w:i w:val="false"/>
                <w:kern w:val="0"/>
                <w:shd w:fill="auto" w:val="clear"/>
                <w:lang w:val="ru-RU" w:eastAsia="ru-RU" w:bidi="ar-SA"/>
              </w:rPr>
              <w:t>Русак, К6 39951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2022</w:t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Дизель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46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lang w:val="en-US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62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  <w:t>109</w:t>
            </w:r>
          </w:p>
        </w:tc>
        <w:tc>
          <w:tcPr>
            <w:tcW w:w="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</w:tr>
    </w:tbl>
    <w:p>
      <w:pPr>
        <w:pStyle w:val="Normal"/>
        <w:rPr>
          <w:iCs/>
          <w:sz w:val="24"/>
          <w:szCs w:val="24"/>
          <w:shd w:fill="FFFF99" w:val="clear"/>
        </w:rPr>
      </w:pPr>
      <w:r>
        <w:rPr>
          <w:iCs/>
          <w:sz w:val="24"/>
          <w:szCs w:val="24"/>
          <w:shd w:fill="FFFF99" w:val="clear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6549" w:leader="none"/>
        </w:tabs>
        <w:rPr>
          <w:sz w:val="24"/>
          <w:szCs w:val="24"/>
        </w:rPr>
      </w:pPr>
      <w:r>
        <w:rPr/>
      </w:r>
    </w:p>
    <w:sectPr>
      <w:headerReference w:type="default" r:id="rId7"/>
      <w:headerReference w:type="first" r:id="rId8"/>
      <w:type w:val="nextPage"/>
      <w:pgSz w:orient="landscape" w:w="16838" w:h="11906"/>
      <w:pgMar w:left="992" w:right="568" w:gutter="0" w:header="680" w:top="1134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13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50d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[РГ] Текст"/>
    <w:basedOn w:val="Normal"/>
    <w:qFormat/>
    <w:rsid w:val="003c2e73"/>
    <w:pPr>
      <w:spacing w:before="120" w:after="0"/>
      <w:jc w:val="both"/>
    </w:pPr>
    <w:rPr>
      <w:rFonts w:cs="Times New Roman (???????? ?????"/>
      <w:color w:val="000000"/>
      <w:sz w:val="26"/>
      <w:szCs w:val="24"/>
      <w:lang w:eastAsia="en-US"/>
    </w:rPr>
  </w:style>
  <w:style w:type="paragraph" w:styleId="Style34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EF96F-1A38-43B9-963A-8CD02A1E8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4753</TotalTime>
  <Application>AlterOffice/3.4.0.9$Linux_X86_64 LibreOffice_project/b8daf9e823b1a5463a2f48435ddc2e8696e7d4fc</Application>
  <AppVersion>15.0000</AppVersion>
  <Pages>13</Pages>
  <Words>1836</Words>
  <Characters>11131</Characters>
  <CharactersWithSpaces>12410</CharactersWithSpaces>
  <Paragraphs>572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2023-09-03T23:57:00Z</dcterms:created>
  <dc:creator>Быстров Олег Геннадьевич</dc:creator>
  <dc:description/>
  <dc:language>ru-RU</dc:language>
  <cp:lastModifiedBy>sinyavskijrv@corp.gidroogk.com</cp:lastModifiedBy>
  <cp:lastPrinted>2024-09-19T16:29:00Z</cp:lastPrinted>
  <dcterms:modified xsi:type="dcterms:W3CDTF">2026-09-01T14:29:51Z</dcterms:modified>
  <cp:revision>49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