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2028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«Зейская ГЭС» Сухомесова Михаила Андреевича, действующего на основании доверенности № 9462 от 25.12.2024, с одной стороны, и </w:t>
      </w:r>
      <w:r>
        <w:rPr>
          <w:rFonts w:eastAsia="Times New Roman" w:cs="Times New Roman"/>
          <w:sz w:val="24"/>
          <w:szCs w:val="24"/>
          <w:lang w:eastAsia="ru-RU"/>
        </w:rPr>
        <w:t xml:space="preserve">_______________ </w:t>
      </w:r>
      <w:r>
        <w:rPr>
          <w:sz w:val="24"/>
          <w:szCs w:val="24"/>
        </w:rPr>
        <w:t xml:space="preserve">(далее – «Поставщик»), в лице </w:t>
      </w:r>
      <w:r>
        <w:rPr>
          <w:rFonts w:eastAsia="Times New Roman" w:cs="Times New Roman"/>
          <w:sz w:val="24"/>
          <w:szCs w:val="24"/>
          <w:lang w:eastAsia="ru-RU"/>
        </w:rPr>
        <w:t>___________,</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firstLine="708" w:left="0"/>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firstLine="709" w:lef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sz w:val="24"/>
          <w:szCs w:val="24"/>
        </w:rPr>
        <w:t xml:space="preserve"> </w:t>
      </w:r>
      <w:r>
        <w:rPr>
          <w:rFonts w:eastAsia="Times New Roman" w:cs="Times New Roman"/>
          <w:color w:val="000000"/>
          <w:sz w:val="26"/>
          <w:szCs w:val="26"/>
        </w:rPr>
        <w:t>комплектующи</w:t>
      </w:r>
      <w:r>
        <w:rPr>
          <w:rFonts w:eastAsia="Times New Roman" w:cs="Times New Roman"/>
          <w:color w:val="000000"/>
          <w:sz w:val="26"/>
          <w:szCs w:val="26"/>
        </w:rPr>
        <w:t>е</w:t>
      </w:r>
      <w:r>
        <w:rPr>
          <w:rFonts w:eastAsia="Times New Roman" w:cs="Times New Roman"/>
          <w:color w:val="000000"/>
          <w:sz w:val="26"/>
          <w:szCs w:val="26"/>
        </w:rPr>
        <w:t xml:space="preserve"> оборудования АСУ-ТП</w:t>
      </w:r>
      <w:r>
        <w:rPr>
          <w:sz w:val="24"/>
          <w:szCs w:val="24"/>
        </w:rPr>
        <w:t xml:space="preserve"> </w:t>
      </w:r>
      <w:r>
        <w:rPr>
          <w:bCs/>
          <w:sz w:val="24"/>
          <w:szCs w:val="24"/>
        </w:rPr>
        <w:t xml:space="preserve">(далее – «Товар») в соответствии с </w:t>
      </w:r>
      <w:r>
        <w:rPr>
          <w:bCs/>
          <w:sz w:val="24"/>
          <w:szCs w:val="24"/>
          <w:shd w:fill="auto" w:val="clear"/>
        </w:rPr>
        <w:t>Техническими требованиями (Приложение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firstLine="709" w:left="0"/>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firstLine="709" w:left="0"/>
        <w:jc w:val="both"/>
        <w:rPr>
          <w:bCs/>
          <w:sz w:val="24"/>
          <w:szCs w:val="24"/>
        </w:rPr>
      </w:pPr>
      <w:r>
        <w:rPr>
          <w:bCs/>
          <w:sz w:val="24"/>
          <w:szCs w:val="24"/>
        </w:rPr>
        <w:t>Место поставки Товара: 676244, Амурская область, г. Зея, ул. Магистральная, соор. 1, склад №2 филиала ПАО «РусГидро» – «Зейская ГЭС» (далее – «Место поставки»).</w:t>
      </w:r>
    </w:p>
    <w:p>
      <w:pPr>
        <w:pStyle w:val="Normal"/>
        <w:numPr>
          <w:ilvl w:val="1"/>
          <w:numId w:val="2"/>
        </w:numPr>
        <w:tabs>
          <w:tab w:val="clear" w:pos="708"/>
          <w:tab w:val="left" w:pos="0" w:leader="none"/>
          <w:tab w:val="left" w:pos="540" w:leader="none"/>
          <w:tab w:val="left" w:pos="1134" w:leader="none"/>
        </w:tabs>
        <w:ind w:firstLine="709" w:left="0"/>
        <w:jc w:val="both"/>
        <w:rPr>
          <w:highlight w:val="none"/>
          <w:shd w:fill="auto" w:val="clear"/>
        </w:rPr>
      </w:pPr>
      <w:r>
        <w:rPr>
          <w:bCs/>
          <w:sz w:val="24"/>
          <w:szCs w:val="24"/>
          <w:shd w:fill="auto" w:val="clear"/>
        </w:rPr>
        <w:t>Срок поставки Товара: «15» июня 2028 г.</w:t>
      </w:r>
    </w:p>
    <w:p>
      <w:pPr>
        <w:pStyle w:val="Normal"/>
        <w:shd w:val="clear" w:color="auto" w:fill="FFFFFF"/>
        <w:tabs>
          <w:tab w:val="clear" w:pos="708"/>
          <w:tab w:val="left" w:pos="540" w:leader="none"/>
        </w:tabs>
        <w:ind w:hanging="0" w:left="1134"/>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w:t>
      </w:r>
      <w:r>
        <w:rPr>
          <w:rFonts w:eastAsia="Times New Roman" w:cs="Times New Roman"/>
          <w:sz w:val="24"/>
          <w:szCs w:val="24"/>
          <w:lang w:eastAsia="ru-RU"/>
        </w:rPr>
        <w:t>__________</w:t>
      </w:r>
      <w:r>
        <w:rPr>
          <w:sz w:val="24"/>
          <w:szCs w:val="24"/>
        </w:rPr>
        <w:t>) рублей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firstLine="709" w:left="0"/>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tabs>
          <w:tab w:val="clear" w:pos="708"/>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firstLine="709" w:left="0"/>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firstLine="709"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firstLine="709" w:left="0"/>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firstLine="709" w:left="0"/>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firstLine="709" w:left="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firstLine="709" w:left="0"/>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firstLine="709" w:lef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firstLine="709" w:left="0"/>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firstLine="709" w:left="0"/>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hanging="0" w:left="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firstLine="709" w:left="0"/>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firstLine="709" w:lef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firstLine="709" w:left="0"/>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Товара (нарушение срока поставки, недопоставка), Покупатель вправе требовать уплаты Поставщиком </w:t>
      </w:r>
      <w:r>
        <w:rPr>
          <w:bCs/>
          <w:sz w:val="24"/>
          <w:szCs w:val="24"/>
        </w:rPr>
        <w:t>неустойки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firstLine="709" w:left="0"/>
        <w:jc w:val="both"/>
        <w:rPr>
          <w:bCs/>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bCs/>
          <w:sz w:val="24"/>
          <w:szCs w:val="24"/>
        </w:rPr>
        <w:t xml:space="preserve"> </w:t>
      </w:r>
      <w:r>
        <w:rPr>
          <w:bCs/>
          <w:sz w:val="24"/>
          <w:szCs w:val="24"/>
        </w:rPr>
        <w:t xml:space="preserve">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Покупателем сроков оплаты поставленного товара,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firstLine="709" w:left="0"/>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firstLine="709" w:left="0"/>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hanging="0" w:left="1851"/>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hanging="0" w:left="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firstLine="709" w:left="0"/>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hanging="0" w:left="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hanging="0" w:lef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firstLine="709" w:lef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firstLine="709" w:left="0"/>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hanging="0" w:left="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firstLine="709" w:left="0"/>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firstLine="709" w:left="0"/>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firstLine="709" w:left="0"/>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firstLine="709" w:left="0"/>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firstLine="709" w:left="0"/>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firstLine="709" w:left="0"/>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firstLine="709" w:lef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284" w:leader="none"/>
        </w:tabs>
        <w:spacing w:lineRule="auto" w:line="259" w:before="0" w:after="0"/>
        <w:ind w:hanging="0" w:left="360"/>
        <w:contextualSpacing/>
        <w:jc w:val="center"/>
        <w:rPr>
          <w:b/>
          <w:bCs/>
          <w:sz w:val="24"/>
          <w:szCs w:val="24"/>
        </w:rPr>
      </w:pPr>
      <w:r>
        <w:rPr>
          <w:b/>
          <w:bCs/>
          <w:sz w:val="24"/>
          <w:szCs w:val="24"/>
        </w:rPr>
      </w:r>
    </w:p>
    <w:p>
      <w:pPr>
        <w:pStyle w:val="Normal"/>
        <w:ind w:firstLine="709"/>
        <w:jc w:val="both"/>
        <w:rPr>
          <w:sz w:val="24"/>
          <w:szCs w:val="24"/>
        </w:rPr>
      </w:pPr>
      <w:r>
        <w:rPr>
          <w:sz w:val="24"/>
          <w:szCs w:val="24"/>
        </w:rPr>
        <w:t>Приложение №1 — Спецификация</w:t>
      </w:r>
    </w:p>
    <w:p>
      <w:pPr>
        <w:pStyle w:val="Normal"/>
        <w:ind w:firstLine="709"/>
        <w:jc w:val="both"/>
        <w:rPr>
          <w:sz w:val="24"/>
          <w:szCs w:val="24"/>
        </w:rPr>
      </w:pPr>
      <w:r>
        <w:rPr>
          <w:sz w:val="24"/>
          <w:szCs w:val="24"/>
        </w:rPr>
        <w:t>Приложение №2 — Технические требования</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hanging="0" w:left="360"/>
        <w:rPr>
          <w:b/>
          <w:bCs/>
          <w:sz w:val="24"/>
          <w:szCs w:val="24"/>
        </w:rPr>
      </w:pPr>
      <w:r>
        <w:rPr>
          <w:b/>
          <w:bCs/>
          <w:sz w:val="24"/>
          <w:szCs w:val="24"/>
        </w:rPr>
      </w:r>
    </w:p>
    <w:tbl>
      <w:tblPr>
        <w:tblW w:w="9356"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784"/>
        <w:gridCol w:w="4571"/>
      </w:tblGrid>
      <w:tr>
        <w:trPr/>
        <w:tc>
          <w:tcPr>
            <w:tcW w:w="4784" w:type="dxa"/>
            <w:tcBorders/>
          </w:tcPr>
          <w:p>
            <w:pPr>
              <w:pStyle w:val="Normal"/>
              <w:widowControl w:val="false"/>
              <w:rPr>
                <w:sz w:val="24"/>
                <w:szCs w:val="24"/>
              </w:rPr>
            </w:pPr>
            <w:r>
              <w:rPr>
                <w:sz w:val="24"/>
                <w:szCs w:val="24"/>
              </w:rPr>
              <w:t>ПОКУПАТЕЛЬ:</w:t>
            </w:r>
          </w:p>
        </w:tc>
        <w:tc>
          <w:tcPr>
            <w:tcW w:w="4571" w:type="dxa"/>
            <w:tcBorders/>
          </w:tcPr>
          <w:p>
            <w:pPr>
              <w:pStyle w:val="Normal"/>
              <w:widowControl w:val="false"/>
              <w:rPr>
                <w:sz w:val="24"/>
                <w:szCs w:val="24"/>
              </w:rPr>
            </w:pPr>
            <w:r>
              <w:rPr>
                <w:sz w:val="24"/>
                <w:szCs w:val="24"/>
              </w:rPr>
              <w:t>ПОСТАВЩИК:</w:t>
            </w:r>
          </w:p>
        </w:tc>
      </w:tr>
      <w:tr>
        <w:trPr/>
        <w:tc>
          <w:tcPr>
            <w:tcW w:w="478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Место нахождения:</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Почтовый адрес:</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Филиал ПАО «РусГидро» - «Зейская ГЭС»</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ОГРН 1042401810494,</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ИНН 2460066195 / КПП 997650001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р/с 40702810503170007429</w:t>
            </w:r>
          </w:p>
          <w:p>
            <w:pPr>
              <w:pStyle w:val="Normal"/>
              <w:widowControl w:val="false"/>
              <w:rPr>
                <w:sz w:val="24"/>
                <w:szCs w:val="24"/>
              </w:rPr>
            </w:pPr>
            <w:r>
              <w:rPr>
                <w:rFonts w:eastAsia="Times New Roman" w:cs="Times New Roman"/>
                <w:color w:val="auto"/>
                <w:kern w:val="0"/>
                <w:sz w:val="24"/>
                <w:szCs w:val="24"/>
                <w:lang w:val="ru-RU" w:eastAsia="ru-RU" w:bidi="ar-SA"/>
              </w:rPr>
              <w:t>Банк: Дальневосточный б</w:t>
            </w:r>
            <w:r>
              <w:rPr>
                <w:sz w:val="24"/>
                <w:szCs w:val="24"/>
              </w:rPr>
              <w:t>анк ПАО «Сбербанк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71" w:type="dxa"/>
            <w:tcBorders/>
          </w:tcPr>
          <w:p>
            <w:pPr>
              <w:pStyle w:val="Normal"/>
              <w:widowControl w:val="false"/>
              <w:rPr/>
            </w:pPr>
            <w:r>
              <w:rPr/>
            </w:r>
          </w:p>
        </w:tc>
      </w:tr>
      <w:tr>
        <w:trPr/>
        <w:tc>
          <w:tcPr>
            <w:tcW w:w="4784"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 </w:t>
            </w:r>
            <w:r>
              <w:rPr>
                <w:sz w:val="24"/>
                <w:szCs w:val="24"/>
                <w:lang w:val="en-US"/>
              </w:rPr>
              <w:t>М.А. Сухомесов</w:t>
            </w:r>
          </w:p>
        </w:tc>
        <w:tc>
          <w:tcPr>
            <w:tcW w:w="4571" w:type="dxa"/>
            <w:tcBorders/>
          </w:tcPr>
          <w:p>
            <w:pPr>
              <w:pStyle w:val="Normal"/>
              <w:widowControl w:val="false"/>
              <w:rPr/>
            </w:pPr>
            <w:r>
              <w:rPr/>
            </w:r>
          </w:p>
        </w:tc>
      </w:tr>
    </w:tbl>
    <w:p>
      <w:pPr>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tabs>
          <w:tab w:val="clear" w:pos="708"/>
          <w:tab w:val="left" w:pos="6521" w:leader="none"/>
        </w:tabs>
        <w:ind w:hanging="567" w:right="96"/>
        <w:jc w:val="right"/>
        <w:rPr>
          <w:szCs w:val="28"/>
        </w:rPr>
      </w:pPr>
      <w:r>
        <w:rPr>
          <w:sz w:val="24"/>
          <w:szCs w:val="28"/>
        </w:rPr>
        <w:t>Приложение №1</w:t>
      </w:r>
    </w:p>
    <w:p>
      <w:pPr>
        <w:pStyle w:val="Normal"/>
        <w:jc w:val="right"/>
        <w:rPr>
          <w:sz w:val="24"/>
          <w:szCs w:val="28"/>
        </w:rPr>
      </w:pPr>
      <w:r>
        <w:rPr>
          <w:sz w:val="24"/>
          <w:szCs w:val="28"/>
        </w:rPr>
        <w:t xml:space="preserve">К договору поставки </w:t>
      </w:r>
    </w:p>
    <w:p>
      <w:pPr>
        <w:pStyle w:val="Normal"/>
        <w:ind w:firstLine="708" w:left="4956"/>
        <w:jc w:val="right"/>
        <w:rPr>
          <w:sz w:val="24"/>
          <w:szCs w:val="28"/>
        </w:rPr>
      </w:pPr>
      <w:r>
        <w:rPr>
          <w:sz w:val="24"/>
          <w:szCs w:val="28"/>
        </w:rPr>
      </w:r>
    </w:p>
    <w:p>
      <w:pPr>
        <w:pStyle w:val="Normal"/>
        <w:ind w:firstLine="708" w:left="4956"/>
        <w:jc w:val="right"/>
        <w:rPr>
          <w:sz w:val="24"/>
          <w:szCs w:val="28"/>
        </w:rPr>
      </w:pPr>
      <w:r>
        <w:rPr>
          <w:sz w:val="24"/>
          <w:szCs w:val="28"/>
        </w:rPr>
        <w:t>От «___»__________2026</w:t>
      </w:r>
      <w:r>
        <w:rPr>
          <w:sz w:val="24"/>
          <w:szCs w:val="28"/>
          <w:lang w:val="en-US"/>
        </w:rPr>
        <w:t xml:space="preserve"> </w:t>
      </w:r>
      <w:r>
        <w:rPr>
          <w:sz w:val="24"/>
          <w:szCs w:val="28"/>
        </w:rPr>
        <w:t>г.</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center"/>
        <w:rPr>
          <w:sz w:val="24"/>
          <w:szCs w:val="28"/>
        </w:rPr>
      </w:pPr>
      <w:r>
        <w:rPr>
          <w:sz w:val="24"/>
          <w:szCs w:val="28"/>
        </w:rPr>
        <w:t>СПЕЦИФИКАЦИЯ</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right"/>
        <w:rPr>
          <w:sz w:val="24"/>
          <w:szCs w:val="28"/>
        </w:rPr>
      </w:pPr>
      <w:r>
        <w:rPr>
          <w:sz w:val="24"/>
          <w:szCs w:val="28"/>
        </w:rPr>
      </w:r>
    </w:p>
    <w:tbl>
      <w:tblPr>
        <w:tblW w:w="13035" w:type="dxa"/>
        <w:jc w:val="left"/>
        <w:tblInd w:w="226" w:type="dxa"/>
        <w:tblLayout w:type="fixed"/>
        <w:tblCellMar>
          <w:top w:w="0" w:type="dxa"/>
          <w:left w:w="108" w:type="dxa"/>
          <w:bottom w:w="0" w:type="dxa"/>
          <w:right w:w="108" w:type="dxa"/>
        </w:tblCellMar>
        <w:tblLook w:val="04a0" w:noHBand="0" w:noVBand="1" w:firstColumn="1" w:lastRow="0" w:lastColumn="0" w:firstRow="1"/>
      </w:tblPr>
      <w:tblGrid>
        <w:gridCol w:w="556"/>
        <w:gridCol w:w="1250"/>
        <w:gridCol w:w="2213"/>
        <w:gridCol w:w="1695"/>
        <w:gridCol w:w="1284"/>
        <w:gridCol w:w="1388"/>
        <w:gridCol w:w="1710"/>
        <w:gridCol w:w="1323"/>
        <w:gridCol w:w="1614"/>
      </w:tblGrid>
      <w:tr>
        <w:trPr>
          <w:trHeight w:val="630" w:hRule="atLeast"/>
        </w:trPr>
        <w:tc>
          <w:tcPr>
            <w:tcW w:w="5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w:t>
            </w:r>
          </w:p>
        </w:tc>
        <w:tc>
          <w:tcPr>
            <w:tcW w:w="12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w:t>
            </w:r>
          </w:p>
        </w:tc>
        <w:tc>
          <w:tcPr>
            <w:tcW w:w="2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Технические характеристики</w:t>
            </w:r>
          </w:p>
        </w:tc>
        <w:tc>
          <w:tcPr>
            <w:tcW w:w="169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Кол-во, шт.</w:t>
            </w:r>
          </w:p>
        </w:tc>
        <w:tc>
          <w:tcPr>
            <w:tcW w:w="12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Страна происхождения</w:t>
            </w:r>
          </w:p>
        </w:tc>
        <w:tc>
          <w:tcPr>
            <w:tcW w:w="138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Цена, руб./шт.</w:t>
            </w:r>
          </w:p>
        </w:tc>
        <w:tc>
          <w:tcPr>
            <w:tcW w:w="1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Стоимость, руб. без НДС</w:t>
            </w:r>
          </w:p>
        </w:tc>
        <w:tc>
          <w:tcPr>
            <w:tcW w:w="132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НДС</w:t>
            </w:r>
          </w:p>
        </w:tc>
        <w:tc>
          <w:tcPr>
            <w:tcW w:w="161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Итого с НДС</w:t>
            </w:r>
          </w:p>
        </w:tc>
      </w:tr>
      <w:tr>
        <w:trPr>
          <w:trHeight w:val="31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22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95" w:type="dxa"/>
            <w:vMerge w:val="continue"/>
            <w:tcBorders>
              <w:top w:val="single" w:sz="4" w:space="0" w:color="000000"/>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без НДС</w:t>
            </w:r>
          </w:p>
        </w:tc>
        <w:tc>
          <w:tcPr>
            <w:tcW w:w="1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3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r>
      <w:tr>
        <w:trPr>
          <w:trHeight w:val="63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1</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6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2</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3</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55"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4</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5</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bl>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t>1. Общая сумма Спецификации составляет:  (   ) рублей 00 копеек.</w:t>
      </w:r>
    </w:p>
    <w:p>
      <w:pPr>
        <w:pStyle w:val="Normal"/>
        <w:rPr>
          <w:sz w:val="24"/>
          <w:szCs w:val="24"/>
        </w:rPr>
      </w:pPr>
      <w:r>
        <w:rPr>
          <w:sz w:val="24"/>
          <w:szCs w:val="24"/>
        </w:rPr>
        <w:t>2. Подписи сторон:</w:t>
      </w:r>
    </w:p>
    <w:p>
      <w:pPr>
        <w:pStyle w:val="Normal"/>
        <w:rPr>
          <w:sz w:val="24"/>
          <w:szCs w:val="24"/>
        </w:rPr>
      </w:pPr>
      <w:r>
        <w:rPr>
          <w:sz w:val="24"/>
          <w:szCs w:val="24"/>
        </w:rPr>
      </w:r>
    </w:p>
    <w:tbl>
      <w:tblPr>
        <w:tblW w:w="12015" w:type="dxa"/>
        <w:jc w:val="left"/>
        <w:tblInd w:w="958" w:type="dxa"/>
        <w:tblLayout w:type="fixed"/>
        <w:tblCellMar>
          <w:top w:w="0" w:type="dxa"/>
          <w:left w:w="108" w:type="dxa"/>
          <w:bottom w:w="0" w:type="dxa"/>
          <w:right w:w="108" w:type="dxa"/>
        </w:tblCellMar>
        <w:tblLook w:val="04a0" w:noHBand="0" w:noVBand="1" w:firstColumn="1" w:lastRow="0" w:lastColumn="0" w:firstRow="1"/>
      </w:tblPr>
      <w:tblGrid>
        <w:gridCol w:w="7020"/>
        <w:gridCol w:w="4994"/>
      </w:tblGrid>
      <w:tr>
        <w:trPr>
          <w:trHeight w:val="487" w:hRule="atLeast"/>
        </w:trPr>
        <w:tc>
          <w:tcPr>
            <w:tcW w:w="7020" w:type="dxa"/>
            <w:tcBorders/>
          </w:tcPr>
          <w:p>
            <w:pPr>
              <w:pStyle w:val="Normal"/>
              <w:widowControl w:val="false"/>
              <w:tabs>
                <w:tab w:val="clear" w:pos="708"/>
                <w:tab w:val="left" w:pos="4155" w:leader="none"/>
              </w:tabs>
              <w:rPr>
                <w:sz w:val="24"/>
                <w:szCs w:val="24"/>
              </w:rPr>
            </w:pPr>
            <w:r>
              <w:rPr>
                <w:sz w:val="24"/>
                <w:szCs w:val="24"/>
              </w:rPr>
            </w:r>
          </w:p>
        </w:tc>
        <w:tc>
          <w:tcPr>
            <w:tcW w:w="4994" w:type="dxa"/>
            <w:tcBorders/>
          </w:tcPr>
          <w:p>
            <w:pPr>
              <w:pStyle w:val="Normal"/>
              <w:widowControl w:val="false"/>
              <w:rPr>
                <w:sz w:val="24"/>
                <w:szCs w:val="24"/>
              </w:rPr>
            </w:pPr>
            <w:r>
              <w:rPr>
                <w:sz w:val="24"/>
                <w:szCs w:val="24"/>
              </w:rPr>
            </w:r>
          </w:p>
          <w:p>
            <w:pPr>
              <w:pStyle w:val="Normal"/>
              <w:widowControl w:val="false"/>
              <w:tabs>
                <w:tab w:val="clear" w:pos="708"/>
                <w:tab w:val="left" w:pos="4530" w:leader="none"/>
              </w:tabs>
              <w:ind w:hanging="0" w:right="849"/>
              <w:jc w:val="right"/>
              <w:rPr/>
            </w:pPr>
            <w:r>
              <w:rPr>
                <w:sz w:val="24"/>
                <w:szCs w:val="24"/>
              </w:rPr>
              <w:t>Директор филиала</w:t>
            </w:r>
          </w:p>
          <w:p>
            <w:pPr>
              <w:pStyle w:val="Normal"/>
              <w:widowControl w:val="false"/>
              <w:tabs>
                <w:tab w:val="clear" w:pos="708"/>
                <w:tab w:val="left" w:pos="4530" w:leader="none"/>
              </w:tabs>
              <w:ind w:hanging="0" w:right="849"/>
              <w:jc w:val="right"/>
              <w:rPr/>
            </w:pPr>
            <w:r>
              <w:rPr>
                <w:sz w:val="24"/>
                <w:szCs w:val="24"/>
              </w:rPr>
              <w:t>ПАО «РусГидро» - «Зейская ГЭС</w:t>
            </w:r>
          </w:p>
          <w:p>
            <w:pPr>
              <w:pStyle w:val="Normal"/>
              <w:widowControl w:val="false"/>
              <w:tabs>
                <w:tab w:val="clear" w:pos="708"/>
                <w:tab w:val="left" w:pos="4530" w:leader="none"/>
              </w:tabs>
              <w:ind w:hanging="0" w:right="849"/>
              <w:jc w:val="right"/>
              <w:rPr/>
            </w:pPr>
            <w:r>
              <w:rPr>
                <w:sz w:val="24"/>
                <w:szCs w:val="24"/>
              </w:rPr>
              <w:t>_____________М.</w:t>
            </w:r>
            <w:r>
              <w:rPr>
                <w:sz w:val="24"/>
                <w:szCs w:val="24"/>
                <w:lang w:val="en-US"/>
              </w:rPr>
              <w:t>А. Сухомесов</w:t>
            </w:r>
          </w:p>
        </w:tc>
      </w:tr>
    </w:tbl>
    <w:p>
      <w:pPr>
        <w:pStyle w:val="Normal"/>
        <w:tabs>
          <w:tab w:val="clear" w:pos="708"/>
          <w:tab w:val="left" w:pos="6521" w:leader="none"/>
        </w:tabs>
        <w:rPr>
          <w:szCs w:val="28"/>
        </w:rPr>
      </w:pPr>
      <w:r>
        <w:rPr>
          <w:szCs w:val="28"/>
        </w:rPr>
      </w:r>
    </w:p>
    <w:sectPr>
      <w:headerReference w:type="default" r:id="rId7"/>
      <w:headerReference w:type="first" r:id="rId8"/>
      <w:footerReference w:type="default" r:id="rId9"/>
      <w:footerReference w:type="first" r:id="rId10"/>
      <w:type w:val="nextPage"/>
      <w:pgSz w:orient="landscape" w:w="16838" w:h="11906"/>
      <w:pgMar w:left="2268" w:right="1134" w:gutter="0" w:header="567" w:top="1701"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Segoe UI">
    <w:charset w:val="01"/>
    <w:family w:val="roman"/>
    <w:pitch w:val="variable"/>
  </w:font>
  <w:font w:name="Calibri Light">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10181897"/>
    </w:sdtPr>
    <w:sdtContent>
      <w:p>
        <w:pPr>
          <w:pStyle w:val="Header"/>
          <w:jc w:val="center"/>
          <w:rPr/>
        </w:pPr>
        <w:r>
          <w:rPr/>
          <w:fldChar w:fldCharType="begin"/>
        </w:r>
        <w:r>
          <w:rPr/>
          <w:instrText xml:space="preserve"> PAGE </w:instrText>
        </w:r>
        <w:r>
          <w:rPr/>
          <w:fldChar w:fldCharType="separate"/>
        </w:r>
        <w:r>
          <w:rPr/>
          <w:t>17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Название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Текст выноски Знак"/>
    <w:qFormat/>
    <w:rPr>
      <w:rFonts w:ascii="Segoe UI" w:hAnsi="Segoe UI" w:eastAsia="Times New Roman" w:cs="Segoe UI"/>
      <w:color w:val="000000"/>
      <w:sz w:val="18"/>
      <w:szCs w:val="18"/>
    </w:rPr>
  </w:style>
  <w:style w:type="character" w:styleId="1">
    <w:name w:val="Заголовок 1 Знак"/>
    <w:qFormat/>
    <w:rPr>
      <w:rFonts w:ascii="Calibri Light" w:hAnsi="Calibri Light" w:eastAsia="Calibri" w:cs="Tahoma"/>
      <w:color w:val="2E74B5"/>
      <w:sz w:val="32"/>
      <w:szCs w:val="32"/>
    </w:rPr>
  </w:style>
  <w:style w:type="character" w:styleId="4">
    <w:name w:val="Заголовок 4 Знак"/>
    <w:qFormat/>
    <w:rPr>
      <w:rFonts w:ascii="Times New Roman" w:hAnsi="Times New Roman" w:eastAsia="Times New Roman" w:cs="Times New Roman"/>
      <w:b/>
      <w:i/>
      <w:color w:val="000000"/>
      <w:sz w:val="28"/>
      <w:szCs w:val="20"/>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1" w:customStyle="1">
    <w:name w:val="Заголовок1"/>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hanging="0" w:lef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hanging="0" w:left="72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hanging="0" w:left="283"/>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hanging="851" w:lef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2"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3"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customStyle="1">
    <w:name w:val="Содержимое таблицы"/>
    <w:basedOn w:val="Normal"/>
    <w:qFormat/>
    <w:pPr>
      <w:suppressLineNumbers/>
    </w:pPr>
    <w:rPr/>
  </w:style>
  <w:style w:type="paragraph" w:styleId="Style28" w:customStyle="1">
    <w:name w:val="Заголовок таблицы"/>
    <w:basedOn w:val="Style27"/>
    <w:qFormat/>
    <w:pPr>
      <w:jc w:val="center"/>
    </w:pPr>
    <w:rPr>
      <w:b/>
      <w:bCs/>
    </w:rPr>
  </w:style>
  <w:style w:type="paragraph" w:styleId="14">
    <w:name w:val="Стиль Заголовок 1 + по ширине"/>
    <w:basedOn w:val="Heading1"/>
    <w:qFormat/>
    <w:pPr>
      <w:keepNext w:val="true"/>
      <w:keepLines/>
      <w:spacing w:lineRule="exact" w:line="240" w:before="480" w:after="240"/>
      <w:ind w:firstLine="567"/>
    </w:pPr>
    <w:rPr>
      <w:rFonts w:ascii="Arial" w:hAnsi="Arial" w:eastAsia="Times New Roman" w:cs="Times New Roman"/>
      <w:b/>
      <w:bCs/>
      <w:kern w:val="2"/>
      <w:sz w:val="40"/>
      <w:szCs w:val="20"/>
    </w:rPr>
  </w:style>
  <w:style w:type="paragraph" w:styleId="Caption11">
    <w:name w:val="caption11"/>
    <w:basedOn w:val="Normal"/>
    <w:qFormat/>
    <w:pPr>
      <w:spacing w:before="120" w:after="120"/>
      <w:ind w:firstLine="567"/>
    </w:pPr>
    <w:rPr>
      <w:i/>
      <w:i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66144BA-1D1C-4A26-9068-E3648E05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Application>AlterOffice/2026.2.0.0$Linux_X86_64 LibreOffice_project/bc4ef1adf80b36c7a6365f8ed6cbf29021361edd</Application>
  <AppVersion>15.0000</AppVersion>
  <Pages>17</Pages>
  <Words>6538</Words>
  <Characters>46139</Characters>
  <CharactersWithSpaces>52396</CharactersWithSpaces>
  <Paragraphs>260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tsypilev_ag</dc:creator>
  <dc:description/>
  <dc:language>ru-RU</dc:language>
  <cp:lastModifiedBy>degtiariovma@corp.gidroogk.com</cp:lastModifiedBy>
  <dcterms:modified xsi:type="dcterms:W3CDTF">2026-09-01T15:51:49Z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