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  <w:t>«Утверждаю»</w:t>
      </w:r>
    </w:p>
    <w:p>
      <w:pPr>
        <w:pStyle w:val="Normal"/>
        <w:jc w:val="right"/>
        <w:rPr/>
      </w:pPr>
      <w:r>
        <w:rPr/>
        <w:t>Исполнительный директор</w:t>
      </w:r>
    </w:p>
    <w:p>
      <w:pPr>
        <w:pStyle w:val="Normal"/>
        <w:jc w:val="right"/>
        <w:rPr/>
      </w:pPr>
      <w:r>
        <w:rPr/>
        <w:t>АО «Загорская ГАЭС-2»</w:t>
      </w:r>
    </w:p>
    <w:p>
      <w:pPr>
        <w:pStyle w:val="Normal"/>
        <w:jc w:val="right"/>
        <w:rPr/>
      </w:pPr>
      <w:r>
        <w:rPr/>
      </w:r>
    </w:p>
    <w:p>
      <w:pPr>
        <w:pStyle w:val="Normal"/>
        <w:keepNext w:val="true"/>
        <w:keepLines/>
        <w:jc w:val="right"/>
        <w:rPr/>
      </w:pPr>
      <w:r>
        <w:rPr/>
        <w:t>_______________ А.Н. Болотов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i w:val="false"/>
          <w:color w:val="000000"/>
          <w:sz w:val="26"/>
          <w:szCs w:val="26"/>
          <w:shd w:fill="auto" w:val="clear"/>
        </w:rPr>
        <w:t>П</w:t>
      </w:r>
      <w:r>
        <w:rPr>
          <w:rStyle w:val="Style8"/>
          <w:rFonts w:eastAsia="Calibri"/>
          <w:i w:val="false"/>
          <w:sz w:val="26"/>
          <w:szCs w:val="26"/>
          <w:shd w:fill="auto" w:val="clear"/>
          <w:lang w:eastAsia="x-none"/>
        </w:rPr>
        <w:t>еревозка автомобильным транспортом трансформатора ТДЦ-265000/500-У1 и оказание сопутствующих услуг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sz w:val="26"/>
              <w:szCs w:val="26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sz w:val="26"/>
              <w:szCs w:val="26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  <w:sz w:val="26"/>
                <w:szCs w:val="26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Общие сведения</w:t>
              <w:tab/>
            </w:r>
          </w:hyperlink>
          <w:r>
            <w:rPr>
              <w:sz w:val="26"/>
              <w:szCs w:val="26"/>
            </w:rPr>
            <w:t>3</w:t>
          </w:r>
        </w:p>
        <w:p>
          <w:pPr>
            <w:pStyle w:val="TOC4"/>
            <w:rPr/>
          </w:pPr>
          <w:hyperlink w:anchor="_Toc54643695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Обозначения и сокращения</w:t>
              <w:tab/>
            </w:r>
          </w:hyperlink>
          <w:r>
            <w:rPr>
              <w:sz w:val="26"/>
              <w:szCs w:val="26"/>
            </w:rPr>
            <w:t>3</w:t>
          </w:r>
        </w:p>
        <w:p>
          <w:pPr>
            <w:pStyle w:val="TOC4"/>
            <w:rPr/>
          </w:pPr>
          <w:hyperlink w:anchor="_Toc54643696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Наименование закупаемой продукции</w:t>
              <w:tab/>
            </w:r>
          </w:hyperlink>
          <w:r>
            <w:rPr>
              <w:sz w:val="26"/>
              <w:szCs w:val="26"/>
            </w:rPr>
            <w:t>3</w:t>
          </w:r>
        </w:p>
        <w:p>
          <w:pPr>
            <w:pStyle w:val="TOC4"/>
            <w:rPr/>
          </w:pPr>
          <w:hyperlink w:anchor="_Toc54643697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 xml:space="preserve">Цель оказания услуг </w:t>
              <w:tab/>
            </w:r>
          </w:hyperlink>
          <w:r>
            <w:rPr>
              <w:sz w:val="26"/>
              <w:szCs w:val="26"/>
            </w:rPr>
            <w:t>3</w:t>
          </w:r>
        </w:p>
        <w:p>
          <w:pPr>
            <w:pStyle w:val="TOC4"/>
            <w:rPr/>
          </w:pPr>
          <w:hyperlink w:anchor="_Toc54643698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 xml:space="preserve">Существующее положение </w:t>
              <w:tab/>
            </w:r>
          </w:hyperlink>
          <w:r>
            <w:rPr>
              <w:sz w:val="26"/>
              <w:szCs w:val="26"/>
            </w:rPr>
            <w:t>3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54643699"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 1. Перечень объектов заказчика</w:t>
              <w:tab/>
            </w:r>
          </w:hyperlink>
          <w:r>
            <w:rPr>
              <w:b w:val="false"/>
              <w:bCs w:val="false"/>
              <w:sz w:val="26"/>
              <w:szCs w:val="26"/>
            </w:rPr>
            <w:t>3</w:t>
          </w:r>
        </w:p>
        <w:p>
          <w:pPr>
            <w:pStyle w:val="TOC4"/>
            <w:rPr/>
          </w:pPr>
          <w:hyperlink w:anchor="_Toc54643700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6"/>
                <w:szCs w:val="26"/>
              </w:rPr>
              <w:tab/>
            </w:r>
          </w:hyperlink>
          <w:hyperlink w:anchor="_Toc5464370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z w:val="26"/>
                <w:szCs w:val="26"/>
              </w:rPr>
              <w:t xml:space="preserve">Иные требования и сведения общего характера </w:t>
            </w:r>
            <w:r>
              <w:rPr>
                <w:webHidden/>
              </w:rPr>
              <w:fldChar w:fldCharType="end"/>
            </w:r>
          </w:hyperlink>
          <w:r>
            <w:rPr>
              <w:sz w:val="26"/>
              <w:szCs w:val="26"/>
            </w:rPr>
            <w:tab/>
            <w:t>4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54643702">
            <w:r>
              <w:rPr>
                <w:webHidden/>
                <w:rStyle w:val="Style14"/>
                <w:vanish w:val="false"/>
                <w:sz w:val="26"/>
                <w:szCs w:val="26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iCs/>
                <w:sz w:val="26"/>
                <w:szCs w:val="26"/>
              </w:rPr>
              <w:t>Требования к продукции</w:t>
            </w:r>
            <w:r>
              <w:rPr>
                <w:rStyle w:val="Style14"/>
                <w:sz w:val="26"/>
                <w:szCs w:val="26"/>
              </w:rPr>
              <w:tab/>
            </w:r>
          </w:hyperlink>
          <w:r>
            <w:rPr>
              <w:b w:val="false"/>
              <w:bCs w:val="false"/>
              <w:sz w:val="26"/>
              <w:szCs w:val="26"/>
            </w:rPr>
            <w:t>4</w:t>
          </w:r>
        </w:p>
        <w:p>
          <w:pPr>
            <w:pStyle w:val="TOC4"/>
            <w:rPr/>
          </w:pPr>
          <w:hyperlink w:anchor="_Toc54643703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Требования к объемам и срокам оказания услуг</w:t>
              <w:tab/>
            </w:r>
          </w:hyperlink>
          <w:r>
            <w:rPr>
              <w:sz w:val="26"/>
              <w:szCs w:val="26"/>
            </w:rPr>
            <w:t>4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54643704">
            <w:r>
              <w:rPr>
                <w:webHidden/>
                <w:rStyle w:val="Style14"/>
                <w:vanish w:val="false"/>
                <w:sz w:val="26"/>
                <w:szCs w:val="26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Требования к перечню и объему услуг</w:t>
              <w:tab/>
            </w:r>
          </w:hyperlink>
          <w:r>
            <w:rPr>
              <w:sz w:val="26"/>
              <w:szCs w:val="26"/>
            </w:rPr>
            <w:t>4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54643706">
            <w:r>
              <w:rPr>
                <w:webHidden/>
                <w:rStyle w:val="Style14"/>
                <w:vanish w:val="false"/>
                <w:sz w:val="26"/>
                <w:szCs w:val="26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Требования к срокам оказания услуг</w:t>
              <w:tab/>
            </w:r>
          </w:hyperlink>
          <w:r>
            <w:rPr>
              <w:sz w:val="26"/>
              <w:szCs w:val="26"/>
            </w:rPr>
            <w:t>4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54643707"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 3. Требования к срокам оказания услуг</w:t>
              <w:tab/>
            </w:r>
          </w:hyperlink>
          <w:r>
            <w:rPr>
              <w:b w:val="false"/>
              <w:bCs w:val="false"/>
              <w:sz w:val="26"/>
              <w:szCs w:val="26"/>
            </w:rPr>
            <w:t>4</w:t>
          </w:r>
        </w:p>
        <w:p>
          <w:pPr>
            <w:pStyle w:val="TOC4"/>
            <w:rPr/>
          </w:pPr>
          <w:hyperlink w:anchor="_Toc54643708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Требования к качеству услуг</w:t>
              <w:tab/>
            </w:r>
          </w:hyperlink>
          <w:r>
            <w:rPr>
              <w:sz w:val="26"/>
              <w:szCs w:val="26"/>
            </w:rPr>
            <w:t>4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54643709"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 4. Требования к качеству услуг</w:t>
              <w:tab/>
            </w:r>
          </w:hyperlink>
          <w:r>
            <w:rPr>
              <w:b w:val="false"/>
              <w:bCs w:val="false"/>
              <w:sz w:val="26"/>
              <w:szCs w:val="26"/>
            </w:rPr>
            <w:t>5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54643710">
            <w:r>
              <w:rPr>
                <w:webHidden/>
                <w:rStyle w:val="Style14"/>
                <w:vanish w:val="false"/>
                <w:sz w:val="26"/>
                <w:szCs w:val="26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Требования к документации по ценообразованию на этапе закупки</w:t>
              <w:tab/>
            </w:r>
            <w:r>
              <w:rPr>
                <w:rStyle w:val="Style14"/>
                <w:b w:val="false"/>
                <w:bCs w:val="false"/>
                <w:sz w:val="26"/>
                <w:szCs w:val="26"/>
              </w:rPr>
              <w:t>1</w:t>
            </w:r>
          </w:hyperlink>
          <w:r>
            <w:rPr>
              <w:b w:val="false"/>
              <w:bCs w:val="false"/>
              <w:sz w:val="26"/>
              <w:szCs w:val="26"/>
            </w:rPr>
            <w:t>1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54643711">
            <w:r>
              <w:rPr>
                <w:webHidden/>
                <w:rStyle w:val="Style14"/>
                <w:vanish w:val="false"/>
                <w:sz w:val="26"/>
                <w:szCs w:val="26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Требования к документации по ценообразованию на этапе заключения (исполнения) договора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 w:val="false"/>
                <w:bCs w:val="false"/>
                <w:sz w:val="26"/>
                <w:szCs w:val="26"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54643712">
            <w:r>
              <w:rPr>
                <w:webHidden/>
                <w:rStyle w:val="Style14"/>
                <w:vanish w:val="false"/>
                <w:sz w:val="26"/>
                <w:szCs w:val="26"/>
              </w:rPr>
              <w:t>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iCs/>
                <w:sz w:val="26"/>
                <w:szCs w:val="26"/>
              </w:rPr>
              <w:t>Приложения</w:t>
            </w:r>
            <w:r>
              <w:rPr>
                <w:rStyle w:val="Style14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 w:val="false"/>
                <w:bCs w:val="false"/>
                <w:sz w:val="26"/>
                <w:szCs w:val="26"/>
              </w:rPr>
              <w:t>12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sz w:val="26"/>
              <w:b w:val="false"/>
              <w:szCs w:val="26"/>
              <w:bCs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</w:numPr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54643695"/>
      <w:r>
        <w:rPr/>
        <w:t>Обозначения и сокращения</w:t>
      </w:r>
      <w:bookmarkEnd w:id="1"/>
      <w:bookmarkEnd w:id="2"/>
    </w:p>
    <w:p>
      <w:pPr>
        <w:pStyle w:val="Normal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Груз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/>
            </w:pPr>
            <w:r>
              <w:rPr>
                <w:rStyle w:val="Style8"/>
                <w:b w:val="false"/>
                <w:i w:val="false"/>
                <w:sz w:val="26"/>
                <w:szCs w:val="26"/>
                <w:shd w:fill="auto" w:val="clear"/>
              </w:rPr>
              <w:t xml:space="preserve"> </w:t>
            </w:r>
            <w:r>
              <w:rPr>
                <w:rStyle w:val="Style8"/>
                <w:b w:val="false"/>
                <w:i w:val="false"/>
                <w:sz w:val="26"/>
                <w:szCs w:val="26"/>
                <w:shd w:fill="auto" w:val="clear"/>
              </w:rPr>
              <w:t xml:space="preserve">Трансформатор </w:t>
            </w:r>
            <w:r>
              <w:rPr>
                <w:rStyle w:val="Style8"/>
                <w:rFonts w:eastAsia="Calibri"/>
                <w:b w:val="false"/>
                <w:i w:val="false"/>
                <w:sz w:val="26"/>
                <w:szCs w:val="26"/>
                <w:shd w:fill="auto" w:val="clear"/>
                <w:lang w:val="en-US" w:eastAsia="x-none"/>
              </w:rPr>
              <w:t>ТДЦ-265000/500-У1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>
          <w:sz w:val="26"/>
          <w:szCs w:val="26"/>
        </w:rPr>
      </w:pPr>
      <w:bookmarkStart w:id="3" w:name="_Toc46743506"/>
      <w:bookmarkStart w:id="4" w:name="_Toc54643696"/>
      <w:r>
        <w:rPr>
          <w:sz w:val="26"/>
          <w:szCs w:val="26"/>
        </w:rPr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>
        <w:rPr>
          <w:rFonts w:eastAsia="Calibri"/>
          <w:sz w:val="26"/>
          <w:szCs w:val="26"/>
          <w:lang w:eastAsia="x-none"/>
        </w:rPr>
        <w:t>еревозка автомобильным транспортом трансформатора ТДЦ-265000/500-У1 и оказание сопутствующих услуг</w:t>
      </w:r>
      <w:bookmarkStart w:id="5" w:name="_Toc46743507"/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sz w:val="26"/>
          <w:szCs w:val="26"/>
        </w:rPr>
      </w:pPr>
      <w:bookmarkStart w:id="6" w:name="_Toc54643697"/>
      <w:r>
        <w:rPr>
          <w:sz w:val="26"/>
          <w:szCs w:val="26"/>
        </w:rPr>
        <w:t xml:space="preserve">Цель </w:t>
      </w:r>
      <w:bookmarkEnd w:id="5"/>
      <w:r>
        <w:rPr>
          <w:sz w:val="26"/>
          <w:szCs w:val="26"/>
          <w:lang w:val="ru-RU"/>
        </w:rPr>
        <w:t>оказания услуг</w:t>
      </w:r>
      <w:r>
        <w:rPr>
          <w:sz w:val="26"/>
          <w:szCs w:val="26"/>
        </w:rPr>
        <w:t xml:space="preserve"> </w:t>
      </w:r>
      <w:bookmarkEnd w:id="6"/>
    </w:p>
    <w:p>
      <w:pPr>
        <w:pStyle w:val="Normal"/>
        <w:widowControl w:val="false"/>
        <w:tabs>
          <w:tab w:val="clear" w:pos="708"/>
          <w:tab w:val="left" w:pos="0" w:leader="none"/>
        </w:tabs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1.3.1. Целью перевозки является перемещение </w:t>
      </w:r>
      <w:r>
        <w:rPr>
          <w:rFonts w:eastAsia="Calibri"/>
          <w:sz w:val="26"/>
          <w:szCs w:val="26"/>
          <w:lang w:eastAsia="x-none"/>
        </w:rPr>
        <w:t xml:space="preserve">трансформатора ТДЦ-265000/500-У1 с места временного хранения на место разгрузки и его установка </w:t>
      </w:r>
      <w:r>
        <w:rPr>
          <w:sz w:val="26"/>
          <w:szCs w:val="26"/>
        </w:rPr>
        <w:t xml:space="preserve">на штатное место </w:t>
      </w:r>
      <w:r>
        <w:rPr>
          <w:rFonts w:eastAsia="Calibri"/>
          <w:sz w:val="26"/>
          <w:szCs w:val="26"/>
          <w:lang w:eastAsia="x-none"/>
        </w:rPr>
        <w:t xml:space="preserve"> на территории</w:t>
      </w:r>
      <w:r>
        <w:rPr>
          <w:sz w:val="26"/>
          <w:szCs w:val="26"/>
        </w:rPr>
        <w:t xml:space="preserve"> Загорской ГАЭС-2. </w:t>
      </w:r>
    </w:p>
    <w:p>
      <w:pPr>
        <w:pStyle w:val="Heading4"/>
        <w:numPr>
          <w:ilvl w:val="1"/>
          <w:numId w:val="3"/>
        </w:numPr>
        <w:rPr>
          <w:sz w:val="26"/>
          <w:szCs w:val="26"/>
        </w:rPr>
      </w:pPr>
      <w:bookmarkStart w:id="7" w:name="_Toc54643698"/>
      <w:bookmarkStart w:id="8" w:name="_Toc46743508"/>
      <w:r>
        <w:rPr>
          <w:sz w:val="26"/>
          <w:szCs w:val="26"/>
        </w:rPr>
        <w:t>Существующее положение</w:t>
      </w:r>
      <w:bookmarkEnd w:id="8"/>
      <w:r>
        <w:rPr>
          <w:sz w:val="26"/>
          <w:szCs w:val="26"/>
          <w:lang w:val="ru-RU"/>
        </w:rPr>
        <w:t xml:space="preserve"> </w:t>
      </w:r>
      <w:bookmarkEnd w:id="7"/>
    </w:p>
    <w:p>
      <w:pPr>
        <w:pStyle w:val="Normal"/>
        <w:widowControl w:val="false"/>
        <w:tabs>
          <w:tab w:val="clear" w:pos="708"/>
          <w:tab w:val="left" w:pos="0" w:leader="none"/>
        </w:tabs>
        <w:jc w:val="both"/>
        <w:textAlignment w:val="baseline"/>
        <w:rPr>
          <w:sz w:val="26"/>
          <w:szCs w:val="26"/>
        </w:rPr>
      </w:pPr>
      <w:r>
        <w:rPr>
          <w:rFonts w:eastAsia="Calibri"/>
          <w:sz w:val="26"/>
          <w:szCs w:val="26"/>
          <w:lang w:eastAsia="x-none"/>
        </w:rPr>
        <w:t xml:space="preserve">Трансформатору </w:t>
      </w:r>
      <w:bookmarkStart w:id="9" w:name="_Hlk156903134"/>
      <w:r>
        <w:rPr>
          <w:rFonts w:eastAsia="Calibri"/>
          <w:bCs/>
          <w:sz w:val="26"/>
          <w:szCs w:val="26"/>
          <w:lang w:eastAsia="x-none"/>
        </w:rPr>
        <w:t>ТДЦ-265000/500-У1 зав.№</w:t>
      </w:r>
      <w:bookmarkEnd w:id="9"/>
      <w:r>
        <w:rPr>
          <w:rFonts w:eastAsia="Calibri"/>
          <w:bCs/>
          <w:sz w:val="26"/>
          <w:szCs w:val="26"/>
          <w:lang w:eastAsia="x-none"/>
        </w:rPr>
        <w:t xml:space="preserve">161034 проводились мероприятия по комплексной диагностике состояния  в заводских условиях АО «ПК ХК Электрозавод» (далее - «Отправитель»).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jc w:val="both"/>
        <w:textAlignment w:val="baseline"/>
        <w:rPr>
          <w:sz w:val="26"/>
          <w:szCs w:val="26"/>
        </w:rPr>
      </w:pPr>
      <w:r>
        <w:rPr>
          <w:rFonts w:eastAsia="Calibri"/>
          <w:bCs/>
          <w:sz w:val="26"/>
          <w:szCs w:val="26"/>
          <w:lang w:eastAsia="x-none"/>
        </w:rPr>
        <w:t xml:space="preserve">Погрузка трансформатора в месте погрузки будет производиться силами и средствами Отправителя.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jc w:val="both"/>
        <w:textAlignment w:val="baseline"/>
        <w:rPr>
          <w:sz w:val="26"/>
          <w:szCs w:val="26"/>
        </w:rPr>
      </w:pPr>
      <w:r>
        <w:rPr>
          <w:rFonts w:eastAsia="Calibri"/>
          <w:bCs/>
          <w:sz w:val="26"/>
          <w:szCs w:val="26"/>
          <w:lang w:eastAsia="x-none"/>
        </w:rPr>
        <w:t>Место погрузки: г. Москва ул. Электрозаводская, д. 21, АО «ПК ХК Электрозавод».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jc w:val="both"/>
        <w:textAlignment w:val="baseline"/>
        <w:rPr>
          <w:sz w:val="26"/>
          <w:szCs w:val="26"/>
        </w:rPr>
      </w:pPr>
      <w:r>
        <w:rPr>
          <w:rFonts w:eastAsia="Calibri"/>
          <w:bCs/>
          <w:sz w:val="26"/>
          <w:szCs w:val="26"/>
          <w:lang w:eastAsia="x-none"/>
        </w:rPr>
        <w:t>Место разгрузки: Московская область, Сергиево-Посадский район, пгт Богородское, станционный узел Загорской ГАЭС-2.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jc w:val="both"/>
        <w:textAlignment w:val="baseline"/>
        <w:rPr>
          <w:sz w:val="26"/>
          <w:szCs w:val="26"/>
        </w:rPr>
      </w:pPr>
      <w:r>
        <w:rPr>
          <w:rFonts w:eastAsia="Calibri"/>
          <w:bCs/>
          <w:sz w:val="26"/>
          <w:szCs w:val="26"/>
          <w:lang w:eastAsia="x-none"/>
        </w:rPr>
        <w:t>Габаритно-весовые характеристики трансформатора ТДЦ-265000/500-У1 указаны в Приложении №1 к Техническим требованиям.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0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0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523"/>
        <w:gridCol w:w="2465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color w:val="000000"/>
                <w:sz w:val="26"/>
                <w:szCs w:val="26"/>
              </w:rPr>
              <w:t>П</w:t>
            </w:r>
            <w:r>
              <w:rPr>
                <w:rFonts w:eastAsia="Calibri"/>
                <w:sz w:val="26"/>
                <w:szCs w:val="26"/>
                <w:lang w:eastAsia="x-none"/>
              </w:rPr>
              <w:t>еревозка автомобильным транспортом трансформатора ТДЦ-265000/500-У1 и оказание сопутствующих услуг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АО «Загорская ГАЭС-2», Российская Федерация, Московская область, г. Сергиев Посад, поселок городского типа Богородское, дом 101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lang w:eastAsia="x-none"/>
              </w:rPr>
              <w:t xml:space="preserve">Трансформатор </w:t>
            </w:r>
            <w:bookmarkStart w:id="11" w:name="_Hlk156903134_Копия_1"/>
            <w:r>
              <w:rPr>
                <w:rFonts w:eastAsia="Calibri"/>
                <w:bCs/>
                <w:sz w:val="26"/>
                <w:szCs w:val="26"/>
                <w:lang w:eastAsia="x-none"/>
              </w:rPr>
              <w:t>ТДЦ-265000/500-У1 зав.№</w:t>
            </w:r>
            <w:bookmarkEnd w:id="11"/>
            <w:r>
              <w:rPr>
                <w:rFonts w:eastAsia="Calibri"/>
                <w:bCs/>
                <w:sz w:val="26"/>
                <w:szCs w:val="26"/>
                <w:lang w:eastAsia="x-none"/>
              </w:rPr>
              <w:t xml:space="preserve">161034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0"/>
        </w:numPr>
        <w:tabs>
          <w:tab w:val="clear" w:pos="0"/>
        </w:tabs>
        <w:ind w:left="432" w:hanging="0"/>
        <w:rPr>
          <w:rStyle w:val="Style8"/>
          <w:iCs/>
          <w:lang w:val="ru-RU"/>
        </w:rPr>
      </w:pPr>
      <w:r>
        <w:rPr>
          <w:iCs/>
          <w:lang w:val="ru-RU"/>
        </w:rPr>
      </w:r>
    </w:p>
    <w:p>
      <w:pPr>
        <w:pStyle w:val="Heading4"/>
        <w:numPr>
          <w:ilvl w:val="1"/>
          <w:numId w:val="3"/>
        </w:numPr>
        <w:rPr>
          <w:sz w:val="26"/>
          <w:szCs w:val="26"/>
        </w:rPr>
      </w:pPr>
      <w:bookmarkStart w:id="12" w:name="_Toc54643701"/>
      <w:bookmarkStart w:id="13" w:name="_Toc50125126"/>
      <w:bookmarkStart w:id="14" w:name="_Toc46743510"/>
      <w:bookmarkStart w:id="15" w:name="_Hlk48209761_Копия_1"/>
      <w:bookmarkEnd w:id="13"/>
      <w:bookmarkEnd w:id="14"/>
      <w:bookmarkEnd w:id="15"/>
      <w:r>
        <w:rPr>
          <w:sz w:val="26"/>
          <w:szCs w:val="26"/>
        </w:rPr>
        <w:t>Иные требования и сведения общего характера</w:t>
      </w:r>
      <w:bookmarkEnd w:id="12"/>
    </w:p>
    <w:p>
      <w:pPr>
        <w:pStyle w:val="Normal"/>
        <w:ind w:firstLine="709"/>
        <w:jc w:val="both"/>
        <w:rPr/>
      </w:pPr>
      <w:r>
        <w:rPr>
          <w:rStyle w:val="Style8"/>
          <w:b w:val="false"/>
          <w:bCs/>
          <w:i w:val="false"/>
          <w:sz w:val="26"/>
          <w:szCs w:val="26"/>
          <w:shd w:fill="auto" w:val="clear"/>
        </w:rPr>
        <w:t xml:space="preserve">Способ разгрузки трансформатора </w:t>
      </w:r>
      <w:r>
        <w:rPr>
          <w:rStyle w:val="Style8"/>
          <w:rFonts w:eastAsia="Calibri"/>
          <w:b w:val="false"/>
          <w:bCs/>
          <w:i w:val="false"/>
          <w:sz w:val="26"/>
          <w:szCs w:val="26"/>
          <w:shd w:fill="auto" w:val="clear"/>
          <w:lang w:eastAsia="x-none"/>
        </w:rPr>
        <w:t xml:space="preserve">ТДЦ-265000/500-У1 необходимо </w:t>
      </w:r>
      <w:r>
        <w:rPr>
          <w:rStyle w:val="Style8"/>
          <w:b w:val="false"/>
          <w:bCs/>
          <w:i w:val="false"/>
          <w:sz w:val="26"/>
          <w:szCs w:val="26"/>
          <w:shd w:fill="auto" w:val="clear"/>
        </w:rPr>
        <w:t>согласовать с Заказчиком до начала оказания Услуг.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6"/>
          <w:szCs w:val="26"/>
        </w:rPr>
      </w:pPr>
      <w:bookmarkStart w:id="16" w:name="_Toc54643702"/>
      <w:bookmarkStart w:id="17" w:name="_Toc51339693"/>
      <w:r>
        <w:rPr>
          <w:iCs/>
          <w:sz w:val="26"/>
          <w:szCs w:val="26"/>
          <w:lang w:val="ru-RU"/>
        </w:rPr>
        <w:t>Требования</w:t>
      </w:r>
      <w:r>
        <w:rPr>
          <w:iCs/>
          <w:sz w:val="26"/>
          <w:szCs w:val="26"/>
        </w:rPr>
        <w:t xml:space="preserve"> к продукции</w:t>
      </w:r>
      <w:bookmarkEnd w:id="16"/>
      <w:bookmarkEnd w:id="17"/>
    </w:p>
    <w:p>
      <w:pPr>
        <w:pStyle w:val="Heading4"/>
        <w:numPr>
          <w:ilvl w:val="1"/>
          <w:numId w:val="3"/>
        </w:numPr>
        <w:rPr>
          <w:sz w:val="26"/>
          <w:szCs w:val="26"/>
        </w:rPr>
      </w:pPr>
      <w:bookmarkStart w:id="18" w:name="_Toc54643703"/>
      <w:r>
        <w:rPr>
          <w:sz w:val="26"/>
          <w:szCs w:val="26"/>
        </w:rPr>
        <w:t xml:space="preserve">Требования к объемам и срокам </w:t>
      </w:r>
      <w:r>
        <w:rPr>
          <w:sz w:val="26"/>
          <w:szCs w:val="26"/>
          <w:lang w:val="ru-RU"/>
        </w:rPr>
        <w:t>оказания услуг</w:t>
      </w:r>
      <w:bookmarkEnd w:id="18"/>
    </w:p>
    <w:p>
      <w:pPr>
        <w:pStyle w:val="Heading3"/>
        <w:numPr>
          <w:ilvl w:val="2"/>
          <w:numId w:val="3"/>
        </w:numPr>
        <w:rPr>
          <w:sz w:val="26"/>
          <w:szCs w:val="26"/>
        </w:rPr>
      </w:pPr>
      <w:bookmarkStart w:id="19" w:name="_Toc54643704"/>
      <w:r>
        <w:rPr>
          <w:sz w:val="26"/>
          <w:szCs w:val="26"/>
          <w:lang w:val="ru-RU"/>
        </w:rPr>
        <w:t>Требования к перечню и объему услуг</w:t>
      </w:r>
      <w:bookmarkEnd w:id="1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6"/>
          <w:szCs w:val="26"/>
        </w:rPr>
      </w:pPr>
      <w:bookmarkStart w:id="20" w:name="_Toc54643705"/>
      <w:bookmarkStart w:id="21" w:name="_Toc51339695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2.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 xml:space="preserve">Перечень </w:t>
      </w:r>
      <w:bookmarkEnd w:id="21"/>
      <w:r>
        <w:rPr>
          <w:sz w:val="26"/>
          <w:szCs w:val="26"/>
          <w:lang w:val="ru-RU"/>
        </w:rPr>
        <w:t>и объем оказываемых услуг</w:t>
      </w:r>
      <w:bookmarkEnd w:id="20"/>
    </w:p>
    <w:p>
      <w:pPr>
        <w:pStyle w:val="Normal"/>
        <w:spacing w:before="240" w:after="6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2"/>
        <w:gridCol w:w="2119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color w:val="000000"/>
                <w:sz w:val="26"/>
                <w:szCs w:val="26"/>
                <w:shd w:fill="auto" w:val="clear"/>
              </w:rPr>
              <w:t>П</w:t>
            </w:r>
            <w:r>
              <w:rPr>
                <w:rStyle w:val="Style8"/>
                <w:rFonts w:eastAsia="Calibri"/>
                <w:b w:val="false"/>
                <w:bCs/>
                <w:i w:val="false"/>
                <w:sz w:val="26"/>
                <w:szCs w:val="26"/>
                <w:shd w:fill="auto" w:val="clear"/>
                <w:lang w:eastAsia="x-none"/>
              </w:rPr>
              <w:t>еревозка автомобильным транспортом трансформатора ТДЦ-265000/500-У1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rFonts w:eastAsia="Calibri"/>
                <w:b w:val="false"/>
                <w:bCs/>
                <w:i w:val="false"/>
                <w:sz w:val="26"/>
                <w:szCs w:val="26"/>
                <w:shd w:fill="auto" w:val="clear"/>
                <w:lang w:eastAsia="x-none"/>
              </w:rPr>
              <w:t>Услуги по разгрузке трансформатора ТДЦ-265000/500-У1 на штатное место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2" w:name="_Toc54643706"/>
      <w:bookmarkStart w:id="23" w:name="_Toc51339696"/>
      <w:r>
        <w:rPr>
          <w:lang w:val="ru-RU"/>
        </w:rPr>
        <w:t xml:space="preserve">Требования </w:t>
      </w:r>
      <w:bookmarkEnd w:id="23"/>
      <w:r>
        <w:rPr>
          <w:lang w:val="ru-RU"/>
        </w:rPr>
        <w:t>к срокам оказания услуг</w:t>
      </w:r>
      <w:bookmarkEnd w:id="2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4" w:name="_Toc54643707"/>
      <w:bookmarkStart w:id="25" w:name="_Toc51339697"/>
      <w:bookmarkStart w:id="26" w:name="_Toc50125127"/>
      <w:bookmarkStart w:id="27" w:name="_Toc50125126_Копия_1"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5"/>
      <w:bookmarkEnd w:id="26"/>
      <w:bookmarkEnd w:id="28"/>
      <w:r>
        <w:rPr>
          <w:sz w:val="24"/>
          <w:szCs w:val="24"/>
          <w:lang w:val="ru-RU"/>
        </w:rPr>
        <w:t>оказания услуг</w:t>
      </w:r>
      <w:bookmarkEnd w:id="24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50"/>
        <w:gridCol w:w="2979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>
              <w:rPr>
                <w:rFonts w:eastAsia="Calibri"/>
                <w:sz w:val="26"/>
                <w:szCs w:val="26"/>
                <w:lang w:eastAsia="x-none"/>
              </w:rPr>
              <w:t>еревозка автомобильным транспортом трансформатора ТДЦ-265000/500-У1 и оказание сопутствующих услуг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ind w:left="0" w:firstLine="70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Не позднее 2 (двух) месяцев с даты заключения Договора.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9" w:name="_Toc54643709"/>
      <w:bookmarkStart w:id="30" w:name="_Toc51339698"/>
      <w:bookmarkStart w:id="31" w:name="_Toc54643708"/>
      <w:bookmarkStart w:id="32" w:name="_Toc46743511"/>
      <w:r>
        <w:rPr/>
        <w:t xml:space="preserve">Требования к </w:t>
      </w:r>
      <w:bookmarkEnd w:id="32"/>
      <w:r>
        <w:rPr>
          <w:lang w:val="ru-RU"/>
        </w:rPr>
        <w:t xml:space="preserve">качеству </w:t>
      </w:r>
      <w:bookmarkEnd w:id="31"/>
      <w:r>
        <w:rPr>
          <w:lang w:val="ru-RU"/>
        </w:rPr>
        <w:t>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0"/>
      <w:r>
        <w:rPr>
          <w:sz w:val="24"/>
          <w:szCs w:val="24"/>
          <w:lang w:val="ru-RU"/>
        </w:rPr>
        <w:t xml:space="preserve">качеству </w:t>
      </w:r>
      <w:bookmarkEnd w:id="29"/>
      <w:r>
        <w:rPr>
          <w:sz w:val="24"/>
          <w:szCs w:val="24"/>
          <w:lang w:val="ru-RU"/>
        </w:rPr>
        <w:t>продукции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b/>
          <w:bCs/>
          <w:color w:val="000000"/>
          <w:sz w:val="24"/>
          <w:szCs w:val="24"/>
        </w:rPr>
        <w:t>П</w:t>
      </w:r>
      <w:r>
        <w:rPr>
          <w:rFonts w:eastAsia="Calibri"/>
          <w:b/>
          <w:bCs/>
          <w:sz w:val="24"/>
          <w:szCs w:val="24"/>
          <w:lang w:eastAsia="x-none"/>
        </w:rPr>
        <w:t>еревозка автомобильным транспортом трансформатора ТДЦ-265000/500-У1 и оказание сопутствующих услуг</w:t>
      </w:r>
    </w:p>
    <w:tbl>
      <w:tblPr>
        <w:tblStyle w:val="affff7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267"/>
        <w:gridCol w:w="5836"/>
        <w:gridCol w:w="2105"/>
        <w:gridCol w:w="2039"/>
        <w:gridCol w:w="1786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83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14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78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83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0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78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3"/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7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81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1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3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8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64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1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1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3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8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979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Соблюдение норм и правил нормативно-технических документов</w:t>
            </w:r>
          </w:p>
        </w:tc>
        <w:tc>
          <w:tcPr>
            <w:tcW w:w="58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 xml:space="preserve">Перевозка </w:t>
            </w:r>
            <w:r>
              <w:rPr>
                <w:rFonts w:eastAsia="Calibri" w:cs="Times New Roman"/>
                <w:kern w:val="0"/>
                <w:sz w:val="26"/>
                <w:szCs w:val="26"/>
                <w:lang w:val="ru-RU" w:eastAsia="x-none" w:bidi="ar-SA"/>
              </w:rPr>
              <w:t>трансформатора ТДЦ-265000/500-У1</w:t>
            </w: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 xml:space="preserve"> (далее - «Груз») должна выполняться в соответствии с действующими: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  Правилами дорожного движения (Редакция от 1 сентября 2025 года), Инструкцией по перевозке крупногабаритных и тяжеловесных грузов и другими действующими нормами и инструкциями.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Geometria;sans-serif" w:hAnsi="Geometria;sans-serif"/>
                <w:color w:val="01010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- Порядком обмена электронными экспедиторскими документами, установленным Постановлением Правительства РФ от 27.04.2026 № 469;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- Проектом новых Правил перевозок, размещенном на портале regulation.gov.ru (ID 02/08/03-26/00166150);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Разгрузка  Груза</w:t>
            </w:r>
            <w:r>
              <w:rPr>
                <w:rFonts w:eastAsia="Calibri" w:cs="Times New Roman"/>
                <w:color w:val="000000"/>
                <w:kern w:val="0"/>
                <w:sz w:val="26"/>
                <w:szCs w:val="26"/>
                <w:lang w:val="ru-RU" w:eastAsia="x-none" w:bidi="ar-SA"/>
              </w:rPr>
              <w:t xml:space="preserve"> должна выполняться в соответствии с действующими: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kern w:val="0"/>
                <w:sz w:val="26"/>
                <w:szCs w:val="26"/>
                <w:lang w:val="ru-RU" w:eastAsia="x-none" w:bidi="ar-SA"/>
              </w:rPr>
              <w:t>- Федеральными нормами и правилами в области промышленной безопасности "Правила безопасности опасных производственных объектов, на которых используются подъемные сооружения" от 26.11.2020 № 461</w:t>
            </w:r>
            <w:r>
              <w:rPr>
                <w:rFonts w:eastAsia="Calibri" w:cs="Times New Roman"/>
                <w:bCs/>
                <w:color w:val="000000"/>
                <w:kern w:val="0"/>
                <w:sz w:val="26"/>
                <w:szCs w:val="26"/>
                <w:lang w:val="ru-RU" w:eastAsia="x-none" w:bidi="ar-SA"/>
              </w:rPr>
              <w:t xml:space="preserve"> (ред. от 22.01.2024).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6"/>
                <w:szCs w:val="26"/>
                <w:lang w:val="ru-RU" w:eastAsia="x-none" w:bidi="ar-SA"/>
              </w:rPr>
              <w:t>- Правилами по охране труда при погрузочно-разгрузочных работах и размещении грузов, утвержденными Приказом Минтруда РФ от 28.10.2020 N 753Н.</w:t>
            </w:r>
          </w:p>
        </w:tc>
        <w:tc>
          <w:tcPr>
            <w:tcW w:w="21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39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78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810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105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3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86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Оказание Услуг</w:t>
            </w:r>
          </w:p>
        </w:tc>
        <w:tc>
          <w:tcPr>
            <w:tcW w:w="583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Перевозчик обязан: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 до начала оказания Услуг по выгрузке Груза должен разработать, согласовать с Заказчиком и утвердить ППР на выполнение всего комплекса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 xml:space="preserve">- подготовить </w:t>
            </w: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площадки и оборудование в соответствии с утвержденным ППР и заводской документацией для проведения работ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 определить тип и количество транспорта, необходимого для осуществления перевозки, способы закрепления Груза на транспортном средстве в зависимости от объёма и характера перевозки;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 подать автотранспорт на погрузку в дату и время, установленные Заявкой Заказчика;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 принять Груз к перевозке, перевести, выгрузить в месте разгрузки и передать его Заказчику в месте разгрузки;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 обеспечить сохранность Груза при перевозке и разгрузке.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Транспортировка Груза производится на площадку Заказчика с установкой на штатное место. Исполнитель должен обеспечить выполнение такелажных и разгрузочных работ с применением необходимых устройств и приспособлений. Для контроля ударных воздействий при транспортировке, трансформатор должен быть оснащен регистратором транспортных толчков.</w:t>
            </w:r>
          </w:p>
        </w:tc>
        <w:tc>
          <w:tcPr>
            <w:tcW w:w="21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3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9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1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3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8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Организационно-технические мероприятия</w:t>
            </w:r>
          </w:p>
        </w:tc>
        <w:tc>
          <w:tcPr>
            <w:tcW w:w="5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6"/>
                <w:szCs w:val="26"/>
                <w:lang w:val="ru-RU" w:eastAsia="x-none" w:bidi="ar-SA"/>
              </w:rPr>
              <w:t>Допуск на объект производится в соответствии с регламентом процесса «Допуск персонала подрядных организаций к выполнению работ на объектах АО «Загорская ГАЭС-2»», утвержденного приказом АО «Загорская ГАЭС-2» от 06.03.2026 №ЗГАЭС2/83-0037.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Перевозчик обязан: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 подать автотранспорт на погрузку в дату и время, установленные  Заявкой Заказчика;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 принять к Груз к перевозке, перевести, выгрузить и передать его Заказчику в месте разгрузки;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Calibri" w:cs="Times New Roman"/>
                <w:bCs/>
                <w:kern w:val="0"/>
                <w:sz w:val="26"/>
                <w:szCs w:val="26"/>
                <w:lang w:val="ru-RU" w:eastAsia="x-none" w:bidi="ar-SA"/>
              </w:rPr>
              <w:t>- обеспечить сохранность Груза при перевозке и разгрузке.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39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7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81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3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8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Оборудование и материалы</w:t>
            </w:r>
          </w:p>
        </w:tc>
        <w:tc>
          <w:tcPr>
            <w:tcW w:w="583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Грузоподъёмные механизмы, приспособления, необходимые перевозки и выгрузки, применяются Перевозчиком с учетом характеристик Груза, подлежащего перевозке и выгрузке.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Выбор средств крепления Груза на транспортном средстве осуществляется так, чтобы обеспечить безопасность движения, сохранность перевозимого Груза и транспортного средства.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7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810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1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3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8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Квалификация персонала Перевозчика</w:t>
            </w:r>
          </w:p>
        </w:tc>
        <w:tc>
          <w:tcPr>
            <w:tcW w:w="5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Оказание Услуг производится силами квалифицированных специалистов, прошедших соответствующую подготовку, квалификация, опыт и компетенция которых позволяет обеспечить надлежащее и качественное оказание Услуг.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До начала оказания Услуг в рамках исполнения Договора, Перевозчик представляет список персонала, с указанием сведений о квалификации персонала (разряд, категории)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7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81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слуг</w:t>
            </w:r>
          </w:p>
        </w:tc>
        <w:tc>
          <w:tcPr>
            <w:tcW w:w="21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3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8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81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1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3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8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Результат оказания услуг.</w:t>
            </w:r>
          </w:p>
        </w:tc>
        <w:tc>
          <w:tcPr>
            <w:tcW w:w="5836" w:type="dxa"/>
            <w:tcBorders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 xml:space="preserve">По завершении перевозки груза в полном объеме, Перевозчик обязан в течение 2 (двух) рабочих дней с даты окончания перевозки, предоставить Заказчику подписанный со своей стороны Акт сдачи-приемки услуг перевозки в 2 (двух) экземплярах, оформленный по форме Приложения № 3 к ТТ, составленный на основании транспортных накладных подтверждающих перевозку груза в полном объеме. </w:t>
            </w:r>
          </w:p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 xml:space="preserve">По окончании оказания сопутствующих перевозке услуг Перевозчик в течение 3 (трех) рабочих дней предоставляет Заказчику подписанные со своей стороны в 2 (двух) экземплярах Акты сдачи-приемки оказанных сопутствующих услуг, оформленный по форме Приложения № 2 к ТТ. 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39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7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81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1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3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8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Требования информационной безопасности</w:t>
            </w:r>
          </w:p>
        </w:tc>
        <w:tc>
          <w:tcPr>
            <w:tcW w:w="5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Информационная безопасность должна обеспечиваться в соответствии с Федеральными законами № 152 от 27.07.2006 «О персональных данных».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Требования информационной безопасности результата оказания Услуг</w:t>
            </w:r>
          </w:p>
        </w:tc>
        <w:tc>
          <w:tcPr>
            <w:tcW w:w="5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Любая информация, полученная Перевозчиком в ходе ознакомления с объемом оказываемых Услуг, к которой относится и вся информация о производственных активах Заказчика, содержание которых Перевозчик получит или может получить в ходе оказания Услуг, является собственностью Заказчика и не может передаваться третьим лицам, использоваться в своих целях, распространяться или тиражироваться любыми способами без письменного разрешения Заказчика.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Перевозчик обязан выполнять в полном объеме требования Заказчика к информационной безопасности.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Перевозчику запрещается: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 Передавать иным лицам, кроме полномочных представителей Заказчика, планы расположения, технические характеристики оборудования;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 Осуществлять несанкционированное подключение к оборудованию;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 Передавать третьим лицам любую информацию о работе оборудования и параметрах технологического процесса без письменного согласия Заказчика.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81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6"/>
                <w:szCs w:val="26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21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3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8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Документы, передаваемые Заказчику</w:t>
            </w:r>
          </w:p>
        </w:tc>
        <w:tc>
          <w:tcPr>
            <w:tcW w:w="5836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- Акт сдачи-приемки услуг перевозки в 2 (двух) экземплярах;</w:t>
            </w:r>
          </w:p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- Акты сдачи-приемки оказанных сопутствующих услуг в 2 (двух) экземплярах.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7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283" w:hanging="34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81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Требования к ответственности и гарантиям Перевозчика</w:t>
            </w:r>
          </w:p>
        </w:tc>
        <w:tc>
          <w:tcPr>
            <w:tcW w:w="21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3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8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 xml:space="preserve">Требования к ответственности </w:t>
            </w:r>
          </w:p>
        </w:tc>
        <w:tc>
          <w:tcPr>
            <w:tcW w:w="5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Перевозчик несет ответственность за несохранность груза, происшедшую после принятия его к перевозке и до выдачи Заказчику если не докажет, что утрата, недостача или повреждение (порча) груза произошли вследствие обстоятельств, которые Перевозчик не мог предотвратить, и устранение которых от него не зависело.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8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8103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1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3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78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Требования к соисполнителям, привлекаемым к оказанию Услуг</w:t>
            </w:r>
          </w:p>
        </w:tc>
        <w:tc>
          <w:tcPr>
            <w:tcW w:w="5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В случае привлечения к оказанию Услуг соисполнителей, Перевозчик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Услуг.</w:t>
            </w:r>
          </w:p>
        </w:tc>
        <w:tc>
          <w:tcPr>
            <w:tcW w:w="21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39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78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2131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6"/>
          <w:szCs w:val="26"/>
        </w:rPr>
      </w:pPr>
      <w:bookmarkStart w:id="34" w:name="_Toc54643710"/>
      <w:bookmarkStart w:id="35" w:name="_Toc53395937"/>
      <w:bookmarkStart w:id="36" w:name="_Toc53393312"/>
      <w:bookmarkStart w:id="37" w:name="_Toc46743519"/>
      <w:bookmarkStart w:id="38" w:name="_Toc51339699"/>
      <w:bookmarkEnd w:id="37"/>
      <w:bookmarkEnd w:id="38"/>
      <w:r>
        <w:rPr>
          <w:sz w:val="26"/>
          <w:szCs w:val="26"/>
          <w:lang w:val="ru-RU"/>
        </w:rPr>
        <w:t>Требования к документации по ценообразованию</w:t>
      </w:r>
      <w:bookmarkEnd w:id="35"/>
      <w:bookmarkEnd w:id="36"/>
      <w:r>
        <w:rPr>
          <w:sz w:val="26"/>
          <w:szCs w:val="26"/>
          <w:lang w:val="ru-RU"/>
        </w:rPr>
        <w:t xml:space="preserve"> на этапе закупки</w:t>
      </w:r>
      <w:bookmarkEnd w:id="3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iCs/>
          <w:caps/>
          <w:sz w:val="26"/>
          <w:szCs w:val="26"/>
        </w:rPr>
      </w:pPr>
      <w:r>
        <w:rPr>
          <w:iCs/>
          <w:caps/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Стоимость услуг определяется на основании ценового коммерческого предложения Перевозчика по форме приложения № 4 к настоящим техническим требованиям.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6"/>
          <w:szCs w:val="26"/>
        </w:rPr>
      </w:pPr>
      <w:bookmarkStart w:id="39" w:name="_Toc54643711"/>
      <w:bookmarkStart w:id="40" w:name="_Toc54281228"/>
      <w:r>
        <w:rPr>
          <w:sz w:val="26"/>
          <w:szCs w:val="26"/>
          <w:lang w:val="ru-RU"/>
        </w:rPr>
        <w:t>Требования к документации по ценообразованию на этапе заключения (исполнения) договора</w:t>
      </w:r>
      <w:bookmarkEnd w:id="39"/>
      <w:bookmarkEnd w:id="40"/>
    </w:p>
    <w:p>
      <w:pPr>
        <w:pStyle w:val="Normal"/>
        <w:ind w:firstLine="737"/>
        <w:jc w:val="both"/>
        <w:rPr>
          <w:sz w:val="24"/>
          <w:szCs w:val="24"/>
        </w:rPr>
      </w:pPr>
      <w:r>
        <w:rPr>
          <w:sz w:val="26"/>
          <w:szCs w:val="26"/>
        </w:rPr>
        <w:t>Разработка сметной документации осуществляется при исполнении договора в соответствии с договорными условиями и приложением №5 к настоящим Техническим требованиям «Требования к оформлению и составлению сметной документации на выполнение работ, услуг».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701" w:hanging="1701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5. Приложения </w:t>
      </w:r>
    </w:p>
    <w:p>
      <w:pPr>
        <w:pStyle w:val="Normal"/>
        <w:ind w:left="1701" w:hanging="1701"/>
        <w:jc w:val="both"/>
        <w:rPr>
          <w:sz w:val="26"/>
          <w:szCs w:val="26"/>
        </w:rPr>
      </w:pPr>
      <w:r>
        <w:rPr>
          <w:sz w:val="26"/>
          <w:szCs w:val="26"/>
        </w:rPr>
        <w:t>1. Характеристики Груза;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1.1. ВБИЕ.672834.066ГЧ ТДЦ-265000/500-У1 Габаритный чертеж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1. 2. ВБИЕ.687479.080СБ. Монтаж трансформатора на транспортере ТПЛ-200 Сборочный чертеж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1.3. ВБИЕ.687479.080. Монтаж трансформатора на транспортере ТПЛ-200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>
        <w:rPr>
          <w:sz w:val="26"/>
          <w:szCs w:val="26"/>
        </w:rPr>
        <w:t xml:space="preserve"> </w:t>
      </w:r>
      <w:r>
        <w:rPr>
          <w:sz w:val="24"/>
          <w:szCs w:val="24"/>
        </w:rPr>
        <w:t>ВБИЕ.687459.184СБ ТДЦ-265000/500-У1 Монтаж транспортных креплений Сборочный чертеж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color w:val="000000"/>
          <w:sz w:val="26"/>
          <w:szCs w:val="26"/>
        </w:rPr>
        <w:t>Акт сдачи-приёмки оказанных сопутствующих услуг (форма)</w:t>
      </w:r>
      <w:r>
        <w:rPr>
          <w:sz w:val="26"/>
          <w:szCs w:val="26"/>
        </w:rPr>
        <w:t>;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>
        <w:rPr>
          <w:color w:val="000000"/>
          <w:sz w:val="26"/>
          <w:szCs w:val="26"/>
        </w:rPr>
        <w:t>Акт сдачи-приёмки услуг перевозки (форма);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4. Форма ценового коммерческого предложения;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5. Требования к оформлению и составлению сметной документации на выполнение работ, услуг</w:t>
      </w:r>
    </w:p>
    <w:p>
      <w:pPr>
        <w:pStyle w:val="Normal"/>
        <w:ind w:left="142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исполнительного директора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-главный инженер</w:t>
        <w:tab/>
        <w:tab/>
        <w:tab/>
        <w:tab/>
        <w:tab/>
        <w:tab/>
        <w:t xml:space="preserve">                              М.М. Нурмагомедов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Начальник отдела ценообразования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и приемки выполненных работ</w:t>
        <w:tab/>
        <w:tab/>
        <w:tab/>
        <w:tab/>
        <w:tab/>
        <w:tab/>
        <w:t xml:space="preserve">              Т.К. Шишмарова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Начальник ПТО</w:t>
        <w:tab/>
        <w:tab/>
        <w:tab/>
        <w:tab/>
        <w:tab/>
        <w:tab/>
        <w:tab/>
        <w:tab/>
        <w:t xml:space="preserve">                       С.И. Шейка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Ведущий инженер ОКО </w:t>
        <w:tab/>
        <w:tab/>
        <w:tab/>
        <w:tab/>
        <w:tab/>
        <w:tab/>
        <w:tab/>
        <w:t xml:space="preserve">                  В.В. Касаткин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  <w:r>
        <w:br w:type="page"/>
      </w:r>
    </w:p>
    <w:p>
      <w:pPr>
        <w:pStyle w:val="Normal"/>
        <w:jc w:val="right"/>
        <w:rPr/>
      </w:pPr>
      <w:r>
        <w:rPr>
          <w:iCs/>
          <w:sz w:val="22"/>
          <w:szCs w:val="22"/>
        </w:rPr>
        <w:t>Приложение №1 к ТТ</w:t>
      </w:r>
      <w:r>
        <w:rPr>
          <w:sz w:val="22"/>
          <w:szCs w:val="22"/>
        </w:rPr>
        <w:t xml:space="preserve"> 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Характеристики Груза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52"/>
        <w:gridCol w:w="4408"/>
        <w:gridCol w:w="2480"/>
        <w:gridCol w:w="2480"/>
      </w:tblGrid>
      <w:tr>
        <w:trPr/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</w:tr>
      <w:tr>
        <w:trPr/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Длина в транспортном состоянии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мм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8380</w:t>
            </w:r>
          </w:p>
        </w:tc>
      </w:tr>
      <w:tr>
        <w:trPr/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Ширина в транспортном состоянии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мм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3180</w:t>
            </w:r>
          </w:p>
        </w:tc>
      </w:tr>
      <w:tr>
        <w:trPr/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Высота в транспортном состоянии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мм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3890</w:t>
            </w:r>
          </w:p>
        </w:tc>
      </w:tr>
      <w:tr>
        <w:trPr/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4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Масса транспортная (без масла)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</w:t>
            </w:r>
          </w:p>
        </w:tc>
      </w:tr>
    </w:tbl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ageBreakBefore w:val="false"/>
        <w:widowControl/>
        <w:suppressAutoHyphens w:val="true"/>
        <w:bidi w:val="0"/>
        <w:spacing w:before="0" w:after="0"/>
        <w:ind w:left="0" w:right="0" w:firstLine="1191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заводской документацией (ВБИЕ.672834.025 ИМ) разгрузка трансформатора осуществляется краном соответствующей грузоподъемности. Места и схемы строповки указаны в габаритном чертеже (ВБИЕ.672834.066ГЧ).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191"/>
        <w:jc w:val="both"/>
        <w:rPr>
          <w:sz w:val="26"/>
          <w:szCs w:val="26"/>
        </w:rPr>
      </w:pPr>
      <w:r>
        <w:rPr>
          <w:sz w:val="26"/>
          <w:szCs w:val="26"/>
        </w:rPr>
        <w:t>Трансформатор допускается разгружать бескрановым способом – стягиванием с транспортера на шпальную клеть соответствующими лебедками (тракторами) через полиспасты по рельсам (балкам), установленным под днище трансформатора. Рельсы (балки) следует устанавливать рядом с балками жесткости дна. Количество устанавливаемых металлических балок (рельсов) и их прочность должны обеспечивать сохранность трансформатора при разгрузке. При транспортной массе трансформатора до 220т необходимо устанавливать не менее 4 балок. Подъем и опускание трансформатора гидродомкратами производить поочередно: одной, а затем другой стороны трансформатора. Наклон трансформатора не должен превышать 3%. Запрещается поднимать трансформатор со всех сторон одновременно. Домкраты должны устанавливаться в местах, указанных в габаритном чертеже. Установка домкратов в других местах недопустима.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</w:r>
      <w:bookmarkStart w:id="41" w:name="__RefHeading___Toc2244923"/>
      <w:bookmarkStart w:id="42" w:name="__RefHeading___Toc2244923"/>
      <w:bookmarkEnd w:id="42"/>
    </w:p>
    <w:p>
      <w:pPr>
        <w:pStyle w:val="Normal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</w:r>
      <w:bookmarkStart w:id="43" w:name="__RefHeading___Toc2244923_Копия_1"/>
      <w:bookmarkStart w:id="44" w:name="__RefHeading___Toc2244923_Копия_1"/>
      <w:bookmarkEnd w:id="44"/>
    </w:p>
    <w:p>
      <w:pPr>
        <w:pStyle w:val="Normal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</w:r>
      <w:r>
        <w:br w:type="page"/>
      </w:r>
    </w:p>
    <w:p>
      <w:pPr>
        <w:pStyle w:val="Normal"/>
        <w:widowControl/>
        <w:suppressAutoHyphens w:val="true"/>
        <w:bidi w:val="0"/>
        <w:spacing w:before="0" w:after="0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jc w:val="right"/>
        <w:rPr/>
      </w:pPr>
      <w:bookmarkStart w:id="45" w:name="_GoBack"/>
      <w:bookmarkEnd w:id="45"/>
      <w:r>
        <w:rPr>
          <w:iCs/>
          <w:sz w:val="22"/>
          <w:szCs w:val="22"/>
        </w:rPr>
        <w:t>Приложение №2 к ТТ</w:t>
      </w:r>
      <w:r>
        <w:rPr>
          <w:sz w:val="22"/>
          <w:szCs w:val="22"/>
        </w:rPr>
        <w:t xml:space="preserve"> </w:t>
      </w:r>
    </w:p>
    <w:p>
      <w:pPr>
        <w:pStyle w:val="Normal"/>
        <w:ind w:left="4820" w:hanging="0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  <w:bCs/>
          <w:sz w:val="26"/>
          <w:szCs w:val="26"/>
        </w:rPr>
        <w:t>ФОРМА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ind w:hanging="284"/>
        <w:jc w:val="center"/>
        <w:rPr/>
      </w:pPr>
      <w:r>
        <w:rPr>
          <w:color w:val="000000"/>
          <w:sz w:val="26"/>
          <w:szCs w:val="26"/>
        </w:rPr>
        <w:t>Акт сдачи-приёмки оказанных сопутствующих услуг №___ от «____» ________ 20__г.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tabs>
          <w:tab w:val="clear" w:pos="708"/>
          <w:tab w:val="left" w:pos="0" w:leader="none"/>
          <w:tab w:val="left" w:pos="3685" w:leader="none"/>
        </w:tabs>
        <w:jc w:val="center"/>
        <w:rPr/>
      </w:pPr>
      <w:r>
        <w:rPr>
          <w:color w:val="000000"/>
          <w:sz w:val="26"/>
          <w:szCs w:val="26"/>
        </w:rPr>
        <w:t>к Договору №_____ от _________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/>
      </w:pPr>
      <w:r>
        <w:rPr>
          <w:color w:val="000000"/>
          <w:sz w:val="26"/>
          <w:szCs w:val="26"/>
        </w:rPr>
        <w:t>Заказчик: 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color w:val="000000"/>
          <w:sz w:val="26"/>
          <w:szCs w:val="26"/>
        </w:rPr>
        <w:t>Перевозчик: _______________________________________________________</w:t>
      </w:r>
    </w:p>
    <w:p>
      <w:pPr>
        <w:pStyle w:val="Normal"/>
        <w:ind w:firstLine="567"/>
        <w:jc w:val="both"/>
        <w:rPr/>
      </w:pPr>
      <w:r>
        <w:rPr/>
      </w:r>
    </w:p>
    <w:tbl>
      <w:tblPr>
        <w:tblW w:w="9676" w:type="dxa"/>
        <w:jc w:val="left"/>
        <w:tblInd w:w="-2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9"/>
        <w:gridCol w:w="4804"/>
        <w:gridCol w:w="939"/>
        <w:gridCol w:w="935"/>
        <w:gridCol w:w="1005"/>
        <w:gridCol w:w="1523"/>
      </w:tblGrid>
      <w:tr>
        <w:trPr/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Наименование услуг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Цена, руб.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Сумма, руб.</w:t>
            </w:r>
          </w:p>
        </w:tc>
      </w:tr>
      <w:tr>
        <w:trPr>
          <w:trHeight w:val="663" w:hRule="atLeast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545" w:hRule="atLeast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</w:tbl>
    <w:p>
      <w:pPr>
        <w:pStyle w:val="Normal"/>
        <w:ind w:hanging="284"/>
        <w:jc w:val="both"/>
        <w:rPr/>
      </w:pPr>
      <w:r>
        <w:rPr/>
      </w:r>
    </w:p>
    <w:p>
      <w:pPr>
        <w:pStyle w:val="Normal"/>
        <w:ind w:hanging="284"/>
        <w:jc w:val="both"/>
        <w:rPr/>
      </w:pPr>
      <w:r>
        <w:rPr>
          <w:b/>
          <w:bCs/>
          <w:color w:val="000000"/>
          <w:sz w:val="26"/>
          <w:szCs w:val="26"/>
        </w:rPr>
        <w:t>Итого: ______________________________________________________________</w:t>
      </w:r>
    </w:p>
    <w:p>
      <w:pPr>
        <w:pStyle w:val="Normal"/>
        <w:ind w:hanging="284"/>
        <w:jc w:val="both"/>
        <w:rPr/>
      </w:pPr>
      <w:r>
        <w:rPr>
          <w:b/>
          <w:bCs/>
          <w:color w:val="000000"/>
          <w:sz w:val="26"/>
          <w:szCs w:val="26"/>
        </w:rPr>
        <w:t>Сумма НДС: _________________________________________________________</w:t>
      </w:r>
    </w:p>
    <w:p>
      <w:pPr>
        <w:pStyle w:val="Normal"/>
        <w:ind w:hanging="284"/>
        <w:jc w:val="both"/>
        <w:rPr/>
      </w:pPr>
      <w:r>
        <w:rPr>
          <w:b/>
          <w:bCs/>
          <w:color w:val="000000"/>
          <w:sz w:val="26"/>
          <w:szCs w:val="26"/>
        </w:rPr>
        <w:t>Всего оказано услуг: __________________________________________________</w:t>
      </w:r>
    </w:p>
    <w:p>
      <w:pPr>
        <w:pStyle w:val="Normal"/>
        <w:ind w:hanging="284"/>
        <w:jc w:val="both"/>
        <w:rPr/>
      </w:pPr>
      <w:r>
        <w:rPr>
          <w:color w:val="000000"/>
          <w:sz w:val="26"/>
          <w:szCs w:val="26"/>
        </w:rPr>
        <w:t>Всего оказано услуг на сумму: ___________________________________________</w:t>
      </w:r>
    </w:p>
    <w:p>
      <w:pPr>
        <w:pStyle w:val="Normal"/>
        <w:ind w:hanging="284"/>
        <w:jc w:val="both"/>
        <w:rPr/>
      </w:pPr>
      <w:r>
        <w:rPr/>
        <w:t>Вышеперечисленные услуги выполнены полностью и в срок. Заказчик претензий по объему, качеству и срокам оказания услуг не имеет.</w:t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42"/>
        <w:gridCol w:w="284"/>
        <w:gridCol w:w="4962"/>
      </w:tblGrid>
      <w:tr>
        <w:trPr>
          <w:trHeight w:val="345" w:hRule="atLeast"/>
        </w:trPr>
        <w:tc>
          <w:tcPr>
            <w:tcW w:w="4926" w:type="dxa"/>
            <w:gridSpan w:val="2"/>
            <w:tcBorders/>
          </w:tcPr>
          <w:p>
            <w:pPr>
              <w:pStyle w:val="Normal"/>
              <w:widowControl w:val="false"/>
              <w:spacing w:lineRule="auto" w:line="360"/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От Заказчика:</w:t>
            </w:r>
          </w:p>
          <w:p>
            <w:pPr>
              <w:pStyle w:val="Normal"/>
              <w:widowControl w:val="false"/>
              <w:spacing w:lineRule="auto" w:line="360"/>
              <w:ind w:firstLine="567"/>
              <w:jc w:val="both"/>
              <w:rPr/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_________________ </w:t>
            </w:r>
          </w:p>
          <w:p>
            <w:pPr>
              <w:pStyle w:val="Normal"/>
              <w:widowControl w:val="false"/>
              <w:spacing w:lineRule="auto" w:line="360"/>
              <w:jc w:val="both"/>
              <w:rPr/>
            </w:pPr>
            <w:r>
              <w:rPr>
                <w:color w:val="000000"/>
                <w:sz w:val="26"/>
                <w:szCs w:val="26"/>
              </w:rPr>
              <w:t xml:space="preserve">            </w:t>
            </w:r>
            <w:r>
              <w:rPr>
                <w:bCs/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4962" w:type="dxa"/>
            <w:tcBorders/>
          </w:tcPr>
          <w:p>
            <w:pPr>
              <w:pStyle w:val="Normal"/>
              <w:widowControl w:val="false"/>
              <w:spacing w:lineRule="auto" w:line="360"/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От Перевозчика:</w:t>
            </w:r>
          </w:p>
          <w:p>
            <w:pPr>
              <w:pStyle w:val="Normal"/>
              <w:widowControl w:val="false"/>
              <w:spacing w:lineRule="auto" w:line="360"/>
              <w:ind w:firstLine="56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_________________ </w:t>
            </w:r>
          </w:p>
          <w:p>
            <w:pPr>
              <w:pStyle w:val="Normal"/>
              <w:widowControl w:val="false"/>
              <w:spacing w:lineRule="auto" w:line="360"/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м.п.</w:t>
            </w:r>
          </w:p>
        </w:tc>
      </w:tr>
      <w:tr>
        <w:trPr>
          <w:trHeight w:val="458" w:hRule="atLeast"/>
        </w:trPr>
        <w:tc>
          <w:tcPr>
            <w:tcW w:w="4642" w:type="dxa"/>
            <w:tcBorders/>
          </w:tcPr>
          <w:p>
            <w:pPr>
              <w:pStyle w:val="Normal"/>
              <w:widowControl w:val="false"/>
              <w:spacing w:lineRule="auto" w:line="360"/>
              <w:ind w:firstLine="567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От Заказчика:</w:t>
            </w:r>
          </w:p>
        </w:tc>
        <w:tc>
          <w:tcPr>
            <w:tcW w:w="5246" w:type="dxa"/>
            <w:gridSpan w:val="2"/>
            <w:tcBorders/>
          </w:tcPr>
          <w:p>
            <w:pPr>
              <w:pStyle w:val="Normal"/>
              <w:widowControl w:val="false"/>
              <w:spacing w:lineRule="auto" w:line="360"/>
              <w:ind w:firstLine="567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От Перевозчика:</w:t>
            </w:r>
          </w:p>
        </w:tc>
      </w:tr>
      <w:tr>
        <w:trPr>
          <w:trHeight w:val="345" w:hRule="atLeast"/>
        </w:trPr>
        <w:tc>
          <w:tcPr>
            <w:tcW w:w="4642" w:type="dxa"/>
            <w:tcBorders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ind w:left="567" w:hanging="1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м.п.</w:t>
            </w:r>
          </w:p>
        </w:tc>
        <w:tc>
          <w:tcPr>
            <w:tcW w:w="5246" w:type="dxa"/>
            <w:gridSpan w:val="2"/>
            <w:tcBorders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ind w:left="34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м.п.</w:t>
            </w:r>
          </w:p>
        </w:tc>
      </w:tr>
    </w:tbl>
    <w:p>
      <w:pPr>
        <w:pStyle w:val="Normal"/>
        <w:spacing w:lineRule="auto" w:line="360"/>
        <w:jc w:val="both"/>
        <w:rPr/>
      </w:pPr>
      <w:r>
        <w:rPr/>
      </w:r>
    </w:p>
    <w:p>
      <w:pPr>
        <w:pStyle w:val="29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/>
      </w:pPr>
      <w:r>
        <w:rPr>
          <w:iCs/>
          <w:sz w:val="22"/>
          <w:szCs w:val="22"/>
        </w:rPr>
        <w:t xml:space="preserve">Приложение №3 </w:t>
      </w:r>
      <w:r>
        <w:rPr>
          <w:sz w:val="22"/>
          <w:szCs w:val="22"/>
        </w:rPr>
        <w:t>к ТТ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  <w:bCs/>
          <w:sz w:val="26"/>
          <w:szCs w:val="26"/>
        </w:rPr>
        <w:t>ФОРМА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ind w:hanging="284"/>
        <w:jc w:val="center"/>
        <w:rPr/>
      </w:pPr>
      <w:r>
        <w:rPr>
          <w:color w:val="000000"/>
          <w:sz w:val="26"/>
          <w:szCs w:val="26"/>
        </w:rPr>
        <w:t>Акт сдачи-приёмки услуг перевозки №___ от «____» ________ 20__г.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tabs>
          <w:tab w:val="clear" w:pos="708"/>
          <w:tab w:val="left" w:pos="0" w:leader="none"/>
          <w:tab w:val="left" w:pos="3685" w:leader="none"/>
        </w:tabs>
        <w:jc w:val="center"/>
        <w:rPr/>
      </w:pPr>
      <w:r>
        <w:rPr>
          <w:color w:val="000000"/>
          <w:sz w:val="26"/>
          <w:szCs w:val="26"/>
        </w:rPr>
        <w:t>к Договору №_____ от _________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/>
      </w:pPr>
      <w:r>
        <w:rPr>
          <w:color w:val="000000"/>
          <w:sz w:val="26"/>
          <w:szCs w:val="26"/>
        </w:rPr>
        <w:t>Заказчик: 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color w:val="000000"/>
          <w:sz w:val="26"/>
          <w:szCs w:val="26"/>
        </w:rPr>
        <w:t>Перевозчик: _____________________________________________________</w:t>
      </w:r>
    </w:p>
    <w:p>
      <w:pPr>
        <w:pStyle w:val="Normal"/>
        <w:ind w:firstLine="567"/>
        <w:jc w:val="both"/>
        <w:rPr/>
      </w:pPr>
      <w:r>
        <w:rPr/>
      </w:r>
    </w:p>
    <w:tbl>
      <w:tblPr>
        <w:tblW w:w="9676" w:type="dxa"/>
        <w:jc w:val="left"/>
        <w:tblInd w:w="-2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9"/>
        <w:gridCol w:w="4804"/>
        <w:gridCol w:w="939"/>
        <w:gridCol w:w="935"/>
        <w:gridCol w:w="1005"/>
        <w:gridCol w:w="1523"/>
      </w:tblGrid>
      <w:tr>
        <w:trPr/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Наименование услуг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Цена, руб.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Сумма, руб.</w:t>
            </w:r>
          </w:p>
        </w:tc>
      </w:tr>
      <w:tr>
        <w:trPr>
          <w:trHeight w:val="663" w:hRule="atLeast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545" w:hRule="atLeast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</w:tbl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hanging="142"/>
        <w:jc w:val="both"/>
        <w:rPr/>
      </w:pPr>
      <w:r>
        <w:rPr>
          <w:b/>
          <w:bCs/>
          <w:color w:val="000000"/>
          <w:sz w:val="26"/>
          <w:szCs w:val="26"/>
        </w:rPr>
        <w:t>Итого: ______________________________________________________________</w:t>
      </w:r>
    </w:p>
    <w:p>
      <w:pPr>
        <w:pStyle w:val="Normal"/>
        <w:ind w:hanging="142"/>
        <w:jc w:val="both"/>
        <w:rPr/>
      </w:pPr>
      <w:r>
        <w:rPr>
          <w:b/>
          <w:bCs/>
          <w:color w:val="000000"/>
          <w:sz w:val="26"/>
          <w:szCs w:val="26"/>
        </w:rPr>
        <w:t>Сумма НДС: _________________________________________________________</w:t>
      </w:r>
    </w:p>
    <w:p>
      <w:pPr>
        <w:pStyle w:val="Normal"/>
        <w:ind w:hanging="142"/>
        <w:jc w:val="both"/>
        <w:rPr/>
      </w:pPr>
      <w:r>
        <w:rPr>
          <w:b/>
          <w:bCs/>
          <w:color w:val="000000"/>
          <w:sz w:val="26"/>
          <w:szCs w:val="26"/>
        </w:rPr>
        <w:t>Всего оказано услуг: __________________________________________________</w:t>
      </w:r>
    </w:p>
    <w:p>
      <w:pPr>
        <w:pStyle w:val="Normal"/>
        <w:ind w:hanging="142"/>
        <w:jc w:val="both"/>
        <w:rPr/>
      </w:pPr>
      <w:r>
        <w:rPr>
          <w:color w:val="000000"/>
          <w:sz w:val="26"/>
          <w:szCs w:val="26"/>
        </w:rPr>
        <w:t>Всего оказано услуг на сумму: ___________________________________________</w:t>
      </w:r>
    </w:p>
    <w:p>
      <w:pPr>
        <w:pStyle w:val="Normal"/>
        <w:ind w:hanging="142"/>
        <w:jc w:val="both"/>
        <w:rPr/>
      </w:pPr>
      <w:r>
        <w:rPr/>
        <w:t>Вышеперечисленные услуги выполнены полностью и в срок. Заказчик претензий по объему, качеству и срокам оказания услуг не имеет.</w:t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40"/>
        <w:gridCol w:w="284"/>
        <w:gridCol w:w="4360"/>
        <w:gridCol w:w="605"/>
      </w:tblGrid>
      <w:tr>
        <w:trPr>
          <w:trHeight w:val="345" w:hRule="atLeast"/>
        </w:trPr>
        <w:tc>
          <w:tcPr>
            <w:tcW w:w="4924" w:type="dxa"/>
            <w:gridSpan w:val="2"/>
            <w:tcBorders/>
          </w:tcPr>
          <w:p>
            <w:pPr>
              <w:pStyle w:val="Normal"/>
              <w:widowControl w:val="false"/>
              <w:spacing w:lineRule="auto" w:line="360"/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От Заказчика:</w:t>
            </w:r>
          </w:p>
          <w:p>
            <w:pPr>
              <w:pStyle w:val="Normal"/>
              <w:widowControl w:val="false"/>
              <w:spacing w:lineRule="auto" w:line="360"/>
              <w:ind w:firstLine="567"/>
              <w:jc w:val="both"/>
              <w:rPr/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_________________ </w:t>
            </w:r>
          </w:p>
          <w:p>
            <w:pPr>
              <w:pStyle w:val="Normal"/>
              <w:widowControl w:val="false"/>
              <w:spacing w:lineRule="auto" w:line="360"/>
              <w:jc w:val="both"/>
              <w:rPr/>
            </w:pPr>
            <w:r>
              <w:rPr>
                <w:color w:val="000000"/>
                <w:sz w:val="26"/>
                <w:szCs w:val="26"/>
              </w:rPr>
              <w:t xml:space="preserve">            </w:t>
            </w:r>
            <w:r>
              <w:rPr>
                <w:bCs/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4965" w:type="dxa"/>
            <w:gridSpan w:val="2"/>
            <w:tcBorders/>
          </w:tcPr>
          <w:p>
            <w:pPr>
              <w:pStyle w:val="Normal"/>
              <w:widowControl w:val="false"/>
              <w:spacing w:lineRule="auto" w:line="360"/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От Перевозчика:</w:t>
            </w:r>
          </w:p>
          <w:p>
            <w:pPr>
              <w:pStyle w:val="Normal"/>
              <w:widowControl w:val="false"/>
              <w:spacing w:lineRule="auto" w:line="360"/>
              <w:ind w:firstLine="56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_________________ </w:t>
            </w:r>
          </w:p>
          <w:p>
            <w:pPr>
              <w:pStyle w:val="Normal"/>
              <w:widowControl w:val="false"/>
              <w:spacing w:lineRule="auto" w:line="360"/>
              <w:ind w:firstLine="567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м.п.</w:t>
            </w:r>
          </w:p>
        </w:tc>
      </w:tr>
      <w:tr>
        <w:trPr>
          <w:trHeight w:val="345" w:hRule="atLeast"/>
        </w:trPr>
        <w:tc>
          <w:tcPr>
            <w:tcW w:w="4640" w:type="dxa"/>
            <w:tcBorders/>
          </w:tcPr>
          <w:p>
            <w:pPr>
              <w:pStyle w:val="Normal"/>
              <w:widowControl w:val="false"/>
              <w:spacing w:lineRule="auto" w:line="360"/>
              <w:ind w:firstLine="567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От Заказчика:</w:t>
            </w:r>
          </w:p>
        </w:tc>
        <w:tc>
          <w:tcPr>
            <w:tcW w:w="4644" w:type="dxa"/>
            <w:gridSpan w:val="2"/>
            <w:tcBorders/>
          </w:tcPr>
          <w:p>
            <w:pPr>
              <w:pStyle w:val="Normal"/>
              <w:widowControl w:val="false"/>
              <w:spacing w:lineRule="auto" w:line="360"/>
              <w:ind w:firstLine="567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От Перевозчика:</w:t>
            </w:r>
          </w:p>
        </w:tc>
        <w:tc>
          <w:tcPr>
            <w:tcW w:w="60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</w:p>
        </w:tc>
      </w:tr>
      <w:tr>
        <w:trPr>
          <w:trHeight w:val="345" w:hRule="atLeast"/>
        </w:trPr>
        <w:tc>
          <w:tcPr>
            <w:tcW w:w="4640" w:type="dxa"/>
            <w:tcBorders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ind w:left="567" w:hanging="1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м.п.</w:t>
            </w:r>
          </w:p>
        </w:tc>
        <w:tc>
          <w:tcPr>
            <w:tcW w:w="4644" w:type="dxa"/>
            <w:gridSpan w:val="2"/>
            <w:tcBorders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ind w:left="34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м.п.</w:t>
            </w:r>
          </w:p>
        </w:tc>
        <w:tc>
          <w:tcPr>
            <w:tcW w:w="60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360"/>
        <w:jc w:val="both"/>
        <w:rPr/>
      </w:pPr>
      <w:r>
        <w:rPr/>
      </w:r>
      <w:r>
        <w:br w:type="page"/>
      </w:r>
    </w:p>
    <w:p>
      <w:pPr>
        <w:pStyle w:val="Normal"/>
        <w:keepNext w:val="true"/>
        <w:numPr>
          <w:ilvl w:val="0"/>
          <w:numId w:val="0"/>
        </w:numPr>
        <w:spacing w:before="240" w:after="60"/>
        <w:ind w:left="0" w:hanging="0"/>
        <w:jc w:val="right"/>
        <w:outlineLvl w:val="1"/>
        <w:rPr>
          <w:sz w:val="22"/>
          <w:szCs w:val="22"/>
        </w:rPr>
      </w:pPr>
      <w:r>
        <w:rPr>
          <w:iCs/>
          <w:sz w:val="22"/>
          <w:szCs w:val="22"/>
        </w:rPr>
        <w:t>Приложение № 4 к ТТ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082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828" w:type="dxa"/>
        <w:jc w:val="left"/>
        <w:tblInd w:w="-4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1"/>
        <w:gridCol w:w="6418"/>
        <w:gridCol w:w="758"/>
        <w:gridCol w:w="711"/>
        <w:gridCol w:w="1046"/>
        <w:gridCol w:w="1162"/>
        <w:gridCol w:w="5101"/>
      </w:tblGrid>
      <w:tr>
        <w:trPr>
          <w:trHeight w:val="324" w:hRule="atLeas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328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</w:t>
            </w:r>
            <w:r>
              <w:rPr>
                <w:sz w:val="20"/>
                <w:szCs w:val="20"/>
              </w:rPr>
              <w:t>ФОРМА ЦЕНОВОГО   КОММЕРЧЕСКОГО ПРЕДЛОЖЕНИЯ</w:t>
            </w:r>
          </w:p>
          <w:p>
            <w:pPr>
              <w:pStyle w:val="Normal"/>
              <w:widowControl w:val="false"/>
              <w:ind w:left="-2512" w:firstLine="251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641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75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Ед.изм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104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Стоимость ед.  изм. руб.</w:t>
            </w:r>
          </w:p>
        </w:tc>
        <w:tc>
          <w:tcPr>
            <w:tcW w:w="116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стоимость, руб.</w:t>
            </w:r>
          </w:p>
        </w:tc>
        <w:tc>
          <w:tcPr>
            <w:tcW w:w="510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76" w:hRule="atLeast"/>
        </w:trPr>
        <w:tc>
          <w:tcPr>
            <w:tcW w:w="10726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0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41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rFonts w:eastAsia="Calibri"/>
                <w:color w:val="000000"/>
                <w:sz w:val="24"/>
                <w:szCs w:val="24"/>
                <w:lang w:eastAsia="x-none"/>
              </w:rPr>
              <w:t>еревозка автомобильным транспортом трансформатора ТДЦ-265000/500-У1 и оказание сопутствующих услуг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76" w:hRule="atLeast"/>
        </w:trPr>
        <w:tc>
          <w:tcPr>
            <w:tcW w:w="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41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Итого стоимость по договору </w:t>
            </w:r>
          </w:p>
        </w:tc>
        <w:tc>
          <w:tcPr>
            <w:tcW w:w="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76" w:hRule="atLeast"/>
        </w:trPr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НДС 22%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276" w:hRule="atLeast"/>
        </w:trPr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 стоимость по договору с учетом НДС: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bookmarkStart w:id="46" w:name="_Ref40301253"/>
            <w:bookmarkStart w:id="47" w:name="_Ref40301253"/>
            <w:bookmarkEnd w:id="47"/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Normal"/>
        <w:keepNext w:val="true"/>
        <w:numPr>
          <w:ilvl w:val="0"/>
          <w:numId w:val="0"/>
        </w:numPr>
        <w:spacing w:before="240" w:after="60"/>
        <w:ind w:left="0" w:hanging="0"/>
        <w:jc w:val="right"/>
        <w:outlineLvl w:val="1"/>
        <w:rPr/>
      </w:pPr>
      <w:bookmarkStart w:id="48" w:name="_Ref40301253_Копия_1"/>
      <w:bookmarkEnd w:id="48"/>
      <w:r>
        <w:rPr>
          <w:iCs/>
        </w:rPr>
        <w:t>Приложение № 5 к ТТ</w:t>
      </w:r>
    </w:p>
    <w:p>
      <w:pPr>
        <w:pStyle w:val="Normal"/>
        <w:jc w:val="right"/>
        <w:rPr/>
      </w:pPr>
      <w:r>
        <w:rPr/>
      </w:r>
    </w:p>
    <w:p>
      <w:pPr>
        <w:pStyle w:val="Normal"/>
        <w:ind w:left="4082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082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ind w:left="142" w:hanging="0"/>
        <w:jc w:val="center"/>
        <w:rPr>
          <w:b/>
          <w:color w:val="000000"/>
        </w:rPr>
      </w:pPr>
      <w:r>
        <w:rPr>
          <w:b/>
          <w:color w:val="000000"/>
        </w:rPr>
        <w:t>Требования к оформлению и составлению сметной документации на выполнение работ, услуг</w:t>
      </w:r>
    </w:p>
    <w:p>
      <w:pPr>
        <w:pStyle w:val="Normal"/>
        <w:shd w:val="clear" w:color="auto" w:fill="FFFFFF"/>
        <w:jc w:val="both"/>
        <w:rPr/>
      </w:pPr>
      <w:r>
        <w:rPr/>
      </w:r>
    </w:p>
    <w:p>
      <w:pPr>
        <w:pStyle w:val="Normal"/>
        <w:shd w:val="clear" w:color="auto" w:fill="FFFFFF"/>
        <w:jc w:val="both"/>
        <w:rPr/>
      </w:pPr>
      <w:r>
        <w:rPr/>
      </w:r>
    </w:p>
    <w:p>
      <w:pPr>
        <w:pStyle w:val="Normal"/>
        <w:shd w:val="clear" w:color="auto" w:fill="FFFFFF"/>
        <w:ind w:firstLine="567"/>
        <w:jc w:val="both"/>
        <w:rPr/>
      </w:pPr>
      <w:r>
        <w:rPr/>
        <w:t>1. Сметы и расчеты составлять на основании технических требований (технического задания) заказчика, графиков оказания услуг.</w:t>
      </w:r>
    </w:p>
    <w:p>
      <w:pPr>
        <w:pStyle w:val="Normal"/>
        <w:shd w:val="clear" w:color="auto" w:fill="FFFFFF"/>
        <w:ind w:firstLine="567"/>
        <w:jc w:val="both"/>
        <w:rPr/>
      </w:pPr>
      <w:r>
        <w:rPr/>
        <w:t>2. Расчет стоимости услуг выполняется по форме 3П с предоставлением подтверждающих документов по уровню заработной платы, удельному весу накладных расходов в себестоимости, уровню рентабельности (пояснительная записка по заполнению формы 3П представлена в Приложении №1 к Требованиям к оформлению и составлению сметной документации на выполнение работ, услуг).</w:t>
      </w:r>
    </w:p>
    <w:p>
      <w:pPr>
        <w:pStyle w:val="Normal"/>
        <w:shd w:val="clear" w:color="auto" w:fill="FFFFFF"/>
        <w:ind w:firstLine="567"/>
        <w:jc w:val="both"/>
        <w:rPr/>
      </w:pPr>
      <w:r>
        <w:rPr/>
        <w:t xml:space="preserve">3. Результаты вычислений (построчные) и итоговые данные округляются (гр.7 формы 3П, приложение №1) </w:t>
      </w:r>
      <w:r>
        <w:rPr>
          <w:u w:val="single"/>
        </w:rPr>
        <w:t>до двух знаков после запятой</w:t>
      </w:r>
      <w:r>
        <w:rPr/>
        <w:t>.</w:t>
      </w:r>
    </w:p>
    <w:p>
      <w:pPr>
        <w:pStyle w:val="Normal"/>
        <w:shd w:val="clear" w:color="auto" w:fill="FFFFFF"/>
        <w:ind w:firstLine="567"/>
        <w:jc w:val="both"/>
        <w:rPr/>
      </w:pPr>
      <w:r>
        <w:rPr/>
        <w:t>Сметы предоставляются в 2-х вариантах: бумажном и электронном (в формате, «</w:t>
      </w:r>
      <w:r>
        <w:rPr>
          <w:lang w:val="en-US"/>
        </w:rPr>
        <w:t>xml</w:t>
      </w:r>
      <w:r>
        <w:rPr/>
        <w:t>», ПК «Гранд-Смета», «</w:t>
      </w:r>
      <w:r>
        <w:rPr>
          <w:lang w:val="en-US"/>
        </w:rPr>
        <w:t>Excel</w:t>
      </w:r>
      <w:r>
        <w:rPr/>
        <w:t>»).</w:t>
      </w:r>
      <w:r>
        <w:br w:type="page"/>
      </w:r>
    </w:p>
    <w:p>
      <w:pPr>
        <w:pStyle w:val="Normal"/>
        <w:shd w:val="clear" w:color="auto" w:fill="FFFFFF"/>
        <w:ind w:firstLine="567"/>
        <w:jc w:val="both"/>
        <w:rPr/>
      </w:pPr>
      <w:r>
        <w:rPr/>
      </w:r>
    </w:p>
    <w:p>
      <w:pPr>
        <w:pStyle w:val="Normal"/>
        <w:shd w:val="clear" w:color="auto" w:fill="FFFFFF"/>
        <w:ind w:left="5670" w:hanging="0"/>
        <w:jc w:val="right"/>
        <w:rPr/>
      </w:pPr>
      <w:r>
        <w:rPr/>
        <w:t>Приложение № 1</w:t>
      </w:r>
    </w:p>
    <w:p>
      <w:pPr>
        <w:pStyle w:val="Normal"/>
        <w:shd w:val="clear" w:color="auto" w:fill="FFFFFF"/>
        <w:ind w:left="5670" w:hanging="0"/>
        <w:jc w:val="right"/>
        <w:rPr/>
      </w:pPr>
      <w:r>
        <w:rPr/>
        <w:t xml:space="preserve">к Требованиям к оформлению и составлению сметной документации </w:t>
      </w:r>
    </w:p>
    <w:p>
      <w:pPr>
        <w:pStyle w:val="Normal"/>
        <w:shd w:val="clear" w:color="auto" w:fill="FFFFFF"/>
        <w:jc w:val="center"/>
        <w:rPr/>
      </w:pPr>
      <w:r>
        <w:rPr/>
      </w:r>
    </w:p>
    <w:p>
      <w:pPr>
        <w:pStyle w:val="Normal"/>
        <w:shd w:val="clear" w:color="auto" w:fill="FFFFFF"/>
        <w:jc w:val="center"/>
        <w:rPr>
          <w:b/>
        </w:rPr>
      </w:pPr>
      <w:r>
        <w:rPr>
          <w:b/>
        </w:rPr>
        <w:t xml:space="preserve">ПОЯСНИТЕЛЬНАЯ ЗАПИСКА </w:t>
      </w:r>
    </w:p>
    <w:p>
      <w:pPr>
        <w:pStyle w:val="Normal"/>
        <w:shd w:val="clear" w:color="auto" w:fill="FFFFFF"/>
        <w:jc w:val="center"/>
        <w:rPr>
          <w:b/>
        </w:rPr>
      </w:pPr>
      <w:r>
        <w:rPr>
          <w:b/>
        </w:rPr>
        <w:t>по заполнению формы 3п</w:t>
      </w:r>
    </w:p>
    <w:p>
      <w:pPr>
        <w:pStyle w:val="Normal"/>
        <w:shd w:val="clear" w:color="auto" w:fill="FFFFFF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>при составлении смет на оказание услуг.</w:t>
      </w:r>
    </w:p>
    <w:p>
      <w:pPr>
        <w:pStyle w:val="Normal"/>
        <w:shd w:val="clear" w:color="auto" w:fill="FFFFFF"/>
        <w:tabs>
          <w:tab w:val="clear" w:pos="708"/>
          <w:tab w:val="left" w:pos="1080" w:leader="none"/>
        </w:tabs>
        <w:ind w:firstLine="993"/>
        <w:jc w:val="both"/>
        <w:rPr/>
      </w:pPr>
      <w:r>
        <w:rPr/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При составлении сметного расчета по трудозатратам (форма №3п),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Расчетом по трудозатратам (форма 3п) рекомендуется определять стоимость работ, цены на которые отсутствуют в сборниках, внесенных в Федеральный реестр сметных нормативов.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Форма сметы для определения затрат по себестоимости и уровню рентабельности (форма 3п) приведена в образце 3п Приложения №2 к Пояснительной записке по заполнению формы 3п.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Особенности заполнения формы 3п.</w:t>
      </w:r>
    </w:p>
    <w:p>
      <w:pPr>
        <w:pStyle w:val="Normal"/>
        <w:tabs>
          <w:tab w:val="clear" w:pos="708"/>
          <w:tab w:val="left" w:pos="993" w:leader="none"/>
        </w:tabs>
        <w:suppressAutoHyphens w:val="false"/>
        <w:ind w:firstLine="567"/>
        <w:jc w:val="both"/>
        <w:rPr/>
      </w:pPr>
      <w:r>
        <w:rPr>
          <w:u w:val="single"/>
        </w:rPr>
        <w:t>Раздел 1. Расчет заработной платы: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в графе 1 приводится нумерация выполняемых работ;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в графе 2 приводится наименование выполняемых работ;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 xml:space="preserve"> </w:t>
      </w:r>
      <w:r>
        <w:rPr/>
        <w:t>в графе 3 указывается количество привлекаемых работников;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временным нормам;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в графе 7 указывается заработная плата в рублях (</w:t>
      </w:r>
      <w:r>
        <w:rPr>
          <w:b/>
          <w:u w:val="single"/>
        </w:rPr>
        <w:t>результат перемножения граф 5 и 6</w:t>
      </w:r>
      <w:r>
        <w:rPr/>
        <w:t>);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firstLine="567"/>
        <w:contextualSpacing/>
        <w:jc w:val="both"/>
        <w:rPr/>
      </w:pPr>
      <w:r>
        <w:rPr/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работ, выполненных главным инженером проекта, или на базе имеющихся в организации проработок, определяющих нормативы их трудоемкости.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uppressAutoHyphens w:val="false"/>
        <w:ind w:firstLine="567"/>
        <w:jc w:val="both"/>
        <w:rPr/>
      </w:pPr>
      <w:r>
        <w:rPr>
          <w:u w:val="single"/>
        </w:rPr>
        <w:t>Раздел 2. Расчет стоимости выполнения работ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в пункте 2.1 указываются накладные расходы. Данные по оплате труда, накладным расходам,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в пункте 2.2 производится расчет себестоимости работ на основании выполненного в разделе 1 расчета заработной платы и накладных расходов (сложение итога графы 7 раздела 1 и пункта 2.1);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уровень рентабельности по отношению к себестоимости может составлять до 15%.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0"/>
        <w:ind w:left="0" w:firstLine="567"/>
        <w:contextualSpacing/>
        <w:jc w:val="both"/>
        <w:rPr/>
      </w:pPr>
      <w:r>
        <w:rPr/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Приложении №1 к пояснительной записке по заполнению формы 3П).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  <w:tab w:val="left" w:pos="1080" w:leader="none"/>
        </w:tabs>
        <w:jc w:val="both"/>
        <w:rPr/>
      </w:pPr>
      <w:r>
        <w:rPr>
          <w:u w:val="single"/>
        </w:rPr>
        <w:t>Раздел 3. Расчет командировочных расходов.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ind w:firstLine="993"/>
        <w:jc w:val="both"/>
        <w:rPr/>
      </w:pPr>
      <w:r>
        <w:rPr/>
        <w:t xml:space="preserve">Командировочные расходы включаются в сметный расчет отдельной строкой (пункт 3 формы 3П) по отдельно выполненному расчету с расшифровкой затрат на проезд, проживание, суточные расходы. 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ind w:firstLine="993"/>
        <w:jc w:val="both"/>
        <w:rPr/>
      </w:pPr>
      <w:r>
        <w:rPr/>
        <w:t>Стоимость проезда необходимо указывать по каждому виду транспорта отдельно туда и отдельно обратно.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ind w:firstLine="993"/>
        <w:jc w:val="both"/>
        <w:rPr/>
      </w:pPr>
      <w:r>
        <w:rPr/>
        <w:t>Размер расходов на проезд и стоимость проживания в гостинице определяется на момент составления расчета. Форма расчета приведена вПриложении3 к пояснительной записке.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ind w:firstLine="993"/>
        <w:jc w:val="both"/>
        <w:rPr/>
      </w:pPr>
      <w:r>
        <w:rPr/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ind w:firstLine="993"/>
        <w:jc w:val="both"/>
        <w:rPr/>
      </w:pPr>
      <w:r>
        <w:rPr/>
        <w:t>Лимиты командировочных расходов при выполнении работ и услуг: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ind w:firstLine="993"/>
        <w:jc w:val="both"/>
        <w:rPr/>
      </w:pPr>
      <w:r>
        <w:rPr/>
        <w:t>- суточные-700 руб./сутки;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ind w:firstLine="993"/>
        <w:jc w:val="both"/>
        <w:rPr/>
      </w:pPr>
      <w:r>
        <w:rPr/>
        <w:t>- проживание-3500руб./сутки;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ind w:firstLine="993"/>
        <w:jc w:val="both"/>
        <w:rPr/>
      </w:pPr>
      <w:r>
        <w:rPr/>
        <w:t>- проезд: поезд (купе) или самолет (класс – эконом).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ind w:firstLine="993"/>
        <w:jc w:val="both"/>
        <w:rPr/>
      </w:pPr>
      <w:r>
        <w:rPr/>
        <w:t>При учете командировочных расходов необходимо прикладывать документы, обосновывающие стоимость проезда (например, screenshot с сайтов авиа-, ж/д –компаний).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ind w:firstLine="993"/>
        <w:jc w:val="both"/>
        <w:rPr/>
      </w:pPr>
      <w:r>
        <w:rPr/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  <w:r>
        <w:br w:type="page"/>
      </w:r>
    </w:p>
    <w:p>
      <w:pPr>
        <w:pStyle w:val="Normal"/>
        <w:shd w:val="clear" w:color="auto" w:fill="FFFFFF"/>
        <w:ind w:firstLine="567"/>
        <w:jc w:val="both"/>
        <w:rPr/>
      </w:pPr>
      <w:r>
        <w:rPr/>
      </w:r>
    </w:p>
    <w:p>
      <w:pPr>
        <w:pStyle w:val="Normal"/>
        <w:shd w:val="clear" w:color="auto" w:fill="FFFFFF"/>
        <w:jc w:val="right"/>
        <w:rPr/>
      </w:pPr>
      <w:r>
        <w:rPr/>
        <w:t>Приложение №1</w:t>
      </w:r>
    </w:p>
    <w:p>
      <w:pPr>
        <w:pStyle w:val="Normal"/>
        <w:shd w:val="clear" w:color="auto" w:fill="FFFFFF"/>
        <w:jc w:val="right"/>
        <w:rPr/>
      </w:pPr>
      <w:r>
        <w:rPr/>
        <w:t>к пояснительной записке</w:t>
      </w:r>
    </w:p>
    <w:p>
      <w:pPr>
        <w:pStyle w:val="Normal"/>
        <w:shd w:val="clear" w:color="auto" w:fill="FFFFFF"/>
        <w:jc w:val="right"/>
        <w:rPr/>
      </w:pPr>
      <w:r>
        <w:rPr/>
        <w:t xml:space="preserve"> </w:t>
      </w:r>
      <w:r>
        <w:rPr/>
        <w:t>по заполнению формы 3П</w:t>
      </w:r>
    </w:p>
    <w:p>
      <w:pPr>
        <w:pStyle w:val="Normal"/>
        <w:shd w:val="clear" w:color="auto" w:fill="FFFFFF"/>
        <w:jc w:val="center"/>
        <w:rPr/>
      </w:pPr>
      <w:r>
        <w:rPr/>
      </w:r>
    </w:p>
    <w:p>
      <w:pPr>
        <w:pStyle w:val="Normal"/>
        <w:shd w:val="clear" w:color="auto" w:fill="FFFFFF"/>
        <w:jc w:val="center"/>
        <w:rPr/>
      </w:pPr>
      <w:r>
        <w:rPr/>
      </w:r>
    </w:p>
    <w:p>
      <w:pPr>
        <w:pStyle w:val="Normal"/>
        <w:shd w:val="clear" w:color="auto" w:fill="FFFFFF"/>
        <w:jc w:val="center"/>
        <w:rPr>
          <w:b/>
        </w:rPr>
      </w:pPr>
      <w:r>
        <w:rPr>
          <w:b/>
        </w:rPr>
        <w:t>СПРАВКА (Образец)</w:t>
      </w:r>
    </w:p>
    <w:p>
      <w:pPr>
        <w:pStyle w:val="Normal"/>
        <w:shd w:val="clear" w:color="auto" w:fill="FFFFFF"/>
        <w:jc w:val="center"/>
        <w:rPr/>
      </w:pPr>
      <w:r>
        <w:rPr/>
      </w:r>
    </w:p>
    <w:p>
      <w:pPr>
        <w:pStyle w:val="Normal"/>
        <w:shd w:val="clear" w:color="auto" w:fill="FFFFFF"/>
        <w:rPr/>
      </w:pPr>
      <w:r>
        <w:rPr/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>
      <w:pPr>
        <w:pStyle w:val="Normal"/>
        <w:shd w:val="clear" w:color="auto" w:fill="FFFFFF"/>
        <w:rPr/>
      </w:pPr>
      <w:r>
        <w:rPr/>
      </w:r>
    </w:p>
    <w:tbl>
      <w:tblPr>
        <w:tblW w:w="9400" w:type="dxa"/>
        <w:jc w:val="left"/>
        <w:tblInd w:w="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47"/>
        <w:gridCol w:w="3940"/>
        <w:gridCol w:w="3713"/>
      </w:tblGrid>
      <w:tr>
        <w:trPr>
          <w:trHeight w:val="325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3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/>
              <w:t>Должность специалиста</w:t>
            </w:r>
          </w:p>
        </w:tc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/>
              <w:t>Заработная плата в день, в руб.</w:t>
            </w:r>
          </w:p>
        </w:tc>
      </w:tr>
      <w:tr>
        <w:trPr>
          <w:trHeight w:val="630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/>
              <w:t>(указать должность)</w:t>
            </w:r>
          </w:p>
        </w:tc>
        <w:tc>
          <w:tcPr>
            <w:tcW w:w="37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val="581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/>
              <w:t>(указать должность)</w:t>
            </w:r>
          </w:p>
        </w:tc>
        <w:tc>
          <w:tcPr>
            <w:tcW w:w="37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val="634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9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/>
              <w:t>(указать должность)</w:t>
            </w:r>
          </w:p>
        </w:tc>
        <w:tc>
          <w:tcPr>
            <w:tcW w:w="37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>
      <w:pPr>
        <w:pStyle w:val="Normal"/>
        <w:shd w:val="clear" w:color="auto" w:fill="FFFFFF"/>
        <w:rPr/>
      </w:pPr>
      <w:r>
        <w:rPr/>
        <w:tab/>
      </w:r>
    </w:p>
    <w:p>
      <w:pPr>
        <w:pStyle w:val="Normal"/>
        <w:shd w:val="clear" w:color="auto" w:fill="FFFFFF"/>
        <w:rPr/>
      </w:pPr>
      <w:r>
        <w:rPr/>
        <w:t>Накладные расходы _______(%)</w:t>
        <w:tab/>
      </w:r>
    </w:p>
    <w:p>
      <w:pPr>
        <w:pStyle w:val="Normal"/>
        <w:shd w:val="clear" w:color="auto" w:fill="FFFFFF"/>
        <w:rPr/>
      </w:pPr>
      <w:r>
        <w:rPr/>
        <w:t>Рентабельность предприятия ___(%)</w:t>
        <w:tab/>
        <w:tab/>
        <w:tab/>
        <w:tab/>
        <w:tab/>
        <w:tab/>
        <w:tab/>
        <w:t xml:space="preserve"> </w:t>
      </w:r>
    </w:p>
    <w:p>
      <w:pPr>
        <w:pStyle w:val="Normal"/>
        <w:shd w:val="clear" w:color="auto" w:fill="FFFFFF"/>
        <w:rPr/>
      </w:pPr>
      <w:r>
        <w:rPr/>
      </w:r>
    </w:p>
    <w:p>
      <w:pPr>
        <w:pStyle w:val="Normal"/>
        <w:shd w:val="clear" w:color="auto" w:fill="FFFFFF"/>
        <w:jc w:val="both"/>
        <w:rPr/>
      </w:pPr>
      <w:r>
        <w:rPr/>
        <w:t xml:space="preserve">(Должность единоличного </w:t>
      </w:r>
    </w:p>
    <w:p>
      <w:pPr>
        <w:pStyle w:val="Normal"/>
        <w:shd w:val="clear" w:color="auto" w:fill="FFFFFF"/>
        <w:jc w:val="both"/>
        <w:rPr/>
      </w:pPr>
      <w:r>
        <w:rPr/>
        <w:t>исполнительного органа</w:t>
      </w:r>
    </w:p>
    <w:p>
      <w:pPr>
        <w:pStyle w:val="Normal"/>
        <w:shd w:val="clear" w:color="auto" w:fill="FFFFFF"/>
        <w:jc w:val="both"/>
        <w:rPr/>
      </w:pPr>
      <w:r>
        <w:rPr/>
        <w:t xml:space="preserve"> </w:t>
      </w:r>
      <w:r>
        <w:rPr/>
        <w:t>контрагента/подрядчика)</w:t>
        <w:tab/>
        <w:tab/>
      </w:r>
    </w:p>
    <w:p>
      <w:pPr>
        <w:pStyle w:val="Normal"/>
        <w:shd w:val="clear" w:color="auto" w:fill="FFFFFF"/>
        <w:jc w:val="both"/>
        <w:rPr/>
      </w:pPr>
      <w:r>
        <w:rPr/>
        <w:t>(Краткое/Полное наименование организации)            _____________________ (ФИО)</w:t>
      </w:r>
    </w:p>
    <w:p>
      <w:pPr>
        <w:pStyle w:val="Normal"/>
        <w:shd w:val="clear" w:color="auto" w:fill="FFFFFF"/>
        <w:jc w:val="both"/>
        <w:rPr/>
      </w:pPr>
      <w:r>
        <w:rPr/>
        <w:t>м.п</w:t>
      </w:r>
    </w:p>
    <w:p>
      <w:pPr>
        <w:pStyle w:val="Normal"/>
        <w:shd w:val="clear" w:color="auto" w:fill="FFFFFF"/>
        <w:jc w:val="both"/>
        <w:rPr/>
      </w:pPr>
      <w:r>
        <w:rPr/>
      </w:r>
    </w:p>
    <w:p>
      <w:pPr>
        <w:pStyle w:val="Normal"/>
        <w:shd w:val="clear" w:color="auto" w:fill="FFFFFF"/>
        <w:jc w:val="both"/>
        <w:rPr/>
      </w:pPr>
      <w:r>
        <w:rPr/>
        <w:t>(Главный бухгалтер)</w:t>
      </w:r>
      <w:r>
        <w:rPr>
          <w:rStyle w:val="FootnoteReference"/>
        </w:rPr>
        <w:footnoteReference w:id="2"/>
      </w:r>
      <w:r>
        <w:rPr/>
        <w:tab/>
        <w:tab/>
      </w:r>
    </w:p>
    <w:p>
      <w:pPr>
        <w:pStyle w:val="Normal"/>
        <w:shd w:val="clear" w:color="auto" w:fill="FFFFFF"/>
        <w:jc w:val="both"/>
        <w:rPr/>
      </w:pPr>
      <w:r>
        <w:rPr/>
        <w:t xml:space="preserve">(Краткое/Полное наименование </w:t>
      </w:r>
    </w:p>
    <w:p>
      <w:pPr>
        <w:pStyle w:val="Normal"/>
        <w:shd w:val="clear" w:color="auto" w:fill="FFFFFF"/>
        <w:jc w:val="both"/>
        <w:rPr/>
      </w:pPr>
      <w:r>
        <w:rPr/>
        <w:t>организации контрагента/подрядчика)                                    ________________ (ФИО)</w:t>
      </w:r>
    </w:p>
    <w:p>
      <w:pPr>
        <w:pStyle w:val="Normal"/>
        <w:shd w:val="clear" w:color="auto" w:fill="FFFFFF"/>
        <w:jc w:val="both"/>
        <w:rPr/>
      </w:pPr>
      <w:r>
        <w:rPr/>
        <w:t>м.п</w:t>
      </w:r>
      <w:r>
        <w:br w:type="page"/>
      </w:r>
    </w:p>
    <w:p>
      <w:pPr>
        <w:pStyle w:val="Normal"/>
        <w:shd w:val="clear" w:color="auto" w:fill="FFFFFF"/>
        <w:jc w:val="right"/>
        <w:rPr/>
      </w:pPr>
      <w:r>
        <w:rPr/>
        <w:t>Приложение №2</w:t>
      </w:r>
    </w:p>
    <w:p>
      <w:pPr>
        <w:pStyle w:val="Normal"/>
        <w:shd w:val="clear" w:color="auto" w:fill="FFFFFF"/>
        <w:jc w:val="right"/>
        <w:rPr/>
      </w:pPr>
      <w:r>
        <w:rPr/>
        <w:t>к пояснительной записке</w:t>
      </w:r>
    </w:p>
    <w:p>
      <w:pPr>
        <w:pStyle w:val="Normal"/>
        <w:shd w:val="clear" w:color="auto" w:fill="FFFFFF"/>
        <w:jc w:val="right"/>
        <w:rPr/>
      </w:pPr>
      <w:r>
        <w:rPr/>
        <w:t xml:space="preserve"> </w:t>
      </w:r>
      <w:r>
        <w:rPr/>
        <w:t>по заполнению формы 3П</w:t>
      </w:r>
    </w:p>
    <w:p>
      <w:pPr>
        <w:pStyle w:val="Normal"/>
        <w:shd w:val="clear" w:color="auto" w:fill="FFFFFF"/>
        <w:jc w:val="right"/>
        <w:rPr/>
      </w:pPr>
      <w:r>
        <w:rPr/>
      </w:r>
    </w:p>
    <w:p>
      <w:pPr>
        <w:pStyle w:val="Normal"/>
        <w:shd w:val="clear" w:color="auto" w:fill="FFFFFF"/>
        <w:ind w:left="5670" w:hanging="0"/>
        <w:jc w:val="right"/>
        <w:rPr/>
      </w:pPr>
      <w:r>
        <w:rPr/>
      </w:r>
    </w:p>
    <w:p>
      <w:pPr>
        <w:pStyle w:val="Normal"/>
        <w:shd w:val="clear" w:color="auto" w:fill="FFFFFF"/>
        <w:ind w:firstLine="284"/>
        <w:jc w:val="center"/>
        <w:rPr>
          <w:b/>
          <w:bCs/>
          <w:iCs/>
          <w:spacing w:val="-4"/>
        </w:rPr>
      </w:pPr>
      <w:r>
        <w:rPr>
          <w:b/>
          <w:bCs/>
          <w:iCs/>
          <w:spacing w:val="-4"/>
        </w:rPr>
        <w:t xml:space="preserve"> </w:t>
      </w:r>
      <w:r>
        <w:rPr>
          <w:b/>
          <w:bCs/>
          <w:iCs/>
          <w:spacing w:val="-4"/>
        </w:rPr>
        <w:t>Образцы оформления сметной документации на оказание услуг</w:t>
      </w:r>
    </w:p>
    <w:p>
      <w:pPr>
        <w:pStyle w:val="Normal"/>
        <w:shd w:val="clear" w:color="auto" w:fill="FFFFFF"/>
        <w:jc w:val="center"/>
        <w:rPr/>
      </w:pPr>
      <w:r>
        <w:rPr/>
        <w:t>Образец 3П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90"/>
      </w:tblGrid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/>
              <w:t>Приложение к 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ind w:firstLine="2761"/>
              <w:rPr>
                <w:b/>
                <w:bCs/>
              </w:rPr>
            </w:pPr>
            <w:r>
              <w:rPr>
                <w:b/>
                <w:bCs/>
              </w:rPr>
              <w:t>(договору, дополнительному соглашению)</w:t>
            </w:r>
          </w:p>
          <w:tbl>
            <w:tblPr>
              <w:tblW w:w="905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529"/>
              <w:gridCol w:w="4529"/>
            </w:tblGrid>
            <w:tr>
              <w:trPr>
                <w:trHeight w:val="417" w:hRule="atLeast"/>
              </w:trPr>
              <w:tc>
                <w:tcPr>
                  <w:tcW w:w="4529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hd w:val="clear" w:color="auto" w:fill="FFFFFF"/>
                    <w:snapToGrid w:val="false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  <w:t>________________ (Подрядчик)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  <w:t>_________________ И.О.Ф.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4529" w:type="dxa"/>
                  <w:tcBorders/>
                </w:tcPr>
                <w:p>
                  <w:pPr>
                    <w:pStyle w:val="Normal"/>
                    <w:widowControl w:val="false"/>
                    <w:shd w:val="clear" w:color="auto" w:fill="FFFFFF"/>
                    <w:snapToGrid w:val="false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  <w:t>_________________(Заказчик)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rPr>
                      <w:bCs/>
                    </w:rPr>
                  </w:pPr>
                  <w:r>
                    <w:rPr>
                      <w:bCs/>
                    </w:rPr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  <w:t>_________________ И.О.Ф.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pacing w:before="48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СМЕТА № </w:t>
              <w:br/>
              <w:t>на оказание услуг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/>
              <w:t>Наименование предприятия, здания, сооружения, стадии выполнения работ и услуг, этапа, вида работ и услуг_______________________________________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/>
              <w:t>Наименование организации подрядчика________________________________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/>
              <w:t>Наименование организации заказчика__________________________________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240" w:after="0"/>
              <w:rPr/>
            </w:pPr>
            <w:r>
              <w:rPr>
                <w:b/>
              </w:rPr>
              <w:t>1. Расчет заработной платы</w:t>
            </w:r>
            <w:r>
              <w:rPr/>
              <w:tab/>
              <w:tab/>
              <w:tab/>
              <w:tab/>
              <w:tab/>
              <w:tab/>
              <w:tab/>
              <w:tab/>
              <w:t>руб.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459"/>
              <w:gridCol w:w="2077"/>
              <w:gridCol w:w="1327"/>
              <w:gridCol w:w="1253"/>
              <w:gridCol w:w="1361"/>
              <w:gridCol w:w="1049"/>
              <w:gridCol w:w="1548"/>
            </w:tblGrid>
            <w:tr>
              <w:trPr>
                <w:tblHeader w:val="true"/>
              </w:trPr>
              <w:tc>
                <w:tcPr>
                  <w:tcW w:w="45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 xml:space="preserve">№ </w:t>
                  </w:r>
                  <w:r>
                    <w:rPr/>
                    <w:t>п.п.</w:t>
                  </w:r>
                </w:p>
              </w:tc>
              <w:tc>
                <w:tcPr>
                  <w:tcW w:w="207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>Перечень выполняемых работ</w:t>
                  </w:r>
                </w:p>
              </w:tc>
              <w:tc>
                <w:tcPr>
                  <w:tcW w:w="2580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>Исполнители</w:t>
                  </w:r>
                </w:p>
              </w:tc>
              <w:tc>
                <w:tcPr>
                  <w:tcW w:w="1361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>Количество человеко-дней</w:t>
                  </w:r>
                </w:p>
              </w:tc>
              <w:tc>
                <w:tcPr>
                  <w:tcW w:w="104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>Средняя оплата труда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 xml:space="preserve"> </w:t>
                  </w:r>
                  <w:r>
                    <w:rPr/>
                    <w:t>за 1 день</w:t>
                  </w:r>
                </w:p>
              </w:tc>
              <w:tc>
                <w:tcPr>
                  <w:tcW w:w="1548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>Оплата труда (всего)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459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/>
                  </w:r>
                </w:p>
              </w:tc>
              <w:tc>
                <w:tcPr>
                  <w:tcW w:w="2077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/>
                  </w:r>
                </w:p>
              </w:tc>
              <w:tc>
                <w:tcPr>
                  <w:tcW w:w="132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  <w:t>количество</w:t>
                  </w:r>
                </w:p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  <w:t>должность</w:t>
                  </w:r>
                </w:p>
              </w:tc>
              <w:tc>
                <w:tcPr>
                  <w:tcW w:w="1361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/>
                  </w:r>
                </w:p>
              </w:tc>
              <w:tc>
                <w:tcPr>
                  <w:tcW w:w="1049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/>
                  </w:r>
                </w:p>
              </w:tc>
              <w:tc>
                <w:tcPr>
                  <w:tcW w:w="1548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/>
                  </w:r>
                </w:p>
              </w:tc>
            </w:tr>
            <w:tr>
              <w:trPr>
                <w:tblHeader w:val="true"/>
              </w:trPr>
              <w:tc>
                <w:tcPr>
                  <w:tcW w:w="4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>1</w:t>
                  </w:r>
                </w:p>
              </w:tc>
              <w:tc>
                <w:tcPr>
                  <w:tcW w:w="207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>2</w:t>
                  </w:r>
                </w:p>
              </w:tc>
              <w:tc>
                <w:tcPr>
                  <w:tcW w:w="132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>3</w:t>
                  </w:r>
                </w:p>
              </w:tc>
              <w:tc>
                <w:tcPr>
                  <w:tcW w:w="1253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>4</w:t>
                  </w:r>
                </w:p>
              </w:tc>
              <w:tc>
                <w:tcPr>
                  <w:tcW w:w="1361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>5</w:t>
                  </w:r>
                </w:p>
              </w:tc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>6</w:t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/>
                  </w:pPr>
                  <w:r>
                    <w:rPr/>
                    <w:t>7</w:t>
                  </w:r>
                </w:p>
              </w:tc>
            </w:tr>
            <w:tr>
              <w:trPr/>
              <w:tc>
                <w:tcPr>
                  <w:tcW w:w="459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207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132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1253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1361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1049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459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207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132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136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1049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  <w:tc>
                <w:tcPr>
                  <w:tcW w:w="154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uppressAutoHyphens w:val="false"/>
              <w:spacing w:before="360" w:after="0"/>
              <w:rPr/>
            </w:pPr>
            <w:r>
              <w:rPr/>
              <w:t>Итого заработной платы, в руб._____________________________________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/>
            </w:pPr>
            <w:r>
              <w:rPr>
                <w:b/>
              </w:rPr>
              <w:t>2. Расчет стоимости оказания работ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/>
            </w:pPr>
            <w:r>
              <w:rPr/>
              <w:t>2.1 Накладные расходы, %__________________________________________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/>
            </w:pPr>
            <w:r>
              <w:rPr/>
              <w:t>2.2 Себестоимость работ___________________________________________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/>
            </w:pPr>
            <w:r>
              <w:rPr/>
              <w:t>2.3 Уровень рентабельности,% 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b/>
                <w:bCs/>
              </w:rPr>
              <w:t>Итого:</w:t>
            </w:r>
            <w:r>
              <w:rPr/>
              <w:t>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/>
              <w:t>3 Командировочные расходы (по предварительному расчету)_________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b/>
              </w:rPr>
              <w:t>Всего (руб.)</w:t>
            </w:r>
            <w:r>
              <w:rPr/>
              <w:t>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ind w:firstLine="2070"/>
              <w:jc w:val="center"/>
              <w:rPr/>
            </w:pPr>
            <w:r>
              <w:rPr/>
              <w:t>(сумма прописью)</w:t>
            </w:r>
          </w:p>
          <w:p>
            <w:pPr>
              <w:pStyle w:val="Normal"/>
              <w:widowControl w:val="false"/>
              <w:shd w:val="clear" w:color="auto" w:fill="FFFFFF"/>
              <w:spacing w:before="480" w:after="0"/>
              <w:rPr/>
            </w:pPr>
            <w:r>
              <w:rPr/>
              <w:t>Составил: /должность, организация/                 /подпись/   /расшифровка подписи/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/>
              <w:t>Проверил: /должность, организация/                /подпись/   /расшифровка подписи/</w:t>
            </w:r>
          </w:p>
        </w:tc>
      </w:tr>
    </w:tbl>
    <w:p>
      <w:pPr>
        <w:pStyle w:val="311"/>
        <w:shd w:val="clear" w:color="auto" w:fill="FFFFFF"/>
        <w:spacing w:before="0" w:after="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hd w:val="clear" w:color="auto" w:fill="FFFFFF"/>
        <w:jc w:val="right"/>
        <w:rPr/>
      </w:pPr>
      <w:r>
        <w:rPr/>
        <w:t>Приложение № 3</w:t>
      </w:r>
    </w:p>
    <w:p>
      <w:pPr>
        <w:pStyle w:val="Normal"/>
        <w:shd w:val="clear" w:color="auto" w:fill="FFFFFF"/>
        <w:jc w:val="right"/>
        <w:rPr/>
      </w:pPr>
      <w:r>
        <w:rPr/>
        <w:t>к пояснительной записке</w:t>
      </w:r>
    </w:p>
    <w:p>
      <w:pPr>
        <w:pStyle w:val="Normal"/>
        <w:shd w:val="clear" w:color="auto" w:fill="FFFFFF"/>
        <w:jc w:val="right"/>
        <w:rPr/>
      </w:pPr>
      <w:r>
        <w:rPr/>
        <w:t xml:space="preserve"> </w:t>
      </w:r>
      <w:r>
        <w:rPr/>
        <w:t>по заполнению формы 3П</w:t>
      </w:r>
    </w:p>
    <w:p>
      <w:pPr>
        <w:pStyle w:val="Normal"/>
        <w:shd w:val="clear" w:color="auto" w:fill="FFFFFF"/>
        <w:ind w:firstLine="567"/>
        <w:jc w:val="right"/>
        <w:rPr/>
      </w:pPr>
      <w:r>
        <w:rPr/>
      </w:r>
    </w:p>
    <w:p>
      <w:pPr>
        <w:pStyle w:val="Normal"/>
        <w:shd w:val="clear" w:color="auto" w:fill="FFFFFF"/>
        <w:ind w:firstLine="567"/>
        <w:jc w:val="center"/>
        <w:rPr>
          <w:b/>
        </w:rPr>
      </w:pPr>
      <w:r>
        <w:rPr>
          <w:b/>
        </w:rPr>
        <w:t>Образец расчета командировочных расходов</w:t>
      </w:r>
    </w:p>
    <w:p>
      <w:pPr>
        <w:pStyle w:val="Normal"/>
        <w:shd w:val="clear" w:color="auto" w:fill="FFFFFF"/>
        <w:ind w:firstLine="567"/>
        <w:jc w:val="center"/>
        <w:rPr/>
      </w:pPr>
      <w:r>
        <w:rPr/>
      </w:r>
    </w:p>
    <w:p>
      <w:pPr>
        <w:pStyle w:val="Normal"/>
        <w:shd w:val="clear" w:color="auto" w:fill="FFFFFF"/>
        <w:ind w:firstLine="567"/>
        <w:jc w:val="right"/>
        <w:rPr/>
      </w:pPr>
      <w:r>
        <w:rPr/>
        <w:t>Приложение №___ к смете №______</w:t>
      </w:r>
    </w:p>
    <w:p>
      <w:pPr>
        <w:pStyle w:val="Normal"/>
        <w:shd w:val="clear" w:color="auto" w:fill="FFFFFF"/>
        <w:ind w:firstLine="567"/>
        <w:jc w:val="right"/>
        <w:rPr/>
      </w:pPr>
      <w:r>
        <w:rPr/>
      </w:r>
    </w:p>
    <w:p>
      <w:pPr>
        <w:pStyle w:val="Normal"/>
        <w:shd w:val="clear" w:color="auto" w:fill="FFFFFF"/>
        <w:ind w:firstLine="567"/>
        <w:jc w:val="center"/>
        <w:rPr>
          <w:b/>
        </w:rPr>
      </w:pPr>
      <w:r>
        <w:rPr>
          <w:b/>
        </w:rPr>
        <w:t>Расчет командировочных расходов</w:t>
      </w:r>
    </w:p>
    <w:tbl>
      <w:tblPr>
        <w:tblW w:w="10455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3"/>
        <w:gridCol w:w="1286"/>
        <w:gridCol w:w="1127"/>
        <w:gridCol w:w="740"/>
        <w:gridCol w:w="1396"/>
        <w:gridCol w:w="1408"/>
        <w:gridCol w:w="1005"/>
        <w:gridCol w:w="1264"/>
        <w:gridCol w:w="1665"/>
      </w:tblGrid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Пункт назначе-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ния (туда/обратно)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Стоимо-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сть проезда, руб. (без НДС)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Кол-во дней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Стоимо- сть суточных, руб./сут. (без НДС)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Стоимость прожива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ния, руб./сут. (без НДС)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Кол-во коман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диро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вок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Кол-во коман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диро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ванных человек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Итого стоимость командиро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вочных расходов, руб. (без НДС)</w:t>
            </w:r>
          </w:p>
        </w:tc>
      </w:tr>
      <w:tr>
        <w:trPr/>
        <w:tc>
          <w:tcPr>
            <w:tcW w:w="10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Из пункта 1 в пункт 5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Из пункта 1 в пункт 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Из пункта 2 в пункт 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Из пункта 4 в пункт 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right"/>
              <w:rPr/>
            </w:pPr>
            <w:r>
              <w:rPr>
                <w:b/>
                <w:sz w:val="24"/>
                <w:szCs w:val="24"/>
              </w:rPr>
              <w:t>Итого стоимость командировочных расходов из пункта 1 в пункт 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b/>
                <w:sz w:val="24"/>
                <w:szCs w:val="24"/>
              </w:rPr>
              <w:t>Из пункта 5 в пункт 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Из пункта 5 в пункт 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Из пункта 4 в пункт 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…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  <w:szCs w:val="24"/>
              </w:rPr>
              <w:t>Из пункта 2 в пункт 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right"/>
              <w:rPr/>
            </w:pPr>
            <w:r>
              <w:rPr>
                <w:b/>
                <w:sz w:val="24"/>
                <w:szCs w:val="24"/>
              </w:rPr>
              <w:t>Итого стоимость командировочных расходов из пункта 5 в пункт 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right"/>
              <w:rPr/>
            </w:pPr>
            <w:r>
              <w:rPr>
                <w:b/>
                <w:sz w:val="24"/>
                <w:szCs w:val="24"/>
              </w:rPr>
              <w:t>Всего стоимость командировочных расходов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ind w:firstLine="567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hd w:val="clear" w:color="auto" w:fill="FFFFFF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ind w:firstLine="567"/>
        <w:jc w:val="both"/>
        <w:rPr/>
      </w:pPr>
      <w:r>
        <w:rPr/>
      </w:r>
    </w:p>
    <w:sectPr>
      <w:headerReference w:type="default" r:id="rId9"/>
      <w:headerReference w:type="first" r:id="rId10"/>
      <w:footnotePr>
        <w:numFmt w:val="decimal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Geometria">
    <w:altName w:val="sans-serif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19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Если в организации функции главного бухгалтера выполняет генеральный директор–ставится только его виза.</w:t>
      </w:r>
    </w:p>
    <w:p>
      <w:pPr>
        <w:pStyle w:val="19"/>
        <w:rPr/>
      </w:pPr>
      <w:r>
        <w:rPr/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u w:val="none"/>
        <w:b/>
        <w:kern w:val="0"/>
        <w:effect w:val="none"/>
        <w:szCs w:val="26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7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character" w:styleId="WW8Num10z0" w:customStyle="1">
    <w:name w:val="WW8Num10z0"/>
    <w:qFormat/>
    <w:rPr/>
  </w:style>
  <w:style w:type="character" w:styleId="LineNumber">
    <w:name w:val="Line Number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/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29" w:customStyle="1">
    <w:name w:val="Знак Знак Знак Знак Знак Знак Знак Знак Знак2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/>
    </w:rPr>
  </w:style>
  <w:style w:type="paragraph" w:styleId="19" w:customStyle="1">
    <w:name w:val="Текст сноски1"/>
    <w:basedOn w:val="Normal"/>
    <w:qFormat/>
    <w:pPr/>
    <w:rPr>
      <w:sz w:val="20"/>
      <w:szCs w:val="20"/>
    </w:rPr>
  </w:style>
  <w:style w:type="paragraph" w:styleId="311" w:customStyle="1">
    <w:name w:val="Основной текст с отступом 31"/>
    <w:basedOn w:val="Normal"/>
    <w:qFormat/>
    <w:pPr>
      <w:spacing w:before="0" w:after="120"/>
      <w:ind w:left="283" w:hanging="0"/>
    </w:pPr>
    <w:rPr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WW8Num10" w:customStyle="1">
    <w:name w:val="WW8Num10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FEF26-EEBC-4017-9381-65DD6863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Application>AlterOffice/3.4.0.9$Linux_X86_64 LibreOffice_project/b8daf9e823b1a5463a2f48435ddc2e8696e7d4fc</Application>
  <AppVersion>15.0000</AppVersion>
  <Pages>22</Pages>
  <Words>3027</Words>
  <Characters>21446</Characters>
  <CharactersWithSpaces>24265</CharactersWithSpaces>
  <Paragraphs>553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/>
  <cp:lastPrinted>2026-08-31T09:29:40Z</cp:lastPrinted>
  <dcterms:modified xsi:type="dcterms:W3CDTF">2026-08-31T12:38:37Z</dcterms:modified>
  <cp:revision>65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