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media/image9.wmf" ContentType="image/x-wmf"/>
  <Override PartName="/word/media/image19.wmf" ContentType="image/x-wmf"/>
  <Override PartName="/word/media/image21.wmf" ContentType="image/x-wmf"/>
  <Override PartName="/word/media/image8.wmf" ContentType="image/x-wmf"/>
  <Override PartName="/word/media/image18.wmf" ContentType="image/x-wmf"/>
  <Override PartName="/word/media/image20.wmf" ContentType="image/x-wmf"/>
  <Override PartName="/word/media/image7.wmf" ContentType="image/x-wmf"/>
  <Override PartName="/word/media/image17.wmf" ContentType="image/x-wmf"/>
  <Override PartName="/word/media/image6.wmf" ContentType="image/x-wmf"/>
  <Override PartName="/word/media/image16.wmf" ContentType="image/x-wmf"/>
  <Override PartName="/word/media/image5.wmf" ContentType="image/x-wmf"/>
  <Override PartName="/word/media/image15.wmf" ContentType="image/x-wmf"/>
  <Override PartName="/word/media/image4.wmf" ContentType="image/x-wmf"/>
  <Override PartName="/word/media/image14.wmf" ContentType="image/x-wmf"/>
  <Override PartName="/word/media/image11.wmf" ContentType="image/x-wmf"/>
  <Override PartName="/word/media/image22.wmf" ContentType="image/x-wmf"/>
  <Override PartName="/word/media/image12.wmf" ContentType="image/x-wmf"/>
  <Override PartName="/word/media/image2.wmf" ContentType="image/x-wmf"/>
  <Override PartName="/word/media/image1.png" ContentType="image/png"/>
  <Override PartName="/word/media/image10.wmf" ContentType="image/x-wmf"/>
  <Override PartName="/word/media/image3.wmf" ContentType="image/x-wmf"/>
  <Override PartName="/word/media/image13.wmf" ContentType="image/x-wmf"/>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Москва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Публичное акционерное общество «Федеральная гидрогенерирующая компания – РусГидро» (ПАО «РусГидро»)</w:t>
      </w:r>
      <w:r>
        <w:rPr>
          <w:sz w:val="24"/>
          <w:szCs w:val="24"/>
          <w:lang w:val="ru-RU"/>
        </w:rPr>
        <w:t xml:space="preserve"> (далее – «Заказчик»), в лице _____________________, действующего на основании ______________,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 (далее – «Исполнитель»), в лице _____________________,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«Национальный режим» – </w:t>
      </w:r>
      <w:r>
        <w:rPr>
          <w:lang w:eastAsia="en-US"/>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highlight w:val="lightGray"/>
          <w:lang w:eastAsia="en-US"/>
        </w:rPr>
        <w:t>«Отходы» –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оказании Услуг по Договору</w:t>
      </w:r>
      <w:r>
        <w:rPr>
          <w:rStyle w:val="FootnoteReference"/>
          <w:highlight w:val="lightGray"/>
          <w:lang w:eastAsia="en-US"/>
        </w:rPr>
        <w:footnoteReference w:id="2"/>
      </w:r>
      <w:r>
        <w:rPr>
          <w:highlight w:val="lightGray"/>
          <w:lang w:eastAsia="en-US"/>
        </w:rPr>
        <w:t>, ответственность за обращение с которыми несет Заказчик.</w:t>
      </w:r>
      <w:r>
        <w:rPr>
          <w:rStyle w:val="FootnoteReference"/>
          <w:highlight w:val="lightGray"/>
          <w:lang w:eastAsia="en-US"/>
        </w:rPr>
        <w:footnoteReference w:id="3"/>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lang w:val="ru-RU"/>
        </w:rPr>
      </w:pPr>
      <w:r>
        <w:rPr>
          <w:rFonts w:ascii="Times New Roman" w:hAnsi="Times New Roman"/>
          <w:color w:val="000000"/>
          <w:lang w:val="ru-RU" w:eastAsia="en-US"/>
        </w:rPr>
        <w:t xml:space="preserve">«Универсальный передаточный документ», «УПД» </w:t>
      </w:r>
      <w:r>
        <w:rPr>
          <w:rFonts w:ascii="Times New Roman" w:hAnsi="Times New Roman"/>
          <w:b w:val="false"/>
          <w:color w:val="000000"/>
          <w:lang w:val="ru-RU" w:eastAsia="en-US"/>
        </w:rPr>
        <w:t>–</w:t>
      </w:r>
      <w:r>
        <w:rPr>
          <w:rFonts w:ascii="Times New Roman" w:hAnsi="Times New Roman"/>
          <w:color w:val="000000"/>
          <w:lang w:val="ru-RU" w:eastAsia="en-US"/>
        </w:rPr>
        <w:t xml:space="preserve"> </w:t>
      </w:r>
      <w:r>
        <w:rPr>
          <w:rFonts w:ascii="Times New Roman" w:hAnsi="Times New Roman"/>
          <w:b w:val="false"/>
          <w:color w:val="000000"/>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lang w:val="ru-RU" w:eastAsia="en-US"/>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Normal"/>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 xml:space="preserve">________________________________________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 xml:space="preserve">Услуги по Договору оказываются для нужд: </w:t>
      </w:r>
      <w:r>
        <w:rPr>
          <w:highlight w:val="lightGray"/>
          <w:lang w:val="ru-RU"/>
        </w:rPr>
        <w:t>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134" w:leader="none"/>
        </w:tabs>
        <w:ind w:left="0" w:firstLine="709"/>
        <w:jc w:val="both"/>
        <w:rPr/>
      </w:pPr>
      <w:bookmarkStart w:id="2" w:name="_Ref361320734"/>
      <w:r>
        <w:rPr>
          <w:highlight w:val="lightGray"/>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3.1 к Договору).</w:t>
      </w:r>
      <w:bookmarkEnd w:id="2"/>
    </w:p>
    <w:p>
      <w:pPr>
        <w:pStyle w:val="ListParagraph"/>
        <w:numPr>
          <w:ilvl w:val="2"/>
          <w:numId w:val="3"/>
        </w:numPr>
        <w:ind w:left="0" w:firstLine="709"/>
        <w:jc w:val="both"/>
        <w:rPr>
          <w:shd w:fill="C0C0C0" w:val="clear"/>
        </w:rPr>
      </w:pPr>
      <w:r>
        <w:rPr>
          <w:highlight w:val="lightGray"/>
        </w:rPr>
        <w:t>На основании получения соответствующего письменного запроса Исполнителя передать (предоставить) последнему место (помещение) для складирования материалов, инструментов и оборудования по Акту сдачи-приемки места (помещения) для складирования материалов, инструментов и оборудования (по форме Приложения № 3.2 к Договору) при наличии возможности.</w:t>
      </w:r>
    </w:p>
    <w:p>
      <w:pPr>
        <w:pStyle w:val="Normal"/>
        <w:tabs>
          <w:tab w:val="clear" w:pos="709"/>
          <w:tab w:val="left" w:pos="1134" w:leader="none"/>
        </w:tabs>
        <w:ind w:firstLine="709"/>
        <w:jc w:val="both"/>
        <w:rPr>
          <w:highlight w:val="lightGray"/>
          <w:lang w:val="ru-RU"/>
        </w:rPr>
      </w:pPr>
      <w:r>
        <w:rPr>
          <w:highlight w:val="lightGray"/>
          <w:lang w:val="ru-RU"/>
        </w:rPr>
        <w:t>Заказчик обеспечивает Исполнителя помещениями (помещения/ площадки для размещения персонала Исполнителя; складские помещения и / или площадки для погрузки / разгрузки/ складирования / хранения материалов, инструментов и оборудования Исполнителя), необходимыми для размещения персонала и хранения материалов, инструментов и оборудования, оказания Услуг по Договору.</w:t>
      </w:r>
    </w:p>
    <w:p>
      <w:pPr>
        <w:pStyle w:val="Normal"/>
        <w:tabs>
          <w:tab w:val="clear" w:pos="709"/>
          <w:tab w:val="left" w:pos="1134" w:leader="none"/>
        </w:tabs>
        <w:ind w:firstLine="709"/>
        <w:jc w:val="both"/>
        <w:rPr>
          <w:highlight w:val="lightGray"/>
          <w:lang w:val="ru-RU"/>
        </w:rPr>
      </w:pPr>
      <w:r>
        <w:rPr>
          <w:highlight w:val="lightGray"/>
          <w:lang w:val="ru-RU"/>
        </w:rPr>
        <w:t xml:space="preserve">Заказчик несет расходы по капитальному и текущему ремонту предоставленных в пользование помещений. Исполнитель 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оказания Услуг, либо, в случаях прекращения (расторжения) Договора, – не позднее 3 (трех) рабочих дней с даты получения соответствующего требования Заказчика. </w:t>
      </w:r>
    </w:p>
    <w:p>
      <w:pPr>
        <w:pStyle w:val="ListParagraph"/>
        <w:numPr>
          <w:ilvl w:val="2"/>
          <w:numId w:val="3"/>
        </w:numPr>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ListParagraph"/>
        <w:tabs>
          <w:tab w:val="left" w:pos="709" w:leader="none"/>
        </w:tabs>
        <w:ind w:left="0" w:firstLine="709"/>
        <w:jc w:val="both"/>
        <w:rPr>
          <w:highlight w:val="lightGray"/>
        </w:rPr>
      </w:pPr>
      <w:r>
        <w:rPr>
          <w:highlight w:val="lightGray"/>
        </w:rPr>
        <w:t>Вариант 1:</w:t>
      </w:r>
    </w:p>
    <w:p>
      <w:pPr>
        <w:pStyle w:val="ListParagraph"/>
        <w:numPr>
          <w:ilvl w:val="2"/>
          <w:numId w:val="3"/>
        </w:numPr>
        <w:shd w:val="clear" w:color="auto" w:fill="FFFFFF"/>
        <w:tabs>
          <w:tab w:val="left" w:pos="709" w:leader="none"/>
        </w:tabs>
        <w:ind w:left="0" w:firstLine="709"/>
        <w:jc w:val="both"/>
        <w:rPr>
          <w:highlight w:val="lightGray"/>
        </w:rPr>
      </w:pPr>
      <w:r>
        <w:rPr>
          <w:highlight w:val="lightGray"/>
        </w:rPr>
        <w:t>Обеспечить за свой счет исполнение обязанностей в области обращения с Отходами, в том числе в связи с осуществлением деятельности по накоплению, обработке, погрузке, транспортированию, передаче на размещение и / или утилизацию, обезвреживанию Отходов, включая внесение платы за негативное воздействие на окружающую среду (далее – НВОС) при размещении Отходов на объекте размещения Отходов, ведение учета в области обращения с Отходами, оформление паспортов Отходов.</w:t>
      </w:r>
    </w:p>
    <w:p>
      <w:pPr>
        <w:pStyle w:val="ListParagraph"/>
        <w:shd w:val="clear" w:color="auto" w:fill="FFFFFF"/>
        <w:tabs>
          <w:tab w:val="left" w:pos="709" w:leader="none"/>
        </w:tabs>
        <w:ind w:left="0" w:firstLine="709"/>
        <w:jc w:val="both"/>
        <w:rPr>
          <w:highlight w:val="lightGray"/>
        </w:rPr>
      </w:pPr>
      <w:r>
        <w:rPr>
          <w:highlight w:val="lightGray"/>
        </w:rPr>
        <w:t>либо</w:t>
      </w:r>
    </w:p>
    <w:p>
      <w:pPr>
        <w:pStyle w:val="ListParagraph"/>
        <w:shd w:val="clear" w:color="auto" w:fill="FFFFFF"/>
        <w:tabs>
          <w:tab w:val="left" w:pos="709" w:leader="none"/>
        </w:tabs>
        <w:ind w:left="0" w:firstLine="709"/>
        <w:jc w:val="both"/>
        <w:rPr>
          <w:highlight w:val="lightGray"/>
        </w:rPr>
      </w:pPr>
      <w:r>
        <w:rPr>
          <w:highlight w:val="lightGray"/>
        </w:rPr>
        <w:t>Вариант 2:</w:t>
      </w:r>
    </w:p>
    <w:p>
      <w:pPr>
        <w:pStyle w:val="ListParagraph"/>
        <w:shd w:val="clear" w:color="auto" w:fill="FFFFFF"/>
        <w:tabs>
          <w:tab w:val="left" w:pos="709" w:leader="none"/>
        </w:tabs>
        <w:ind w:left="0" w:firstLine="709"/>
        <w:jc w:val="both"/>
        <w:rPr>
          <w:highlight w:val="lightGray"/>
        </w:rPr>
      </w:pPr>
      <w:r>
        <w:rPr>
          <w:highlight w:val="lightGray"/>
        </w:rPr>
        <w:t>2.1.6. Обеспечить за свой счет внесение платы за негативное воздействие на окружающую среду (далее – НВОС) при размещении Отходов на объекте размещения Отходов, ведение учета в области обращения с Отходами, оформление паспортов Отходов.</w:t>
      </w:r>
      <w:r>
        <w:rPr>
          <w:rStyle w:val="FootnoteReference"/>
          <w:highlight w:val="lightGray"/>
        </w:rPr>
        <w:footnoteReference w:id="4"/>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2"/>
        </w:numPr>
        <w:shd w:val="clear" w:color="auto" w:fill="FFFFFF"/>
        <w:tabs>
          <w:tab w:val="clear" w:pos="709"/>
          <w:tab w:val="left" w:pos="1418" w:leader="none"/>
        </w:tabs>
        <w:ind w:left="0" w:firstLine="709"/>
        <w:jc w:val="both"/>
        <w:rPr>
          <w:bCs/>
        </w:rPr>
      </w:pPr>
      <w:bookmarkStart w:id="3" w:name="_Ref361334602"/>
      <w:r>
        <w:rPr>
          <w:bCs/>
        </w:rPr>
        <w:t xml:space="preserve">В любое время осуществлять контроль и надзор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2"/>
        </w:numPr>
        <w:shd w:val="clear" w:color="auto" w:fill="FFFFFF"/>
        <w:tabs>
          <w:tab w:val="clear" w:pos="709"/>
          <w:tab w:val="left" w:pos="1418" w:leader="none"/>
        </w:tabs>
        <w:ind w:left="0" w:firstLine="709"/>
        <w:jc w:val="both"/>
        <w:rPr>
          <w:bCs/>
        </w:rPr>
      </w:pPr>
      <w:r>
        <w:rPr>
          <w:color w:val="000000"/>
          <w:shd w:fill="C0C0C0" w:val="clear"/>
        </w:rPr>
        <w:t xml:space="preserve">Круглосуточно осуществлять доступ к месту (помещению) для складирования материалов и оборудования. В случае предоставления Исполнителю отдельного помещения для складирования материалов, оборудования, осуществлять осмотр такого помещения по первому требованию и в присутствии представителя Исполнителя. </w:t>
      </w:r>
    </w:p>
    <w:p>
      <w:pPr>
        <w:pStyle w:val="ListParagraph"/>
        <w:numPr>
          <w:ilvl w:val="2"/>
          <w:numId w:val="12"/>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и пожарной безопасности на период до принятия совместного решения Сторон о возобновлении допуска.</w:t>
      </w:r>
      <w:bookmarkEnd w:id="4"/>
    </w:p>
    <w:p>
      <w:pPr>
        <w:pStyle w:val="ListParagraph"/>
        <w:numPr>
          <w:ilvl w:val="2"/>
          <w:numId w:val="12"/>
        </w:numPr>
        <w:shd w:val="clear" w:color="auto" w:fill="FFFFFF"/>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2"/>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2"/>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2"/>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2"/>
        </w:numPr>
        <w:shd w:val="clear" w:color="auto" w:fill="FFFFFF"/>
        <w:tabs>
          <w:tab w:val="clear" w:pos="709"/>
          <w:tab w:val="left" w:pos="1418" w:leader="none"/>
        </w:tabs>
        <w:ind w:left="0" w:firstLine="709"/>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2"/>
        </w:numPr>
        <w:shd w:val="clear" w:color="auto" w:fill="FFFFFF"/>
        <w:tabs>
          <w:tab w:val="clear" w:pos="709"/>
          <w:tab w:val="left" w:pos="1418" w:leader="none"/>
        </w:tabs>
        <w:ind w:left="0" w:firstLine="709"/>
        <w:jc w:val="both"/>
        <w:rPr>
          <w:highlight w:val="lightGray"/>
        </w:rPr>
      </w:pPr>
      <w:r>
        <w:rPr>
          <w:bCs/>
          <w:highlight w:val="lightGray"/>
        </w:rPr>
        <w:t xml:space="preserve">В срок, указанный в пункте 2.1.2 Договора, принять от Заказчика на время оказания Услуг по Договору </w:t>
      </w:r>
      <w:r>
        <w:rPr>
          <w:highlight w:val="lightGray"/>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(по форме Приложения № 3.1 Договору).</w:t>
      </w:r>
    </w:p>
    <w:p>
      <w:pPr>
        <w:pStyle w:val="ListParagraph"/>
        <w:numPr>
          <w:ilvl w:val="2"/>
          <w:numId w:val="12"/>
        </w:numPr>
        <w:shd w:val="clear" w:color="auto" w:fill="FFFFFF"/>
        <w:tabs>
          <w:tab w:val="clear" w:pos="709"/>
          <w:tab w:val="left" w:pos="1418" w:leader="none"/>
        </w:tabs>
        <w:ind w:left="0" w:firstLine="709"/>
        <w:jc w:val="both"/>
        <w:rPr>
          <w:highlight w:val="lightGray"/>
        </w:rPr>
      </w:pPr>
      <w:r>
        <w:rPr>
          <w:bCs/>
          <w:highlight w:val="lightGray"/>
        </w:rPr>
        <w:t xml:space="preserve">Принять от Заказчика на время оказания Услуг по Договору </w:t>
      </w:r>
      <w:r>
        <w:rPr>
          <w:bCs/>
          <w:highlight w:val="lightGray"/>
          <w:shd w:fill="C0C0C0" w:val="clear"/>
        </w:rPr>
        <w:t xml:space="preserve">место (помещение) для </w:t>
      </w:r>
      <w:r>
        <w:rPr>
          <w:bCs/>
          <w:highlight w:val="lightGray"/>
        </w:rPr>
        <w:t>складирования материалов, инструментов и оборудования по Акту сдачи-приемки места (помещения) для складирования материалов, инструментов и оборудования (по форме Приложения № 3.2 к Договору).</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2"/>
        </w:numPr>
        <w:shd w:val="clear" w:color="auto" w:fill="FFFFFF"/>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3"/>
        </w:numPr>
        <w:shd w:val="clear" w:color="auto" w:fill="FFFFFF"/>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3"/>
        </w:numPr>
        <w:shd w:val="clear" w:color="auto" w:fill="FFFFFF"/>
        <w:tabs>
          <w:tab w:val="clear" w:pos="709"/>
          <w:tab w:val="left" w:pos="1134" w:leader="none"/>
          <w:tab w:val="left" w:pos="1276" w:leader="none"/>
        </w:tabs>
        <w:ind w:left="0" w:firstLine="709"/>
        <w:jc w:val="both"/>
        <w:rPr>
          <w:bCs/>
        </w:rPr>
      </w:pPr>
      <w:r>
        <w:rPr>
          <w:bCs/>
        </w:rPr>
        <w:t>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w:t>
      </w:r>
    </w:p>
    <w:p>
      <w:pPr>
        <w:pStyle w:val="ListParagraph"/>
        <w:numPr>
          <w:ilvl w:val="0"/>
          <w:numId w:val="13"/>
        </w:numPr>
        <w:shd w:val="clear" w:color="auto" w:fill="FFFFFF"/>
        <w:tabs>
          <w:tab w:val="clear" w:pos="709"/>
          <w:tab w:val="left" w:pos="1134" w:leader="none"/>
          <w:tab w:val="left" w:pos="1276" w:leader="none"/>
        </w:tabs>
        <w:ind w:left="0" w:firstLine="709"/>
        <w:jc w:val="both"/>
        <w:rPr>
          <w:shd w:fill="C0C0C0" w:val="clear"/>
        </w:rPr>
      </w:pPr>
      <w:r>
        <w:rPr>
          <w:bCs/>
          <w:shd w:fill="C0C0C0" w:val="clear"/>
        </w:rPr>
        <w:t xml:space="preserve">контакты и должность представителей Исполнителя, ответственных за пожарную безопасность помещений, переданных Заказчиком Исполнителю по соответствующим актам сдачи-приемки (Приложение № 3.2 к Договору) в соответствии с пунктом 2.1.3 Договора. </w:t>
      </w:r>
    </w:p>
    <w:p>
      <w:pPr>
        <w:pStyle w:val="ListParagraph"/>
        <w:shd w:val="clear" w:color="auto" w:fill="FFFFFF"/>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highlight w:val="lightGray"/>
        </w:rPr>
        <w:t>разделе 13 Договора</w:t>
      </w:r>
      <w:r>
        <w:rPr>
          <w:highlight w:val="lightGray"/>
        </w:rPr>
        <w:t>, – не позднее 3 (трех) рабочих дней с даты получения соответствующего требования Заказчика.</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shd w:fill="C0C0C0" w:val="clear"/>
        </w:rPr>
        <w:t xml:space="preserve">При приемке места (помещения) для складирования материалов, инструмента и оборудования, указать в соответствующих актах сдачи-приемки все замечания и недостатки, которые могут повлиять на сроки оказания Услуг, в том числе на безопасность  складируемых материалов, инструментов и оборудования. </w:t>
      </w:r>
    </w:p>
    <w:p>
      <w:pPr>
        <w:pStyle w:val="ListParagraph"/>
        <w:shd w:val="clear" w:color="auto" w:fill="FFFFFF"/>
        <w:tabs>
          <w:tab w:val="clear" w:pos="709"/>
          <w:tab w:val="left" w:pos="1418" w:leader="none"/>
        </w:tabs>
        <w:ind w:left="0" w:firstLine="709"/>
        <w:jc w:val="both"/>
        <w:rPr>
          <w:shd w:fill="C0C0C0" w:val="clear"/>
        </w:rPr>
      </w:pPr>
      <w:r>
        <w:rPr>
          <w:shd w:fill="C0C0C0" w:val="clear"/>
        </w:rPr>
        <w:t>В случае невыполнения данной обязанности Исполнитель лишается права предъявлять Заказчику какие-либо претензии, в том числе относительно увеличения объема или сроков оказания Услуг, вызванные наличием у Исполнителя замечаний к переданным Заказчиком местам (помещению).</w:t>
      </w:r>
    </w:p>
    <w:p>
      <w:pPr>
        <w:pStyle w:val="ListParagraph"/>
        <w:numPr>
          <w:ilvl w:val="2"/>
          <w:numId w:val="12"/>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highlight w:val="lightGray"/>
        </w:rPr>
      </w:pPr>
      <w:r>
        <w:rPr>
          <w:highlight w:val="lightGray"/>
        </w:rPr>
        <w:t>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10.1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w:t>
      </w:r>
    </w:p>
    <w:p>
      <w:pPr>
        <w:pStyle w:val="ListParagraph"/>
        <w:shd w:val="clear" w:color="auto" w:fill="FFFFFF"/>
        <w:tabs>
          <w:tab w:val="clear" w:pos="709"/>
          <w:tab w:val="left" w:pos="1276" w:leader="none"/>
        </w:tabs>
        <w:ind w:left="0" w:firstLine="709"/>
        <w:jc w:val="both"/>
        <w:rPr>
          <w:highlight w:val="lightGray"/>
        </w:rPr>
      </w:pPr>
      <w:r>
        <w:rPr>
          <w:highlight w:val="lightGray"/>
        </w:rPr>
        <w:t xml:space="preserve">2.3.9.1. Иметь соответствующие допуски, разрешения и / или лицензии в области обращения с отходами </w:t>
      </w:r>
      <w:r>
        <w:rPr>
          <w:color w:val="000000"/>
          <w:highlight w:val="lightGray"/>
          <w:shd w:fill="C0C0C0" w:val="clear"/>
        </w:rPr>
        <w:t xml:space="preserve">I-IV классов опасности и </w:t>
      </w:r>
      <w:bookmarkStart w:id="6" w:name="_GoBack_Копия_2"/>
      <w:bookmarkEnd w:id="6"/>
      <w:r>
        <w:rPr>
          <w:color w:val="000000"/>
          <w:highlight w:val="lightGray"/>
          <w:shd w:fill="C0C0C0" w:val="clear"/>
        </w:rPr>
        <w:t>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отходами I-IV классов опасности. Исполнитель обязан предоставить Заказчику копию соответствующих допусков, разрешений, лицензии и / или свидетельств (сертификатов).</w:t>
      </w:r>
      <w:r>
        <w:rPr>
          <w:rStyle w:val="FootnoteReference"/>
          <w:color w:val="000000"/>
          <w:highlight w:val="lightGray"/>
          <w:shd w:fill="C0C0C0" w:val="clear"/>
        </w:rPr>
        <w:footnoteReference w:id="5"/>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 xml:space="preserve">Провести инструктаж персонала, задействованного при оказании Услуг и обеспечить </w:t>
      </w:r>
      <w:r>
        <w:rPr>
          <w:bCs/>
          <w:highlight w:val="lightGray"/>
        </w:rPr>
        <w:t xml:space="preserve">соблюдение (в том числе указанным персоналом) </w:t>
      </w:r>
      <w:r>
        <w:rPr>
          <w:highlight w:val="lightGray"/>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2"/>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2"/>
        </w:numPr>
        <w:shd w:val="clear" w:color="auto" w:fill="FFFFFF"/>
        <w:tabs>
          <w:tab w:val="clear" w:pos="709"/>
          <w:tab w:val="left" w:pos="1418" w:leader="none"/>
        </w:tabs>
        <w:ind w:left="0" w:firstLine="709"/>
        <w:jc w:val="both"/>
        <w:rPr>
          <w:highlight w:val="lightGray"/>
        </w:rPr>
      </w:pPr>
      <w:r>
        <w:rPr>
          <w:highlight w:val="lightGray"/>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2"/>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2.3.15.1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2.3.15.1 Договора. </w:t>
      </w:r>
    </w:p>
    <w:p>
      <w:pPr>
        <w:pStyle w:val="ListParagraph"/>
        <w:numPr>
          <w:ilvl w:val="2"/>
          <w:numId w:val="12"/>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2"/>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2"/>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2"/>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2.3.15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2"/>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2"/>
        </w:numPr>
        <w:shd w:val="clear" w:color="auto" w:fill="FFFFFF"/>
        <w:tabs>
          <w:tab w:val="clear" w:pos="709"/>
          <w:tab w:val="left" w:pos="1418" w:leader="none"/>
        </w:tabs>
        <w:ind w:left="0" w:firstLine="709"/>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w:t>
      </w:r>
      <w:r>
        <w:rPr/>
        <w:t xml:space="preserve"> </w:t>
      </w:r>
      <w:r>
        <w:rPr>
          <w:highlight w:val="lightGray"/>
        </w:rPr>
        <w:t>привлеченными им Субисполнителями</w:t>
      </w:r>
      <w:r>
        <w:rPr/>
        <w:t xml:space="preserve">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12"/>
        </w:numPr>
        <w:shd w:val="clear" w:color="auto" w:fill="FFFFFF"/>
        <w:tabs>
          <w:tab w:val="clear" w:pos="709"/>
          <w:tab w:val="left" w:pos="1418"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2"/>
        </w:numPr>
        <w:shd w:val="clear" w:color="auto" w:fill="FFFFFF"/>
        <w:tabs>
          <w:tab w:val="clear" w:pos="709"/>
          <w:tab w:val="left" w:pos="1418" w:leader="none"/>
        </w:tabs>
        <w:ind w:left="0" w:firstLine="709"/>
        <w:jc w:val="both"/>
        <w:rPr/>
      </w:pPr>
      <w:r>
        <w:rPr>
          <w:highlight w:val="lightGray"/>
        </w:rPr>
        <w:t>Обеспечивать соблюдение экологических требований, санитарно-эпидемиологических требований и требований в области охраны окружающей среды к обращению с отходами, установленных законодательством Российской Федерации, а также требований, установленных локальными нормативными документами (актами) Заказчика в области обращения с отходами на территории Заказчика.</w:t>
      </w:r>
      <w:r>
        <w:rPr>
          <w:rStyle w:val="FootnoteReference"/>
          <w:color w:val="000000"/>
          <w:highlight w:val="lightGray"/>
          <w:shd w:fill="C0C0C0" w:val="clear"/>
        </w:rPr>
        <w:footnoteReference w:id="6"/>
      </w:r>
    </w:p>
    <w:p>
      <w:pPr>
        <w:pStyle w:val="ListParagraph"/>
        <w:shd w:val="clear" w:color="auto" w:fill="FFFFFF"/>
        <w:tabs>
          <w:tab w:val="left" w:pos="709" w:leader="none"/>
        </w:tabs>
        <w:ind w:left="0" w:firstLine="709"/>
        <w:jc w:val="both"/>
        <w:rPr>
          <w:color w:val="000000"/>
        </w:rPr>
      </w:pPr>
      <w:r>
        <w:rPr>
          <w:bCs/>
          <w:color w:val="000000"/>
          <w:highlight w:val="lightGray"/>
        </w:rPr>
        <w:t>Вариант 1:</w:t>
      </w:r>
    </w:p>
    <w:p>
      <w:pPr>
        <w:pStyle w:val="ListParagraph"/>
        <w:numPr>
          <w:ilvl w:val="2"/>
          <w:numId w:val="12"/>
        </w:numPr>
        <w:shd w:val="clear" w:color="auto" w:fill="FFFFFF"/>
        <w:tabs>
          <w:tab w:val="clear" w:pos="709"/>
          <w:tab w:val="left" w:pos="1418" w:leader="none"/>
        </w:tabs>
        <w:ind w:left="0" w:firstLine="709"/>
        <w:jc w:val="both"/>
        <w:rPr/>
      </w:pPr>
      <w:r>
        <w:rPr>
          <w:highlight w:val="lightGray"/>
        </w:rPr>
        <w:t>До даты ок</w:t>
      </w:r>
      <w:r>
        <w:rPr>
          <w:bCs/>
          <w:color w:val="000000"/>
          <w:highlight w:val="lightGray"/>
        </w:rPr>
        <w:t>а</w:t>
      </w:r>
      <w:r>
        <w:rPr>
          <w:highlight w:val="lightGray"/>
        </w:rPr>
        <w:t xml:space="preserve">зания Услуг обеспечить </w:t>
      </w:r>
      <w:r>
        <w:rPr>
          <w:bCs/>
          <w:color w:val="000000"/>
          <w:highlight w:val="lightGray"/>
        </w:rPr>
        <w:t>накопл</w:t>
      </w:r>
      <w:r>
        <w:rPr>
          <w:highlight w:val="lightGray"/>
        </w:rPr>
        <w:t xml:space="preserve">ение </w:t>
      </w:r>
      <w:r>
        <w:rPr>
          <w:bCs/>
          <w:color w:val="000000"/>
          <w:highlight w:val="lightGray"/>
        </w:rPr>
        <w:t>Отходов, в местах, ука</w:t>
      </w:r>
      <w:r>
        <w:rPr>
          <w:highlight w:val="lightGray"/>
        </w:rPr>
        <w:t>занн</w:t>
      </w:r>
      <w:r>
        <w:rPr>
          <w:bCs/>
          <w:color w:val="000000"/>
          <w:highlight w:val="lightGray"/>
        </w:rPr>
        <w:t>ых или согласованных с Заказчиком.</w:t>
      </w:r>
      <w:r>
        <w:rPr>
          <w:rStyle w:val="FootnoteReference"/>
          <w:bCs/>
          <w:color w:val="000000"/>
          <w:highlight w:val="lightGray"/>
        </w:rPr>
        <w:footnoteReference w:id="7"/>
      </w:r>
    </w:p>
    <w:p>
      <w:pPr>
        <w:pStyle w:val="ListParagraph"/>
        <w:shd w:val="clear" w:color="auto" w:fill="FFFFFF"/>
        <w:tabs>
          <w:tab w:val="left" w:pos="709" w:leader="none"/>
        </w:tabs>
        <w:ind w:left="0" w:firstLine="709"/>
        <w:jc w:val="both"/>
        <w:rPr>
          <w:color w:val="000000"/>
        </w:rPr>
      </w:pPr>
      <w:r>
        <w:rPr>
          <w:bCs/>
          <w:i/>
          <w:iCs/>
          <w:color w:val="000000"/>
          <w:highlight w:val="lightGray"/>
        </w:rPr>
        <w:t>либо</w:t>
      </w:r>
      <w:r>
        <w:rPr>
          <w:bCs/>
          <w:color w:val="000000"/>
          <w:highlight w:val="lightGray"/>
        </w:rPr>
        <w:t xml:space="preserve"> </w:t>
      </w:r>
    </w:p>
    <w:p>
      <w:pPr>
        <w:pStyle w:val="ListParagraph"/>
        <w:shd w:val="clear" w:color="auto" w:fill="FFFFFF"/>
        <w:tabs>
          <w:tab w:val="left" w:pos="709" w:leader="none"/>
        </w:tabs>
        <w:ind w:left="0" w:firstLine="709"/>
        <w:jc w:val="both"/>
        <w:rPr>
          <w:color w:val="000000"/>
        </w:rPr>
      </w:pPr>
      <w:r>
        <w:rPr>
          <w:bCs/>
          <w:color w:val="000000"/>
          <w:highlight w:val="lightGray"/>
        </w:rPr>
        <w:t xml:space="preserve">Вариант 2: </w:t>
      </w:r>
    </w:p>
    <w:p>
      <w:pPr>
        <w:pStyle w:val="ListParagraph"/>
        <w:shd w:val="clear" w:color="auto" w:fill="FFFFFF"/>
        <w:tabs>
          <w:tab w:val="left" w:pos="709" w:leader="none"/>
        </w:tabs>
        <w:ind w:left="0" w:firstLine="709"/>
        <w:jc w:val="both"/>
        <w:rPr>
          <w:color w:val="000000"/>
        </w:rPr>
      </w:pPr>
      <w:r>
        <w:rPr>
          <w:bCs/>
          <w:color w:val="000000"/>
          <w:highlight w:val="lightGray"/>
        </w:rPr>
        <w:t>2.3.20.</w:t>
        <w:tab/>
        <w:t>До даты оказания Услуг обеспечить исполнение обязанностей в области обращения с Отходами, в том числе:</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shd w:fill="C0C0C0" w:val="clear"/>
        </w:rPr>
        <w:t xml:space="preserve">Обеспечить накопление </w:t>
      </w:r>
      <w:r>
        <w:rPr>
          <w:color w:val="000000"/>
          <w:shd w:fill="C0C0C0" w:val="clear"/>
        </w:rPr>
        <w:t>Отходов</w:t>
      </w:r>
      <w:r>
        <w:rPr>
          <w:bCs/>
          <w:color w:val="000000"/>
          <w:highlight w:val="lightGray"/>
          <w:shd w:fill="C0C0C0" w:val="clear"/>
        </w:rPr>
        <w:t>,</w:t>
      </w:r>
      <w:r>
        <w:rPr>
          <w:shd w:fill="C0C0C0" w:val="clear"/>
        </w:rPr>
        <w:t xml:space="preserve"> в </w:t>
      </w:r>
      <w:r>
        <w:rPr>
          <w:color w:val="000000"/>
          <w:shd w:fill="C0C0C0" w:val="clear"/>
        </w:rPr>
        <w:t>местах</w:t>
      </w:r>
      <w:r>
        <w:rPr>
          <w:shd w:fill="C0C0C0" w:val="clear"/>
        </w:rPr>
        <w:t>, указанных или согласованных с Заказчиком</w:t>
      </w:r>
      <w:r>
        <w:rPr>
          <w:bCs/>
          <w:color w:val="000000"/>
          <w:highlight w:val="lightGray"/>
          <w:shd w:fill="C0C0C0" w:val="clear"/>
        </w:rPr>
        <w:t>, либо обеспечить погрузку и вывоз Отходов по мере их образования (накопления)</w:t>
      </w:r>
      <w:r>
        <w:rPr>
          <w:shd w:fill="C0C0C0" w:val="clear"/>
        </w:rPr>
        <w:t>.</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shd w:fill="C0C0C0" w:val="clear"/>
        </w:rPr>
        <w:t>Своевременно</w:t>
      </w:r>
      <w:r>
        <w:rPr>
          <w:rStyle w:val="FootnoteReference"/>
          <w:shd w:fill="C0C0C0" w:val="clear"/>
        </w:rPr>
        <w:footnoteReference w:id="8"/>
      </w:r>
      <w:r>
        <w:rPr>
          <w:shd w:fill="C0C0C0" w:val="clear"/>
        </w:rPr>
        <w:t xml:space="preserve"> транспортировать Отходы из мест накопления на объекты </w:t>
      </w:r>
      <w:r>
        <w:rPr>
          <w:color w:val="000000"/>
          <w:shd w:fill="C0C0C0" w:val="clear"/>
        </w:rPr>
        <w:t>сбора</w:t>
      </w:r>
      <w:r>
        <w:rPr>
          <w:shd w:fill="C0C0C0" w:val="clear"/>
        </w:rPr>
        <w:t xml:space="preserve">, обработки, </w:t>
      </w:r>
      <w:r>
        <w:rPr>
          <w:color w:val="000000"/>
          <w:shd w:fill="C0C0C0" w:val="clear"/>
        </w:rPr>
        <w:t>утилизации</w:t>
      </w:r>
      <w:r>
        <w:rPr>
          <w:shd w:fill="C0C0C0" w:val="clear"/>
        </w:rPr>
        <w:t>, обезвреживания, размещения Отходов в соответствии с соблюдением экологических требований, санитарно-</w:t>
      </w:r>
      <w:r>
        <w:rPr>
          <w:color w:val="000000"/>
          <w:shd w:fill="C0C0C0" w:val="clear"/>
        </w:rPr>
        <w:t>эпидемиологических</w:t>
      </w:r>
      <w:r>
        <w:rPr>
          <w:shd w:fill="C0C0C0" w:val="clear"/>
        </w:rPr>
        <w:t xml:space="preserve"> требований и иных требований, установленных законодательством </w:t>
      </w:r>
      <w:r>
        <w:rPr>
          <w:color w:val="000000"/>
          <w:shd w:fill="C0C0C0" w:val="clear"/>
        </w:rPr>
        <w:t>Российской</w:t>
      </w:r>
      <w:r>
        <w:rPr>
          <w:shd w:fill="C0C0C0" w:val="clear"/>
        </w:rPr>
        <w:t xml:space="preserve"> </w:t>
      </w:r>
      <w:r>
        <w:rPr>
          <w:color w:val="000000"/>
          <w:shd w:fill="C0C0C0" w:val="clear"/>
        </w:rPr>
        <w:t>Федерации об автомобильном, железнодорожном, воздушном, внутреннем водном и морском транспорте, а также требованиями, установленными локальными нормативными документами (актами) Заказчика в области обращения с Отходами на территории Заказчика.</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bCs/>
          <w:color w:val="000000"/>
          <w:highlight w:val="lightGray"/>
        </w:rPr>
        <w:t>Предоставить Заказчику документы (договоры, акты и т.д.), подтверждающие факт передачи Отходов на размещение и / или утилизацию, обезвреживание Отходов.</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color w:val="000000"/>
          <w:shd w:fill="C0C0C0" w:val="clear"/>
        </w:rPr>
        <w:t xml:space="preserve">Предоставить Заказчику копию распорядительного документа о назначении лица, </w:t>
      </w:r>
      <w:r>
        <w:rPr>
          <w:bCs/>
          <w:color w:val="000000"/>
          <w:highlight w:val="lightGray"/>
          <w:shd w:fill="C0C0C0" w:val="clear"/>
        </w:rPr>
        <w:t>ответственного</w:t>
      </w:r>
      <w:r>
        <w:rPr>
          <w:color w:val="000000"/>
          <w:shd w:fill="C0C0C0" w:val="clear"/>
        </w:rPr>
        <w:t xml:space="preserve"> за деятельность в области обращения с Отходами.</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color w:val="000000"/>
          <w:shd w:fill="C0C0C0" w:val="clear"/>
        </w:rPr>
        <w:t xml:space="preserve">В случае необходимости </w:t>
      </w:r>
      <w:r>
        <w:rPr>
          <w:bCs/>
          <w:color w:val="000000"/>
          <w:highlight w:val="lightGray"/>
          <w:shd w:fill="C0C0C0" w:val="clear"/>
        </w:rPr>
        <w:t>выполн</w:t>
      </w:r>
      <w:r>
        <w:rPr>
          <w:color w:val="000000"/>
          <w:shd w:fill="C0C0C0" w:val="clear"/>
        </w:rPr>
        <w:t xml:space="preserve">ения </w:t>
      </w:r>
      <w:r>
        <w:rPr>
          <w:bCs/>
          <w:color w:val="000000"/>
          <w:highlight w:val="lightGray"/>
          <w:shd w:fill="C0C0C0" w:val="clear"/>
        </w:rPr>
        <w:t>работ / оказания услуг по о</w:t>
      </w:r>
      <w:r>
        <w:rPr>
          <w:color w:val="000000"/>
          <w:shd w:fill="C0C0C0" w:val="clear"/>
        </w:rPr>
        <w:t>бращени</w:t>
      </w:r>
      <w:r>
        <w:rPr>
          <w:bCs/>
          <w:color w:val="000000"/>
          <w:highlight w:val="lightGray"/>
          <w:shd w:fill="C0C0C0" w:val="clear"/>
        </w:rPr>
        <w:t>ю</w:t>
      </w:r>
      <w:r>
        <w:rPr>
          <w:color w:val="000000"/>
          <w:shd w:fill="C0C0C0" w:val="clear"/>
        </w:rPr>
        <w:t xml:space="preserve"> с Отходами I-IV классов опасности иметь соответствующие допуски, разрешения и</w:t>
      </w:r>
      <w:r>
        <w:rPr>
          <w:bCs/>
          <w:color w:val="000000"/>
          <w:highlight w:val="lightGray"/>
          <w:shd w:fill="C0C0C0" w:val="clear"/>
        </w:rPr>
        <w:t> / </w:t>
      </w:r>
      <w:r>
        <w:rPr>
          <w:color w:val="000000"/>
          <w:shd w:fill="C0C0C0" w:val="clear"/>
        </w:rPr>
        <w:t>или лицензии или привлечь третьих лиц, имеющих право выполнения работ</w:t>
      </w:r>
      <w:r>
        <w:rPr>
          <w:bCs/>
          <w:color w:val="000000"/>
          <w:highlight w:val="lightGray"/>
          <w:shd w:fill="C0C0C0" w:val="clear"/>
        </w:rPr>
        <w:t>/</w:t>
      </w:r>
      <w:r>
        <w:rPr>
          <w:color w:val="000000"/>
          <w:shd w:fill="C0C0C0" w:val="clear"/>
        </w:rPr>
        <w:t xml:space="preserve">оказания услуг по обращению с Отходами I-IV классов опасности с включением расходов по договору выполнения работ / оказания услуг по обращению с Отходами I-IV классов опасности в </w:t>
      </w:r>
      <w:r>
        <w:rPr>
          <w:bCs/>
          <w:color w:val="000000"/>
          <w:highlight w:val="lightGray"/>
          <w:shd w:fill="C0C0C0" w:val="clear"/>
        </w:rPr>
        <w:t>Сводный сметный р</w:t>
      </w:r>
      <w:r>
        <w:rPr>
          <w:color w:val="000000"/>
          <w:shd w:fill="C0C0C0" w:val="clear"/>
        </w:rPr>
        <w:t xml:space="preserve">асчет </w:t>
      </w:r>
      <w:r>
        <w:rPr>
          <w:bCs/>
          <w:color w:val="000000"/>
          <w:highlight w:val="lightGray"/>
          <w:shd w:fill="C0C0C0" w:val="clear"/>
        </w:rPr>
        <w:t>/ Объектный сметный расчет с приложениями</w:t>
      </w:r>
      <w:r>
        <w:rPr>
          <w:color w:val="000000"/>
          <w:shd w:fill="C0C0C0" w:val="clear"/>
        </w:rPr>
        <w:t xml:space="preserve">, в том числе допускать к обращению с Отходами I-IV классов опасности только лиц, имеющих профессиональную подготовку, подтвержденную свидетельствами (сертификатами) на право работ с </w:t>
      </w:r>
      <w:r>
        <w:rPr>
          <w:bCs/>
          <w:color w:val="000000"/>
          <w:highlight w:val="lightGray"/>
          <w:shd w:fill="C0C0C0" w:val="clear"/>
        </w:rPr>
        <w:t>о</w:t>
      </w:r>
      <w:r>
        <w:rPr>
          <w:color w:val="000000"/>
          <w:shd w:fill="C0C0C0" w:val="clear"/>
        </w:rPr>
        <w:t>тходами I-IV класс</w:t>
      </w:r>
      <w:r>
        <w:rPr>
          <w:bCs/>
          <w:color w:val="000000"/>
          <w:highlight w:val="lightGray"/>
          <w:shd w:fill="C0C0C0" w:val="clear"/>
        </w:rPr>
        <w:t>а</w:t>
      </w:r>
      <w:r>
        <w:rPr>
          <w:color w:val="000000"/>
          <w:shd w:fill="C0C0C0" w:val="clear"/>
        </w:rPr>
        <w:t xml:space="preserve"> опасности. Исполнитель обязан предоставить Заказчику копию соответствующих допусков, разрешений, лицензии и</w:t>
      </w:r>
      <w:r>
        <w:rPr>
          <w:bCs/>
          <w:color w:val="000000"/>
          <w:highlight w:val="lightGray"/>
          <w:shd w:fill="C0C0C0" w:val="clear"/>
        </w:rPr>
        <w:t> / </w:t>
      </w:r>
      <w:r>
        <w:rPr>
          <w:color w:val="000000"/>
          <w:shd w:fill="C0C0C0" w:val="clear"/>
        </w:rPr>
        <w:t>или свидетельств (сертификатов).</w:t>
      </w:r>
    </w:p>
    <w:p>
      <w:pPr>
        <w:pStyle w:val="ListParagraph"/>
        <w:numPr>
          <w:ilvl w:val="3"/>
          <w:numId w:val="12"/>
        </w:numPr>
        <w:shd w:val="clear" w:color="auto" w:fill="FFFFFF"/>
        <w:tabs>
          <w:tab w:val="clear" w:pos="709"/>
          <w:tab w:val="left" w:pos="1418" w:leader="none"/>
        </w:tabs>
        <w:ind w:left="0" w:firstLine="709"/>
        <w:jc w:val="both"/>
        <w:rPr>
          <w:shd w:fill="C0C0C0" w:val="clear"/>
        </w:rPr>
      </w:pPr>
      <w:r>
        <w:rPr>
          <w:bCs/>
          <w:color w:val="000000"/>
          <w:highlight w:val="lightGray"/>
        </w:rPr>
        <w:t>Обеспечить соблюдение санитарных требований и требований в области охраны окружающей среды к обращению с Отходами, установленных законодательством Российской Федерации.</w:t>
      </w:r>
      <w:r>
        <w:rPr>
          <w:rStyle w:val="FootnoteReference"/>
          <w:bCs/>
          <w:color w:val="000000"/>
          <w:highlight w:val="lightGray"/>
        </w:rPr>
        <w:footnoteReference w:id="9"/>
      </w:r>
    </w:p>
    <w:p>
      <w:pPr>
        <w:pStyle w:val="ListParagraph"/>
        <w:numPr>
          <w:ilvl w:val="2"/>
          <w:numId w:val="12"/>
        </w:numPr>
        <w:shd w:val="clear" w:color="auto" w:fill="FFFFFF"/>
        <w:tabs>
          <w:tab w:val="clear" w:pos="709"/>
          <w:tab w:val="left" w:pos="1418" w:leader="none"/>
        </w:tabs>
        <w:ind w:left="0" w:firstLine="709"/>
        <w:jc w:val="both"/>
        <w:rPr>
          <w:shd w:fill="C0C0C0" w:val="clear"/>
        </w:rPr>
      </w:pPr>
      <w:r>
        <w:rPr>
          <w:highlight w:val="lightGray"/>
        </w:rPr>
        <w:t>Оказывать Заказчику содействие в проведении расследований по случаям захламления земель отходами, загрязнения земель, превышения установленных нормативов сброса и выброса веществ и микроорганизмов в окружающую среду; выделять по требованию Заказчика представителей для совместного расследования случаев нарушения природоохранного законодательства, санитарных норм и правил; представлять Заказчику необходимые документы, материалы и давать объяснения при расследовании вышеуказанных случаев.</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shd w:val="clear" w:color="auto" w:fill="FFFFFF"/>
        <w:tabs>
          <w:tab w:val="clear" w:pos="709"/>
          <w:tab w:val="left" w:pos="1418" w:leader="none"/>
        </w:tabs>
        <w:ind w:left="0" w:firstLine="709"/>
        <w:jc w:val="both"/>
        <w:rPr>
          <w:bCs/>
        </w:rPr>
      </w:pPr>
      <w:r>
        <w:rPr>
          <w:bCs/>
        </w:rPr>
        <w:t>хищении и иных противоправных действиях – в течение 24 (двадцати четырех) часов;</w:t>
      </w:r>
    </w:p>
    <w:p>
      <w:pPr>
        <w:pStyle w:val="ListParagraph"/>
        <w:numPr>
          <w:ilvl w:val="0"/>
          <w:numId w:val="13"/>
        </w:numPr>
        <w:shd w:val="clear" w:color="auto" w:fill="FFFFFF"/>
        <w:tabs>
          <w:tab w:val="clear" w:pos="709"/>
          <w:tab w:val="left" w:pos="1418" w:leader="none"/>
        </w:tabs>
        <w:ind w:left="0" w:firstLine="709"/>
        <w:jc w:val="both"/>
        <w:rPr>
          <w:bCs/>
        </w:rPr>
      </w:pPr>
      <w:r>
        <w:rPr>
          <w:bCs/>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shd w:val="clear" w:color="auto" w:fill="FFFFFF"/>
        <w:tabs>
          <w:tab w:val="clear" w:pos="709"/>
          <w:tab w:val="left" w:pos="1418" w:leader="none"/>
        </w:tabs>
        <w:ind w:left="0" w:firstLine="709"/>
        <w:jc w:val="both"/>
        <w:rPr>
          <w:bCs/>
        </w:rPr>
      </w:pPr>
      <w:r>
        <w:rPr>
          <w:bCs/>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shd w:val="clear" w:color="auto" w:fill="FFFFFF"/>
        <w:tabs>
          <w:tab w:val="clear" w:pos="709"/>
          <w:tab w:val="left" w:pos="1418" w:leader="none"/>
        </w:tabs>
        <w:ind w:left="0" w:firstLine="709"/>
        <w:jc w:val="both"/>
        <w:rPr>
          <w:bCs/>
        </w:rPr>
      </w:pPr>
      <w:r>
        <w:rPr>
          <w:bCs/>
        </w:rPr>
        <w:t>иных обстоятельствах, фактах, сообщениях в средствах массовой информации – в течение 24 (двадцати четырех) часов.</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Нести риск случайной гибели и случайного повреждения мест (помещений), принятых от Заказчика в соответствии с пунктом 2.3.3 Договора, до момента их передачи (возврата) Заказчику по соответствующим актам сдачи-приемки (Приложения № 3.2 к Договору).</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2"/>
        </w:numPr>
        <w:shd w:val="clear" w:color="auto" w:fill="FFFFFF"/>
        <w:tabs>
          <w:tab w:val="clear" w:pos="709"/>
          <w:tab w:val="left" w:pos="1418" w:leader="none"/>
        </w:tabs>
        <w:ind w:left="0" w:firstLine="709"/>
        <w:jc w:val="both"/>
        <w:rPr>
          <w:shd w:fill="C0C0C0" w:val="clear"/>
        </w:rPr>
      </w:pPr>
      <w:r>
        <w:rPr/>
        <w:t xml:space="preserve">Исполнять другие обязанности в соответствии с Договором и законодательством Российской Федерации. </w:t>
      </w:r>
    </w:p>
    <w:p>
      <w:pPr>
        <w:pStyle w:val="ListParagraph"/>
        <w:shd w:val="clear" w:color="auto" w:fill="FFFFFF"/>
        <w:tabs>
          <w:tab w:val="clear" w:pos="709"/>
          <w:tab w:val="left" w:pos="1418" w:leader="none"/>
        </w:tabs>
        <w:ind w:left="709" w:hanging="0"/>
        <w:jc w:val="both"/>
        <w:rPr/>
      </w:pPr>
      <w:r>
        <w:rPr/>
      </w:r>
    </w:p>
    <w:p>
      <w:pPr>
        <w:pStyle w:val="ListParagraph"/>
        <w:numPr>
          <w:ilvl w:val="1"/>
          <w:numId w:val="16"/>
        </w:numPr>
        <w:shd w:val="clear" w:color="auto" w:fill="FFFFFF"/>
        <w:tabs>
          <w:tab w:val="clear" w:pos="709"/>
          <w:tab w:val="left" w:pos="1134" w:leader="none"/>
        </w:tabs>
        <w:ind w:left="0" w:firstLine="709"/>
        <w:jc w:val="both"/>
        <w:rPr/>
      </w:pPr>
      <w:r>
        <w:rPr>
          <w:u w:val="single"/>
        </w:rPr>
        <w:t>Исполнитель имеет право</w:t>
      </w:r>
      <w:r>
        <w:rPr/>
        <w:t>:</w:t>
      </w:r>
    </w:p>
    <w:p>
      <w:pPr>
        <w:pStyle w:val="ListParagraph"/>
        <w:numPr>
          <w:ilvl w:val="2"/>
          <w:numId w:val="17"/>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7"/>
        </w:numPr>
        <w:shd w:val="clear" w:color="auto" w:fill="FFFFFF"/>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r>
        <w:rPr>
          <w:bCs/>
          <w:highlight w:val="lightGray"/>
        </w:rPr>
        <w:t xml:space="preserve"> </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10"/>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3"/>
          <w:numId w:val="17"/>
        </w:numPr>
        <w:ind w:left="0" w:firstLine="709"/>
        <w:jc w:val="both"/>
        <w:rPr/>
      </w:pPr>
      <w:r>
        <w:rPr>
          <w:bCs/>
          <w:highlight w:val="lightGray"/>
        </w:rPr>
        <w:t xml:space="preserve">Исполнитель вправе заключить договор на оказание услуг по обращению с Отходами с третьими лицами с учетом ограничения, предусмотренныхого пунктом 2.4.4 Договора. </w:t>
      </w:r>
    </w:p>
    <w:p>
      <w:pPr>
        <w:pStyle w:val="ListParagraph"/>
        <w:ind w:left="0" w:firstLine="709"/>
        <w:jc w:val="both"/>
        <w:rPr/>
      </w:pPr>
      <w:r>
        <w:rPr>
          <w:bCs/>
          <w:highlight w:val="lightGray"/>
        </w:rPr>
        <w:t>Оплата Услуг по договору, указанному в настоящем пункте Договора, осуществляется Исполнителем с включением расходов по соответствующему договору в Сводный сметный расчет / Объектный сметный расчет с приложениями.</w:t>
      </w:r>
      <w:r>
        <w:rPr>
          <w:rStyle w:val="FootnoteReference"/>
          <w:bCs/>
          <w:highlight w:val="lightGray"/>
        </w:rPr>
        <w:footnoteReference w:id="11"/>
      </w:r>
    </w:p>
    <w:p>
      <w:pPr>
        <w:pStyle w:val="ListParagraph"/>
        <w:numPr>
          <w:ilvl w:val="2"/>
          <w:numId w:val="17"/>
        </w:numPr>
        <w:ind w:left="0" w:firstLine="709"/>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6 к Договору</w:t>
      </w:r>
      <w:r>
        <w:rPr>
          <w:rStyle w:val="FootnoteReference"/>
          <w:bCs/>
          <w:highlight w:val="lightGray"/>
        </w:rPr>
        <w:footnoteReference w:id="12"/>
      </w:r>
      <w:r>
        <w:rPr>
          <w:bCs/>
        </w:rPr>
        <w:t>.</w:t>
      </w:r>
    </w:p>
    <w:p>
      <w:pPr>
        <w:pStyle w:val="ListParagraph"/>
        <w:numPr>
          <w:ilvl w:val="1"/>
          <w:numId w:val="17"/>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17"/>
        </w:numPr>
        <w:shd w:val="clear" w:color="auto" w:fill="FFFFFF"/>
        <w:tabs>
          <w:tab w:val="left" w:pos="709" w:leader="none"/>
          <w:tab w:val="left" w:pos="851" w:leader="none"/>
          <w:tab w:val="left" w:pos="1418" w:leader="none"/>
        </w:tabs>
        <w:ind w:left="0" w:firstLine="709"/>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s>
        <w:ind w:left="0" w:firstLine="709"/>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s>
        <w:ind w:left="0" w:firstLine="709"/>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6 к Договору</w:t>
      </w:r>
      <w:r>
        <w:rPr>
          <w:rStyle w:val="FootnoteReference"/>
          <w:highlight w:val="lightGray"/>
        </w:rPr>
        <w:footnoteReference w:id="13"/>
      </w:r>
      <w:r>
        <w:rPr>
          <w:highlight w:val="lightGray"/>
        </w:rPr>
        <w:t>.</w:t>
      </w:r>
    </w:p>
    <w:p>
      <w:pPr>
        <w:pStyle w:val="ListParagraph"/>
        <w:numPr>
          <w:ilvl w:val="1"/>
          <w:numId w:val="17"/>
        </w:numPr>
        <w:tabs>
          <w:tab w:val="left" w:pos="709" w:leader="none"/>
          <w:tab w:val="left" w:pos="851" w:leader="none"/>
        </w:tabs>
        <w:ind w:left="0" w:firstLine="709"/>
        <w:jc w:val="both"/>
        <w:rPr>
          <w:highlight w:val="lightGray"/>
        </w:rPr>
      </w:pPr>
      <w:r>
        <w:rPr>
          <w:highlight w:val="lightGray"/>
        </w:rPr>
        <w:t xml:space="preserve">В случае нарушения Исполнителем условий, предусмотренных пунктами 2.4.5,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22"/>
        <w:tabs>
          <w:tab w:val="clear" w:pos="360"/>
        </w:tabs>
        <w:rPr>
          <w:rFonts w:ascii="Times New Roman" w:hAnsi="Times New Roman"/>
          <w:sz w:val="24"/>
        </w:rPr>
      </w:pPr>
      <w:r>
        <w:rPr>
          <w:rFonts w:ascii="Times New Roman" w:hAnsi="Times New Roman"/>
          <w:sz w:val="24"/>
        </w:rPr>
      </w:r>
    </w:p>
    <w:p>
      <w:pPr>
        <w:pStyle w:val="ListParagraph"/>
        <w:numPr>
          <w:ilvl w:val="0"/>
          <w:numId w:val="17"/>
        </w:numPr>
        <w:shd w:val="clear" w:color="auto" w:fill="FFFFFF"/>
        <w:tabs>
          <w:tab w:val="clear" w:pos="709"/>
          <w:tab w:val="left" w:pos="284" w:leader="none"/>
        </w:tabs>
        <w:ind w:left="0" w:hanging="0"/>
        <w:jc w:val="center"/>
        <w:rPr>
          <w:b/>
        </w:rPr>
      </w:pPr>
      <w:r>
        <w:rPr>
          <w:b/>
        </w:rPr>
        <w:t>Цена Договора и порядок расчетов</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r>
        <w:rPr/>
        <w:t xml:space="preserve">Цена Договора в соответствии со </w:t>
      </w:r>
      <w:r>
        <w:rPr>
          <w:highlight w:val="lightGray"/>
        </w:rPr>
        <w:t>Сводным расчетом стоимости Услуг с приложениями / Расчетом стоимости Услуг</w:t>
      </w:r>
      <w:r>
        <w:rPr/>
        <w:t xml:space="preserve"> (Приложение № 2 к Договору) является</w:t>
      </w:r>
      <w:r>
        <w:rPr>
          <w:highlight w:val="lightGray"/>
        </w:rPr>
        <w:t xml:space="preserve"> предельной / твердой</w:t>
      </w:r>
      <w:r>
        <w:rPr/>
        <w:t xml:space="preserve"> и составляет __________ (_________________) рублей ___ копеек без учета НДС, при этом НДС исчисляется дополнительно по ставке, установленной статьей 164 Налогового кодекса РФ.</w:t>
      </w:r>
    </w:p>
    <w:p>
      <w:pPr>
        <w:pStyle w:val="ListParagraph"/>
        <w:numPr>
          <w:ilvl w:val="1"/>
          <w:numId w:val="21"/>
        </w:numPr>
        <w:shd w:val="clear" w:color="auto" w:fill="FFFFFF"/>
        <w:tabs>
          <w:tab w:val="clear" w:pos="709"/>
          <w:tab w:val="left" w:pos="284" w:leader="none"/>
          <w:tab w:val="left" w:pos="1134" w:leader="none"/>
        </w:tabs>
        <w:ind w:left="0" w:firstLine="709"/>
        <w:jc w:val="both"/>
        <w:rPr>
          <w:b/>
        </w:rPr>
      </w:pPr>
      <w:bookmarkStart w:id="9" w:name="_Ref361834605"/>
      <w:r>
        <w:rPr>
          <w:bCs/>
          <w:highlight w:val="lightGray"/>
        </w:rPr>
        <w:t xml:space="preserve">Локальные расчеты стоимости подлежат согласованию Сторонами не позднее </w:t>
      </w:r>
      <w:r>
        <w:rPr>
          <w:highlight w:val="lightGray"/>
        </w:rPr>
        <w:t>30</w:t>
      </w:r>
      <w:r>
        <w:rPr>
          <w:bCs/>
          <w:highlight w:val="lightGray"/>
        </w:rPr>
        <w:t xml:space="preserve"> (</w:t>
      </w:r>
      <w:r>
        <w:rPr>
          <w:highlight w:val="lightGray"/>
        </w:rPr>
        <w:t>тридцати</w:t>
      </w:r>
      <w:r>
        <w:rPr>
          <w:bCs/>
          <w:highlight w:val="lightGray"/>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Сводный расчет</w:t>
      </w:r>
      <w:r>
        <w:rPr>
          <w:highlight w:val="lightGray"/>
        </w:rPr>
        <w:t xml:space="preserve"> стоимости Услуг</w:t>
      </w:r>
      <w:r>
        <w:rPr>
          <w:bCs/>
          <w:highlight w:val="lightGray"/>
        </w:rPr>
        <w:t xml:space="preserve"> (Приложение № 2 к Договору) путем заключения дополнительного соглашения к Договору.</w:t>
      </w:r>
      <w:bookmarkEnd w:id="9"/>
    </w:p>
    <w:p>
      <w:pPr>
        <w:pStyle w:val="ListParagraph"/>
        <w:shd w:val="clear" w:color="auto" w:fill="FFFFFF"/>
        <w:tabs>
          <w:tab w:val="clear" w:pos="709"/>
          <w:tab w:val="left" w:pos="1134" w:leader="none"/>
        </w:tabs>
        <w:ind w:left="0" w:firstLine="709"/>
        <w:jc w:val="both"/>
        <w:rPr>
          <w:bCs/>
        </w:rPr>
      </w:pPr>
      <w:r>
        <w:rPr>
          <w:bCs/>
          <w:i/>
          <w:highlight w:val="lightGray"/>
        </w:rPr>
        <w:t>либо</w:t>
      </w:r>
    </w:p>
    <w:p>
      <w:pPr>
        <w:pStyle w:val="ListParagraph"/>
        <w:shd w:val="clear" w:color="auto" w:fill="FFFFFF"/>
        <w:tabs>
          <w:tab w:val="clear" w:pos="709"/>
          <w:tab w:val="left" w:pos="1134" w:leader="none"/>
        </w:tabs>
        <w:ind w:left="0" w:firstLine="709"/>
        <w:jc w:val="both"/>
        <w:rPr>
          <w:bCs/>
        </w:rPr>
      </w:pPr>
      <w:r>
        <w:rPr>
          <w:bCs/>
          <w:highlight w:val="lightGray"/>
        </w:rPr>
        <w:t>Локальные расчеты стоимости являются неотъемлемой частью Сводного расчета стоимости Услуг (Приложение № 2 к Договору)</w:t>
      </w:r>
      <w:r>
        <w:rPr>
          <w:rStyle w:val="FootnoteReference"/>
          <w:bCs/>
        </w:rPr>
        <w:footnoteReference w:id="14"/>
      </w:r>
      <w:r>
        <w:rPr>
          <w:bCs/>
        </w:rPr>
        <w:t>.</w:t>
      </w:r>
    </w:p>
    <w:p>
      <w:pPr>
        <w:pStyle w:val="ListParagraph"/>
        <w:numPr>
          <w:ilvl w:val="1"/>
          <w:numId w:val="21"/>
        </w:numPr>
        <w:shd w:val="clear" w:color="auto" w:fill="FFFFFF"/>
        <w:tabs>
          <w:tab w:val="clear" w:pos="709"/>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4"/>
        </w:numPr>
        <w:shd w:val="clear" w:color="auto" w:fill="FFFFFF"/>
        <w:tabs>
          <w:tab w:val="clear" w:pos="709"/>
          <w:tab w:val="left" w:pos="1418" w:leader="none"/>
        </w:tabs>
        <w:ind w:left="0" w:firstLine="709"/>
        <w:jc w:val="both"/>
        <w:rPr>
          <w:highlight w:val="lightGray"/>
        </w:rPr>
      </w:pPr>
      <w:r>
        <w:rPr>
          <w:highlight w:val="lightGray"/>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9"/>
          <w:tab w:val="left" w:pos="1418" w:leader="none"/>
        </w:tabs>
        <w:ind w:left="0" w:firstLine="709"/>
        <w:jc w:val="both"/>
        <w:rPr>
          <w:highlight w:val="lightGray"/>
        </w:rPr>
      </w:pPr>
      <w:r>
        <w:rPr/>
        <w:t xml:space="preserve">заработную плату, накладные </w:t>
      </w:r>
      <w:r>
        <w:rPr>
          <w:highlight w:val="lightGray"/>
        </w:rPr>
        <w:t>и командировочные расходы, перемещение и размещение персонала Исполнителя</w:t>
      </w:r>
      <w:r>
        <w:rPr/>
        <w:t xml:space="preserve">; </w:t>
      </w:r>
    </w:p>
    <w:p>
      <w:pPr>
        <w:pStyle w:val="ListParagraph"/>
        <w:numPr>
          <w:ilvl w:val="2"/>
          <w:numId w:val="14"/>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4"/>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left" w:pos="709" w:leader="none"/>
          <w:tab w:val="left" w:pos="851" w:leader="none"/>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left" w:pos="709" w:leader="none"/>
          <w:tab w:val="left" w:pos="851" w:leader="none"/>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5"/>
        </w:numPr>
        <w:shd w:val="clear" w:color="auto" w:fill="FFFFFF"/>
        <w:tabs>
          <w:tab w:val="left" w:pos="709" w:leader="none"/>
          <w:tab w:val="left" w:pos="851" w:leader="none"/>
          <w:tab w:val="left" w:pos="1134" w:leader="none"/>
          <w:tab w:val="left" w:pos="1418" w:leader="none"/>
        </w:tabs>
        <w:ind w:left="0" w:firstLine="709"/>
        <w:jc w:val="both"/>
        <w:rPr/>
      </w:pPr>
      <w:bookmarkStart w:id="11" w:name="_Ref373240288"/>
      <w:r>
        <w:rPr>
          <w:bCs/>
        </w:rPr>
        <w:t xml:space="preserve">Авансовый платеж </w:t>
      </w:r>
      <w:r>
        <w:rPr/>
        <w:t xml:space="preserve">в размере </w:t>
      </w:r>
      <w:r>
        <w:rPr>
          <w:highlight w:val="lightGray"/>
        </w:rPr>
        <w:t>10 (десяти) процентов</w:t>
      </w:r>
      <w:r>
        <w:rPr/>
        <w:t xml:space="preserve"> от стоимости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выплачивается Исполнителю в течение 30 (тридцати) календарных дней с даты получения Заказчиком счета, выставленного Исполнителем, </w:t>
      </w:r>
      <w:r>
        <w:rPr>
          <w:highlight w:val="lightGray"/>
        </w:rPr>
        <w:t xml:space="preserve">при условии согласования Сторонами локальных расчётов стоимости Услуг в соответствии с пунктом </w:t>
      </w:r>
      <w:r>
        <w:rPr>
          <w:highlight w:val="lightGray"/>
        </w:rPr>
        <w:fldChar w:fldCharType="begin"/>
      </w:r>
      <w:r>
        <w:rPr>
          <w:highlight w:val="lightGray"/>
        </w:rPr>
        <w:instrText xml:space="preserve"> REF _Ref361834605 \r \h </w:instrText>
      </w:r>
      <w:r>
        <w:rPr>
          <w:highlight w:val="lightGray"/>
        </w:rPr>
        <w:fldChar w:fldCharType="separate"/>
      </w:r>
      <w:r>
        <w:rPr>
          <w:highlight w:val="lightGray"/>
        </w:rPr>
        <w:t>3.2</w:t>
      </w:r>
      <w:r>
        <w:rPr>
          <w:highlight w:val="lightGray"/>
        </w:rPr>
        <w:fldChar w:fldCharType="end"/>
      </w:r>
      <w:r>
        <w:rPr>
          <w:highlight w:val="lightGray"/>
        </w:rPr>
        <w:t>2 Договора</w:t>
      </w:r>
      <w:r>
        <w:rPr>
          <w:rStyle w:val="FootnoteReference"/>
        </w:rPr>
        <w:footnoteReference w:id="15"/>
      </w:r>
      <w:r>
        <w:rPr/>
        <w:t xml:space="preserve">, но не ранее чем за 30 (тридцать) календарных дней до даты начала оказания Услуг и с учетом пункта 3.5.3 Договора. </w:t>
      </w:r>
      <w:bookmarkEnd w:id="11"/>
    </w:p>
    <w:p>
      <w:pPr>
        <w:pStyle w:val="ListParagraph"/>
        <w:numPr>
          <w:ilvl w:val="2"/>
          <w:numId w:val="15"/>
        </w:numPr>
        <w:shd w:val="clear" w:color="auto" w:fill="FFFFFF"/>
        <w:tabs>
          <w:tab w:val="left" w:pos="709" w:leader="none"/>
          <w:tab w:val="left" w:pos="851" w:leader="none"/>
          <w:tab w:val="left" w:pos="1134" w:leader="none"/>
          <w:tab w:val="left" w:pos="1418" w:leader="none"/>
        </w:tabs>
        <w:ind w:left="0" w:firstLine="709"/>
        <w:jc w:val="both"/>
        <w:rPr/>
      </w:pPr>
      <w:r>
        <w:rPr/>
        <w:t xml:space="preserve">Последующий платеж в размере разницы между стоимостью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w:t>
      </w:r>
      <w:r>
        <w:rPr>
          <w:highlight w:val="lightGray"/>
        </w:rPr>
        <w:t>20 (двадцати) календарных дней</w:t>
      </w:r>
      <w:r>
        <w:rPr>
          <w:rStyle w:val="FootnoteReference"/>
          <w:highlight w:val="lightGray"/>
        </w:rPr>
        <w:footnoteReference w:id="16"/>
      </w:r>
      <w:r>
        <w:rPr/>
        <w:t xml:space="preserve"> / </w:t>
      </w:r>
      <w:r>
        <w:rPr>
          <w:highlight w:val="lightGray"/>
        </w:rPr>
        <w:t>45 (сорока пяти) календарных дней</w:t>
      </w:r>
      <w:r>
        <w:rPr>
          <w:rStyle w:val="FootnoteReference"/>
          <w:highlight w:val="lightGray"/>
        </w:rPr>
        <w:footnoteReference w:id="17"/>
      </w:r>
      <w:r>
        <w:rPr/>
        <w:t xml:space="preserve"> / </w:t>
      </w:r>
      <w:r>
        <w:rPr>
          <w:highlight w:val="lightGray"/>
        </w:rPr>
        <w:t>7 (семи) рабочих дней</w:t>
      </w:r>
      <w:r>
        <w:rPr>
          <w:rStyle w:val="FootnoteReference"/>
          <w:highlight w:val="lightGray"/>
        </w:rPr>
        <w:footnoteReference w:id="18"/>
      </w:r>
      <w:r>
        <w:rPr/>
        <w:t xml:space="preserve"> с даты подписания Сторонами документов, указанных в пункте 4.1 Договора, на основании счета, выставленного Исполнителем, и с учетом пункта 3.5.3 Договора.</w:t>
      </w:r>
    </w:p>
    <w:p>
      <w:pPr>
        <w:pStyle w:val="ListParagraph"/>
        <w:numPr>
          <w:ilvl w:val="2"/>
          <w:numId w:val="15"/>
        </w:numPr>
        <w:shd w:val="clear" w:color="auto" w:fill="FFFFFF"/>
        <w:tabs>
          <w:tab w:val="left" w:pos="709" w:leader="none"/>
          <w:tab w:val="left" w:pos="851" w:leader="none"/>
          <w:tab w:val="left" w:pos="1134" w:leader="none"/>
          <w:tab w:val="left" w:pos="1418" w:leader="none"/>
        </w:tabs>
        <w:ind w:left="0" w:firstLine="709"/>
        <w:jc w:val="both"/>
        <w:rPr/>
      </w:pPr>
      <w:bookmarkStart w:id="12" w:name="_Ref372549497"/>
      <w:bookmarkStart w:id="13" w:name="_Ref361834178_Копия_1"/>
      <w:bookmarkEnd w:id="13"/>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2"/>
      <w:r>
        <w:rPr/>
        <w:t xml:space="preserve"> </w:t>
      </w:r>
    </w:p>
    <w:p>
      <w:pPr>
        <w:pStyle w:val="ListParagraph"/>
        <w:numPr>
          <w:ilvl w:val="1"/>
          <w:numId w:val="15"/>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clear" w:pos="709"/>
          <w:tab w:val="left" w:pos="1134" w:leader="none"/>
        </w:tabs>
        <w:ind w:left="0" w:firstLine="709"/>
        <w:jc w:val="both"/>
        <w:rPr/>
      </w:pPr>
      <w:r>
        <w:rPr/>
        <w:t xml:space="preserve">За исключением случая, указанного в пункте 2.3.15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clear" w:pos="709"/>
          <w:tab w:val="left" w:pos="1134" w:leader="none"/>
        </w:tabs>
        <w:ind w:left="0" w:firstLine="709"/>
        <w:jc w:val="both"/>
        <w:rPr/>
      </w:pPr>
      <w:r>
        <w:rPr>
          <w:highlight w:val="lightGray"/>
        </w:rPr>
        <w:t>Командировочные расходы включаются в стоимость Услуг в соответствии с расчетом, прилагаемым к Сводному расчету стоимости Услуг (Приложение № 2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стоимости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15"/>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5"/>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5"/>
        </w:numPr>
        <w:shd w:val="clear" w:color="auto" w:fill="FFFFFF"/>
        <w:tabs>
          <w:tab w:val="clear" w:pos="709"/>
          <w:tab w:val="left" w:pos="284" w:leader="none"/>
        </w:tabs>
        <w:ind w:left="0" w:hanging="0"/>
        <w:jc w:val="center"/>
        <w:rPr>
          <w:b/>
        </w:rPr>
      </w:pPr>
      <w:r>
        <w:rPr>
          <w:b/>
        </w:rPr>
        <w:t>Порядок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 xml:space="preserve">По окончании оказания Услуг Исполнитель в течение </w:t>
      </w:r>
      <w:r>
        <w:rPr>
          <w:highlight w:val="lightGray"/>
        </w:rPr>
        <w:t>3 (трех) рабочих дней</w:t>
      </w:r>
      <w:r>
        <w:rPr/>
        <w:t xml:space="preserve"> предоставляет Заказчику подписанные со своей стороны в 2 (двух) экземплярах Акты об оказании Услуг по форме Приложения № 4 к Договору/УПД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4" w:name="_Ref372745126"/>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4"/>
      <w:r>
        <w:rPr/>
        <w:t xml:space="preserve">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5"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6" w:name="_Ref361337525"/>
      <w:bookmarkEnd w:id="15"/>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9"/>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Сторонами Акта об оказании Услуг/УПД.</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6"/>
    </w:p>
    <w:p>
      <w:pPr>
        <w:pStyle w:val="ListParagraph"/>
        <w:shd w:val="clear" w:color="auto" w:fill="FFFFFF"/>
        <w:tabs>
          <w:tab w:val="clear" w:pos="709"/>
          <w:tab w:val="left" w:pos="1134" w:leader="none"/>
        </w:tabs>
        <w:ind w:left="0" w:firstLine="709"/>
        <w:jc w:val="both"/>
        <w:rPr/>
      </w:pPr>
      <w:r>
        <w:rPr/>
      </w:r>
    </w:p>
    <w:p>
      <w:pPr>
        <w:pStyle w:val="ListParagraph"/>
        <w:numPr>
          <w:ilvl w:val="0"/>
          <w:numId w:val="19"/>
        </w:numPr>
        <w:shd w:val="clear" w:color="auto" w:fill="FFFFFF"/>
        <w:tabs>
          <w:tab w:val="clear" w:pos="709"/>
          <w:tab w:val="left" w:pos="284" w:leader="none"/>
        </w:tabs>
        <w:ind w:left="0" w:hanging="0"/>
        <w:jc w:val="center"/>
        <w:rPr>
          <w:b/>
        </w:rPr>
      </w:pPr>
      <w:r>
        <w:rPr>
          <w:b/>
        </w:rPr>
        <w:t>Ответственность Сторон</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неустойки в размере 0,1 (ноль целых и одна десятая) процента от Цены Договора за каждый день просрочки</w:t>
      </w:r>
      <w:r>
        <w:rPr>
          <w:rFonts w:eastAsia="Calibri"/>
        </w:rPr>
        <w:t>.</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bCs/>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w:t>
      </w:r>
      <w:r>
        <w:rPr>
          <w:bCs/>
          <w:shd w:fill="C0C0C0" w:val="clear"/>
        </w:rPr>
        <w:t>экологических, санитарно-</w:t>
      </w:r>
      <w:r>
        <w:rPr>
          <w:bCs/>
          <w:color w:val="000000"/>
          <w:shd w:fill="C0C0C0" w:val="clear"/>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bCs/>
          <w:color w:val="000000"/>
          <w:shd w:fill="C0C0C0" w:val="clear"/>
        </w:rPr>
        <w:footnoteReference w:id="19"/>
      </w:r>
      <w:r>
        <w:rPr>
          <w:bCs/>
          <w:color w:val="000000"/>
          <w:shd w:fill="C0C0C0" w:val="clear"/>
        </w:rPr>
        <w:t>,</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fill="C0C0C0" w:val="clear"/>
        </w:rPr>
        <w:t xml:space="preserve">включая реальный ущерб в виде возмещения расходов по уплате </w:t>
      </w:r>
      <w:r>
        <w:rPr>
          <w:bCs/>
          <w:color w:val="000000"/>
          <w:shd w:fill="C0C0C0" w:val="clear"/>
        </w:rPr>
        <w:t>соответствующих</w:t>
      </w:r>
      <w:r>
        <w:rPr>
          <w:bCs/>
          <w:shd w:fill="C0C0C0" w:val="clear"/>
        </w:rPr>
        <w:t xml:space="preserve"> административных штрафов</w:t>
      </w:r>
      <w:r>
        <w:rPr>
          <w:rStyle w:val="FootnoteReference"/>
          <w:bCs/>
          <w:shd w:fill="C0C0C0" w:val="clear"/>
        </w:rPr>
        <w:footnoteReference w:id="20"/>
      </w:r>
      <w:r>
        <w:rPr>
          <w:bCs/>
          <w:shd w:fill="C0C0C0" w:val="clear"/>
        </w:rPr>
        <w:t xml:space="preserve">, </w:t>
      </w:r>
      <w:r>
        <w:rPr>
          <w:bCs/>
        </w:rPr>
        <w:t xml:space="preserve">вправе требовать уплаты Исполнителем штрафа в размерах, установленных Приложением № 5 к Договору. </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9"/>
        </w:numPr>
        <w:shd w:val="clear" w:color="auto" w:fill="FFFFFF"/>
        <w:tabs>
          <w:tab w:val="clear" w:pos="709"/>
          <w:tab w:val="left" w:pos="284" w:leader="none"/>
          <w:tab w:val="left" w:pos="1134" w:leader="none"/>
        </w:tabs>
        <w:ind w:left="0" w:firstLine="709"/>
        <w:jc w:val="both"/>
        <w:rPr>
          <w:b/>
        </w:rPr>
      </w:pPr>
      <w:r>
        <w:rPr>
          <w:szCs w:val="28"/>
          <w:highlight w:val="lightGray"/>
        </w:rPr>
        <w:t>В случае если неисполнение / ненадлежащее исполнение Исполнителем обязательств по Договору повлекло за собой нарушение Заказчиком обязательств на оптовом и / или розничных рынках электрической энергии и мощности, Исполнитель несет ответственность перед Заказчиком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Заказчиком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Исполнителем своих обязательств.</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Кроме суммы реального ущерба, Исполнитель компенсирует Заказчику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shd w:val="clear" w:color="auto" w:fill="FFFFFF"/>
        <w:tabs>
          <w:tab w:val="clear" w:pos="709"/>
          <w:tab w:val="left" w:pos="1134" w:leader="none"/>
        </w:tabs>
        <w:ind w:firstLine="709"/>
        <w:jc w:val="both"/>
        <w:rPr>
          <w:bCs/>
          <w:highlight w:val="lightGray"/>
          <w:lang w:val="ru-RU"/>
        </w:rPr>
      </w:pPr>
      <w:r>
        <w:rPr>
          <w:szCs w:val="28"/>
          <w:highlight w:val="lightGray"/>
          <w:lang w:val="ru-RU"/>
        </w:rPr>
        <w:t>Размер упущенной выгоды (выручки) подтверждается (по выбору Заказчика):</w:t>
      </w:r>
    </w:p>
    <w:p>
      <w:pPr>
        <w:pStyle w:val="Normal"/>
        <w:numPr>
          <w:ilvl w:val="0"/>
          <w:numId w:val="25"/>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szCs w:val="28"/>
          <w:highlight w:val="lightGray"/>
          <w:lang w:val="ru-RU"/>
        </w:rPr>
        <w:t>в ценовой зоне оптового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rPr>
      </w:pPr>
      <w:r>
        <w:rPr>
          <w:szCs w:val="28"/>
          <w:highlight w:val="lightGray"/>
          <w:lang w:val="ru-RU"/>
        </w:rPr>
        <w:t xml:space="preserve">расчетом, подготовленным Заказчиком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w:t>
      </w:r>
      <w:r>
        <w:rPr>
          <w:szCs w:val="28"/>
          <w:highlight w:val="lightGray"/>
        </w:rPr>
        <w:t>(далее – Ассоциация «НП Совета рынка»).</w:t>
      </w:r>
    </w:p>
    <w:p>
      <w:pPr>
        <w:pStyle w:val="Normal"/>
        <w:numPr>
          <w:ilvl w:val="0"/>
          <w:numId w:val="25"/>
        </w:numPr>
        <w:shd w:val="clear" w:color="auto" w:fill="D9D9D9" w:themeFill="background1" w:themeFillShade="d9"/>
        <w:tabs>
          <w:tab w:val="clear" w:pos="709"/>
          <w:tab w:val="left" w:pos="1134" w:leader="none"/>
        </w:tabs>
        <w:spacing w:lineRule="auto" w:line="259"/>
        <w:ind w:left="0" w:firstLine="709"/>
        <w:jc w:val="both"/>
        <w:rPr>
          <w:szCs w:val="28"/>
          <w:highlight w:val="lightGray"/>
          <w:lang w:val="ru-RU"/>
        </w:rPr>
      </w:pPr>
      <w:r>
        <w:rPr>
          <w:highlight w:val="lightGray"/>
          <w:lang w:val="ru-RU"/>
        </w:rPr>
        <w:t>в о</w:t>
      </w:r>
      <w:r>
        <w:rPr>
          <w:szCs w:val="28"/>
          <w:highlight w:val="lightGray"/>
          <w:lang w:val="ru-RU"/>
        </w:rPr>
        <w:t xml:space="preserve">тдельной территории ценовой зоны оптового рынка, ранее относившейся к  неценовой зоне оптового рынка Дальнего Востока: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Заказчиком на основании Методики (Приложение № 7 к Договору);</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расчетом, подготовленным Коммерческим оператором оптового рынка; </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и / или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расчетом, подготовленным Заказчиком на основании методики, утвержденной Наблюдательным советом Ассоциации «НП Совет рынка».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В отношении вновь вводимого оборудования ГЭС / ГАЭС – объектов ДПМ, ДПМ ВИЭ в ценовых зонах ОРЭМ Исполнитель дополнительно компенсирует Заказчику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В отношении </w:t>
      </w:r>
      <w:r>
        <w:rPr>
          <w:highlight w:val="lightGray"/>
          <w:lang w:val="ru-RU"/>
        </w:rPr>
        <w:t xml:space="preserve">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highlight w:val="lightGray"/>
          <w:shd w:fill="CCCCCC" w:val="clear"/>
          <w:lang w:val="ru-RU"/>
        </w:rPr>
        <w:t xml:space="preserve">оптового рынка </w:t>
      </w:r>
      <w:r>
        <w:rPr>
          <w:highlight w:val="lightGray"/>
          <w:lang w:val="ru-RU"/>
        </w:rPr>
        <w:t xml:space="preserve">Дальнего Востока Подрядчик дополнительно компенсирует Заказчику упущенную выгоду (выручку) в </w:t>
      </w:r>
      <w:r>
        <w:rPr>
          <w:szCs w:val="28"/>
          <w:highlight w:val="lightGray"/>
          <w:lang w:val="ru-RU"/>
        </w:rPr>
        <w:t xml:space="preserve">связи: </w:t>
      </w:r>
    </w:p>
    <w:p>
      <w:pPr>
        <w:pStyle w:val="ListParagraph"/>
        <w:shd w:val="clear" w:color="auto" w:fill="D9D9D9" w:themeFill="background1" w:themeFillShade="d9"/>
        <w:tabs>
          <w:tab w:val="clear" w:pos="709"/>
          <w:tab w:val="left" w:pos="1134" w:leader="none"/>
        </w:tabs>
        <w:ind w:left="0" w:firstLine="709"/>
        <w:jc w:val="both"/>
        <w:rPr>
          <w:szCs w:val="28"/>
          <w:highlight w:val="lightGray"/>
        </w:rPr>
      </w:pPr>
      <w:r>
        <w:rPr>
          <w:szCs w:val="28"/>
          <w:highlight w:val="lightGray"/>
        </w:rPr>
        <w:t>5.8.1. С неоплатой мощности из-за просрочки исполнения обязательства по поставке мощности от модернизированного объекта.</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 xml:space="preserve">Размер упущенной выгоды для каждого месяца просрочки определяется </w:t>
      </w:r>
      <w:r>
        <w:rPr>
          <w:highlight w:val="lightGray"/>
          <w:lang w:val="ru-RU"/>
        </w:rPr>
        <w:t>в соответствии с Правилами ОРЭМ.</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highlight w:val="lightGray"/>
          <w:lang w:val="ru-RU"/>
        </w:rPr>
        <w:t>5.8.2.</w:t>
        <w:tab/>
      </w:r>
      <w:r>
        <w:rPr>
          <w:szCs w:val="28"/>
          <w:highlight w:val="lightGray"/>
          <w:lang w:val="ru-RU"/>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Normal"/>
        <w:shd w:val="clear" w:color="auto" w:fill="D9D9D9" w:themeFill="background1" w:themeFillShade="d9"/>
        <w:tabs>
          <w:tab w:val="clear" w:pos="709"/>
          <w:tab w:val="left" w:pos="1134" w:leader="none"/>
        </w:tabs>
        <w:ind w:firstLine="709"/>
        <w:jc w:val="both"/>
        <w:rPr>
          <w:szCs w:val="28"/>
          <w:highlight w:val="lightGray"/>
          <w:lang w:val="ru-RU"/>
        </w:rPr>
      </w:pPr>
      <w:r>
        <w:rPr>
          <w:szCs w:val="28"/>
          <w:highlight w:val="lightGray"/>
          <w:lang w:val="ru-RU"/>
        </w:rPr>
        <w:t>5.8.3.</w:t>
        <w:tab/>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FootnoteReference"/>
          <w:szCs w:val="28"/>
          <w:highlight w:val="lightGray"/>
        </w:rPr>
        <w:footnoteReference w:id="21"/>
      </w:r>
      <w:r>
        <w:rPr>
          <w:szCs w:val="28"/>
          <w:highlight w:val="lightGray"/>
          <w:lang w:val="ru-RU"/>
        </w:rPr>
        <w:t>.</w:t>
      </w:r>
    </w:p>
    <w:p>
      <w:pPr>
        <w:pStyle w:val="Normal"/>
        <w:shd w:val="clear" w:color="auto" w:fill="D9D9D9" w:themeFill="background1" w:themeFillShade="d9"/>
        <w:tabs>
          <w:tab w:val="clear" w:pos="709"/>
          <w:tab w:val="left" w:pos="1134" w:leader="none"/>
        </w:tabs>
        <w:ind w:firstLine="709"/>
        <w:jc w:val="both"/>
        <w:rPr>
          <w:szCs w:val="28"/>
          <w:lang w:val="ru-RU"/>
        </w:rPr>
      </w:pPr>
      <w:r>
        <w:rPr>
          <w:szCs w:val="28"/>
          <w:highlight w:val="lightGray"/>
          <w:lang w:val="ru-RU"/>
        </w:rPr>
        <w:t xml:space="preserve">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highlight w:val="lightGray"/>
          <w:lang w:val="ru-RU"/>
        </w:rPr>
        <w:t xml:space="preserve">оптового рынка </w:t>
      </w:r>
      <w:r>
        <w:rPr>
          <w:szCs w:val="28"/>
          <w:highlight w:val="lightGray"/>
          <w:lang w:val="ru-RU"/>
        </w:rPr>
        <w:t>Дальнего Востока изложена в Приложении № 7 к Договору.</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lang w:val="ru-RU"/>
        </w:rPr>
        <w:t>Исполнитель</w:t>
      </w:r>
      <w:r>
        <w:rPr>
          <w:bCs/>
          <w:lang w:val="ru-RU"/>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lang w:val="ru-RU"/>
        </w:rPr>
        <w:t>Исполнителе</w:t>
      </w:r>
      <w:r>
        <w:rPr>
          <w:bCs/>
          <w:lang w:val="ru-RU"/>
        </w:rPr>
        <w:t>м своих обязательств, произведенных для восстановления нарушенного права, а также упущенной выгоды.</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bCs/>
          <w:lang w:val="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bCs/>
          <w:lang w:val="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bCs/>
          <w:lang w:val="ru-RU"/>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Normal"/>
        <w:numPr>
          <w:ilvl w:val="1"/>
          <w:numId w:val="19"/>
        </w:numPr>
        <w:shd w:val="clear" w:color="auto" w:fill="D9D9D9" w:themeFill="background1" w:themeFillShade="d9"/>
        <w:tabs>
          <w:tab w:val="clear" w:pos="709"/>
          <w:tab w:val="left" w:pos="1134" w:leader="none"/>
        </w:tabs>
        <w:ind w:left="0" w:firstLine="709"/>
        <w:jc w:val="both"/>
        <w:rPr>
          <w:szCs w:val="28"/>
          <w:lang w:val="ru-RU"/>
        </w:rPr>
      </w:pPr>
      <w:r>
        <w:rPr>
          <w:lang w:val="ru-RU"/>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20"/>
        </w:numPr>
        <w:shd w:val="clear" w:color="auto" w:fill="FFFFFF"/>
        <w:tabs>
          <w:tab w:val="clear" w:pos="709"/>
          <w:tab w:val="left" w:pos="284" w:leader="none"/>
        </w:tabs>
        <w:ind w:left="0" w:hanging="0"/>
        <w:jc w:val="center"/>
        <w:rPr>
          <w:b/>
        </w:rPr>
      </w:pPr>
      <w:r>
        <w:rPr>
          <w:b/>
        </w:rPr>
        <w:t>Исключительные права и патенты</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7"/>
        </w:numPr>
        <w:shd w:val="clear" w:color="auto" w:fill="FFFFFF"/>
        <w:tabs>
          <w:tab w:val="clear" w:pos="709"/>
          <w:tab w:val="left" w:pos="284" w:leader="none"/>
          <w:tab w:val="left" w:pos="1134" w:leader="none"/>
        </w:tabs>
        <w:ind w:left="0" w:firstLine="709"/>
        <w:jc w:val="both"/>
        <w:rPr>
          <w:b/>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слуг/УПД.</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22"/>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shd w:val="clear" w:color="auto" w:fill="FFFFFF"/>
        <w:tabs>
          <w:tab w:val="clear" w:pos="709"/>
          <w:tab w:val="left" w:pos="1134" w:leader="none"/>
        </w:tabs>
        <w:ind w:left="0" w:firstLine="709"/>
        <w:jc w:val="both"/>
        <w:rPr>
          <w:bCs/>
        </w:rPr>
      </w:pPr>
      <w:bookmarkStart w:id="1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7"/>
      <w:r>
        <w:rPr>
          <w:bCs/>
        </w:rPr>
        <w:t xml:space="preserve"> </w:t>
      </w:r>
    </w:p>
    <w:p>
      <w:pPr>
        <w:pStyle w:val="ListParagraph"/>
        <w:numPr>
          <w:ilvl w:val="2"/>
          <w:numId w:val="22"/>
        </w:numPr>
        <w:shd w:val="clear" w:color="auto" w:fill="FFFFFF"/>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shd w:val="clear" w:color="auto" w:fill="FFFFFF"/>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shd w:val="clear" w:color="auto" w:fill="FFFFFF"/>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shd w:val="clear" w:color="auto" w:fill="FFFFFF"/>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shd w:val="clear" w:color="auto" w:fill="FFFFFF"/>
        <w:tabs>
          <w:tab w:val="clear" w:pos="709"/>
          <w:tab w:val="left" w:pos="1134" w:leader="none"/>
        </w:tabs>
        <w:ind w:left="0" w:firstLine="709"/>
        <w:jc w:val="both"/>
        <w:rPr>
          <w:bCs/>
        </w:rPr>
      </w:pPr>
      <w:bookmarkStart w:id="1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8"/>
    </w:p>
    <w:p>
      <w:pPr>
        <w:pStyle w:val="ListParagraph"/>
        <w:numPr>
          <w:ilvl w:val="2"/>
          <w:numId w:val="22"/>
        </w:numPr>
        <w:shd w:val="clear" w:color="auto" w:fill="FFFFFF"/>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shd w:val="clear" w:color="auto" w:fill="FFFFFF"/>
        <w:tabs>
          <w:tab w:val="clear" w:pos="709"/>
          <w:tab w:val="left" w:pos="1134" w:leader="none"/>
        </w:tabs>
        <w:ind w:left="0" w:firstLine="709"/>
        <w:jc w:val="both"/>
        <w:rPr>
          <w:bCs/>
        </w:rPr>
      </w:pPr>
      <w:bookmarkStart w:id="1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9"/>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22"/>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highlight w:val="lightGray"/>
        </w:rPr>
        <w:footnoteReference w:id="22"/>
      </w:r>
      <w:r>
        <w:rPr>
          <w:bCs/>
        </w:rPr>
        <w:t xml:space="preserve"> в соответствии с законодательством Российской Федерации.</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22"/>
        </w:numPr>
        <w:shd w:val="clear" w:color="auto" w:fill="FFFFFF"/>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2"/>
        </w:numPr>
        <w:shd w:val="clear" w:color="auto" w:fill="FFFFFF"/>
        <w:tabs>
          <w:tab w:val="clear" w:pos="709"/>
          <w:tab w:val="left" w:pos="1134" w:leader="none"/>
        </w:tabs>
        <w:ind w:left="0" w:firstLine="709"/>
        <w:jc w:val="both"/>
        <w:rPr>
          <w:bCs/>
          <w:color w:val="000000"/>
        </w:rPr>
      </w:pPr>
      <w:r>
        <w:rPr>
          <w:color w:val="000000"/>
        </w:rPr>
        <w:t xml:space="preserve">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en-US"/>
        </w:rPr>
        <w:t>9</w:t>
      </w:r>
      <w:r>
        <w:rPr>
          <w:lang w:val="ru-RU"/>
        </w:rPr>
        <w:t xml:space="preserve">.7.1.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en-US"/>
        </w:rPr>
        <w:t>9</w:t>
      </w:r>
      <w:r>
        <w:rPr>
          <w:lang w:val="ru-RU"/>
        </w:rPr>
        <w:t xml:space="preserve">.7.2. Специальная форма «обратной связи», размещенная на официальном сайте ПАО «РусГидро»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en-US"/>
        </w:rPr>
        <w:t>9</w:t>
      </w:r>
      <w:r>
        <w:rPr>
          <w:lang w:val="ru-RU"/>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134"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s>
        <w:ind w:left="0" w:firstLine="709"/>
        <w:jc w:val="both"/>
        <w:rPr/>
      </w:pPr>
      <w:r>
        <w:rPr/>
      </w:r>
    </w:p>
    <w:p>
      <w:pPr>
        <w:pStyle w:val="ListParagraph"/>
        <w:numPr>
          <w:ilvl w:val="0"/>
          <w:numId w:val="22"/>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2"/>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20"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11.3 Договора.</w:t>
      </w:r>
      <w:bookmarkEnd w:id="20"/>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1134"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22"/>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426" w:leader="none"/>
        </w:tabs>
        <w:ind w:left="0" w:firstLine="709"/>
        <w:jc w:val="both"/>
        <w:rPr>
          <w:b/>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несоблюдение требований в области обращения с отходами I-IV классов опасности, экологических, санитарно-эпидемиологических требований и иных требований </w:t>
      </w:r>
      <w:r>
        <w:rPr>
          <w:color w:val="000000"/>
          <w:highlight w:val="lightGray"/>
          <w:shd w:fill="C0C0C0" w:val="clear"/>
        </w:rPr>
        <w:t>в области охраны окружающей среды</w:t>
      </w:r>
      <w:r>
        <w:rPr>
          <w:highlight w:val="lightGray"/>
        </w:rPr>
        <w:t xml:space="preserve"> </w:t>
      </w:r>
      <w:r>
        <w:rPr>
          <w:color w:val="000000"/>
          <w:highlight w:val="lightGray"/>
          <w:shd w:fill="C0C0C0" w:val="clear"/>
        </w:rPr>
        <w:t>к обращению с отходами</w:t>
      </w:r>
      <w:r>
        <w:rPr>
          <w:highlight w:val="lightGray"/>
        </w:rPr>
        <w:t>, установленных законодательством Российской Федерации об автомобильном, железнодорожном, воздушном, внутреннем водном и морском транспорте, установленное или подтвержденное решениями компетентных органов</w:t>
      </w:r>
      <w:r>
        <w:rPr>
          <w:rStyle w:val="FootnoteReference"/>
          <w:highlight w:val="lightGray"/>
        </w:rPr>
        <w:footnoteReference w:id="23"/>
      </w:r>
      <w:r>
        <w:rPr>
          <w:highlight w:val="lightGray"/>
        </w:rPr>
        <w:t>;</w:t>
      </w:r>
    </w:p>
    <w:p>
      <w:pPr>
        <w:pStyle w:val="ListParagraph"/>
        <w:numPr>
          <w:ilvl w:val="0"/>
          <w:numId w:val="6"/>
        </w:numPr>
        <w:tabs>
          <w:tab w:val="clear" w:pos="709"/>
          <w:tab w:val="left" w:pos="1134" w:leader="none"/>
        </w:tabs>
        <w:ind w:left="0" w:firstLine="709"/>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 xml:space="preserve">вывезти с места оказания Услуг оборудование и персонал Исполнителя; </w:t>
      </w:r>
    </w:p>
    <w:p>
      <w:pPr>
        <w:pStyle w:val="ListParagraph"/>
        <w:numPr>
          <w:ilvl w:val="0"/>
          <w:numId w:val="11"/>
        </w:numPr>
        <w:shd w:val="clear" w:color="auto" w:fill="FFFFFF"/>
        <w:tabs>
          <w:tab w:val="clear" w:pos="709"/>
          <w:tab w:val="left" w:pos="1134" w:leader="none"/>
          <w:tab w:val="left" w:pos="1418" w:leader="none"/>
        </w:tabs>
        <w:ind w:left="0" w:firstLine="709"/>
        <w:jc w:val="both"/>
        <w:rPr>
          <w:highlight w:val="lightGray"/>
        </w:rPr>
      </w:pPr>
      <w:r>
        <w:rPr>
          <w:highlight w:val="lightGray"/>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2"/>
        </w:numPr>
        <w:shd w:val="clear" w:color="auto" w:fill="FFFFFF"/>
        <w:tabs>
          <w:tab w:val="clear" w:pos="709"/>
          <w:tab w:val="left" w:pos="426" w:leader="none"/>
        </w:tabs>
        <w:ind w:left="0" w:firstLine="709"/>
        <w:jc w:val="both"/>
        <w:rPr>
          <w:b/>
          <w:bCs/>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left="0" w:firstLine="709"/>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24"/>
      </w:r>
      <w:r>
        <w:rPr>
          <w:highlight w:val="lightGray"/>
          <w:lang w:val="ru-RU" w:eastAsia="en-US"/>
        </w:rPr>
        <w:t>.</w:t>
      </w:r>
    </w:p>
    <w:p>
      <w:pPr>
        <w:pStyle w:val="ListParagraph"/>
        <w:numPr>
          <w:ilvl w:val="1"/>
          <w:numId w:val="22"/>
        </w:numPr>
        <w:shd w:val="clear" w:color="auto" w:fill="FFFFFF"/>
        <w:tabs>
          <w:tab w:val="clear" w:pos="709"/>
          <w:tab w:val="left" w:pos="426" w:leader="none"/>
        </w:tabs>
        <w:ind w:left="0" w:firstLine="709"/>
        <w:jc w:val="both"/>
        <w:rPr>
          <w:b/>
          <w:bCs/>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clear" w:pos="709"/>
          <w:tab w:val="left" w:pos="426" w:leader="none"/>
        </w:tabs>
        <w:ind w:left="0" w:firstLine="709"/>
        <w:jc w:val="both"/>
        <w:rPr>
          <w:b/>
          <w:bCs/>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clear" w:pos="709"/>
          <w:tab w:val="left" w:pos="426" w:leader="none"/>
        </w:tabs>
        <w:ind w:left="0" w:firstLine="709"/>
        <w:jc w:val="both"/>
        <w:rPr>
          <w:b/>
          <w:bCs/>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clear" w:pos="709"/>
          <w:tab w:val="left" w:pos="426" w:leader="none"/>
        </w:tabs>
        <w:ind w:left="0" w:firstLine="709"/>
        <w:jc w:val="both"/>
        <w:rPr>
          <w:b/>
          <w:bCs/>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w:t>
      </w:r>
    </w:p>
    <w:p>
      <w:pPr>
        <w:pStyle w:val="ListParagraph"/>
        <w:numPr>
          <w:ilvl w:val="1"/>
          <w:numId w:val="22"/>
        </w:numPr>
        <w:shd w:val="clear" w:color="auto" w:fill="FFFFFF"/>
        <w:tabs>
          <w:tab w:val="clear" w:pos="709"/>
          <w:tab w:val="left" w:pos="426" w:leader="none"/>
        </w:tabs>
        <w:ind w:left="0" w:firstLine="709"/>
        <w:jc w:val="both"/>
        <w:rPr>
          <w:b/>
          <w:bCs/>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clear" w:pos="709"/>
          <w:tab w:val="left" w:pos="426" w:leader="none"/>
        </w:tabs>
        <w:ind w:left="0" w:firstLine="709"/>
        <w:jc w:val="both"/>
        <w:rPr>
          <w:b/>
          <w:bCs/>
        </w:rPr>
      </w:pPr>
      <w:r>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ListParagraph"/>
        <w:shd w:val="clear" w:color="auto" w:fill="FFFFFF"/>
        <w:tabs>
          <w:tab w:val="clear" w:pos="709"/>
          <w:tab w:val="left" w:pos="1418" w:leader="none"/>
        </w:tabs>
        <w:ind w:left="0" w:firstLine="709"/>
        <w:jc w:val="both"/>
        <w:rPr>
          <w:bCs/>
        </w:rPr>
      </w:pPr>
      <w:r>
        <w:rPr>
          <w:bCs/>
        </w:rPr>
        <w:t>14.8.1.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s>
        <w:ind w:left="0" w:firstLine="720"/>
        <w:jc w:val="both"/>
        <w:rPr/>
      </w:pPr>
      <w:r>
        <w:rPr>
          <w:bCs/>
        </w:rPr>
        <w:t xml:space="preserve">14.8.2.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14.8.3.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418"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 14.8.2</w:t>
      </w:r>
      <w:r>
        <w:rPr>
          <w:bCs/>
        </w:rPr>
        <w:t>. Договора.</w:t>
      </w:r>
    </w:p>
    <w:p>
      <w:pPr>
        <w:pStyle w:val="ListParagraph"/>
        <w:numPr>
          <w:ilvl w:val="1"/>
          <w:numId w:val="22"/>
        </w:numPr>
        <w:shd w:val="clear" w:color="auto" w:fill="FFFFFF"/>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p>
    <w:p>
      <w:pPr>
        <w:pStyle w:val="ListParagraph"/>
        <w:numPr>
          <w:ilvl w:val="1"/>
          <w:numId w:val="22"/>
        </w:numPr>
        <w:shd w:val="clear" w:color="auto" w:fill="FFFFFF"/>
        <w:tabs>
          <w:tab w:val="clear" w:pos="709"/>
          <w:tab w:val="left" w:pos="1418"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shd w:val="clear" w:color="auto" w:fill="FFFFFF"/>
        <w:tabs>
          <w:tab w:val="clear" w:pos="709"/>
          <w:tab w:val="left" w:pos="1134" w:leader="none"/>
        </w:tabs>
        <w:ind w:left="0" w:firstLine="709"/>
        <w:jc w:val="both"/>
        <w:rPr>
          <w:highlight w:val="lightGray"/>
          <w:lang w:eastAsia="en-US"/>
        </w:rPr>
      </w:pPr>
      <w:r>
        <w:rPr>
          <w:highlight w:val="lightGray"/>
          <w:lang w:eastAsia="en-US"/>
        </w:rPr>
        <w:t>14.12.</w:t>
        <w:tab/>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lang w:eastAsia="en-US"/>
        </w:rPr>
        <w:footnoteReference w:id="25"/>
      </w:r>
      <w:r>
        <w:rPr>
          <w:highlight w:val="lightGray"/>
          <w:lang w:eastAsia="en-US"/>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22"/>
        </w:numPr>
        <w:shd w:val="clear" w:color="auto" w:fill="FFFFFF"/>
        <w:tabs>
          <w:tab w:val="clear" w:pos="709"/>
          <w:tab w:val="left" w:pos="426" w:leader="none"/>
        </w:tabs>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eastAsia="en-US"/>
        </w:rPr>
      </w:pPr>
      <w:r>
        <w:rPr>
          <w:lang w:val="ru-RU"/>
        </w:rPr>
        <w:t xml:space="preserve">Приложение № 2 – Сводный расчет стоимости Услуг с </w:t>
      </w:r>
      <w:r>
        <w:rPr>
          <w:highlight w:val="lightGray"/>
          <w:lang w:val="ru-RU"/>
        </w:rPr>
        <w:t xml:space="preserve">приложениями / </w:t>
      </w:r>
      <w:r>
        <w:rPr>
          <w:highlight w:val="lightGray"/>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highlight w:val="lightGray"/>
          <w:lang w:val="ru-RU"/>
        </w:rPr>
        <w:t>Приложение № 3.1 – Форма Акта сдачи-приемки технической и иной документации</w:t>
      </w:r>
      <w:r>
        <w:rPr>
          <w:bCs/>
          <w:highlight w:val="lightGray"/>
          <w:lang w:val="ru-RU"/>
        </w:rPr>
        <w:t>.</w:t>
      </w:r>
    </w:p>
    <w:p>
      <w:pPr>
        <w:pStyle w:val="Normal"/>
        <w:tabs>
          <w:tab w:val="clear" w:pos="709"/>
          <w:tab w:val="left" w:pos="2127" w:leader="none"/>
          <w:tab w:val="left" w:pos="2410" w:leader="none"/>
        </w:tabs>
        <w:jc w:val="both"/>
        <w:rPr>
          <w:bCs/>
          <w:lang w:val="ru-RU"/>
        </w:rPr>
      </w:pPr>
      <w:r>
        <w:rPr>
          <w:bCs/>
          <w:highlight w:val="lightGray"/>
          <w:lang w:val="ru-RU"/>
        </w:rPr>
        <w:t>Приложение № 3.2 – Форма Акта сдачи-приемки места (помещения) для складирования материалов, инструментов и оборудования.</w:t>
      </w:r>
    </w:p>
    <w:p>
      <w:pPr>
        <w:pStyle w:val="Normal"/>
        <w:tabs>
          <w:tab w:val="clear" w:pos="709"/>
          <w:tab w:val="left" w:pos="2127" w:leader="none"/>
          <w:tab w:val="left" w:pos="2410" w:leader="none"/>
        </w:tabs>
        <w:jc w:val="both"/>
        <w:rPr>
          <w:lang w:val="ru-RU"/>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eastAsia="en-US"/>
        </w:rPr>
      </w:pPr>
      <w:r>
        <w:rPr>
          <w:lang w:val="ru-RU"/>
        </w:rPr>
        <w:t>Приложение № 5</w:t>
      </w:r>
      <w:r>
        <w:rPr>
          <w:bCs/>
          <w:lang w:val="ru-RU"/>
        </w:rPr>
        <w:t xml:space="preserve"> </w:t>
      </w:r>
      <w:r>
        <w:rPr>
          <w:lang w:val="ru-RU"/>
        </w:rPr>
        <w:t>–</w:t>
      </w:r>
      <w:r>
        <w:rPr>
          <w:bCs/>
          <w:lang w:val="ru-RU"/>
        </w:rPr>
        <w:t xml:space="preserve"> Размер ответственности Исполнителя за нарушения пропускного и внутриобъектового режима, требований охраны труда, пожарной безопасности; </w:t>
      </w:r>
    </w:p>
    <w:p>
      <w:pPr>
        <w:pStyle w:val="Normal"/>
        <w:jc w:val="both"/>
        <w:rPr>
          <w:lang w:val="ru-RU"/>
        </w:rPr>
      </w:pPr>
      <w:r>
        <w:rPr>
          <w:bCs/>
          <w:lang w:val="ru-RU"/>
        </w:rPr>
        <w:t>П</w:t>
      </w:r>
      <w:r>
        <w:rPr>
          <w:lang w:val="ru-RU" w:eastAsia="en-US"/>
        </w:rPr>
        <w:t xml:space="preserve">риложение № 6 – Форма </w:t>
      </w:r>
      <w:r>
        <w:rPr>
          <w:bCs/>
          <w:color w:val="000000"/>
          <w:lang w:val="ru-RU" w:eastAsia="en-US"/>
        </w:rPr>
        <w:t>справки о заключенных договорах Исполнителя по договору с Субисполнителями</w:t>
      </w:r>
      <w:r>
        <w:rPr>
          <w:lang w:val="ru-RU" w:eastAsia="en-US"/>
        </w:rPr>
        <w:t>.</w:t>
      </w:r>
    </w:p>
    <w:p>
      <w:pPr>
        <w:pStyle w:val="Normal"/>
        <w:jc w:val="both"/>
        <w:rPr>
          <w:lang w:val="ru-RU"/>
        </w:rPr>
      </w:pPr>
      <w:r>
        <w:rPr>
          <w:highlight w:val="lightGray"/>
          <w:lang w:val="ru-RU"/>
        </w:rPr>
        <w:t xml:space="preserve">Приложение № 7 – Методика </w:t>
      </w:r>
      <w:r>
        <w:rPr>
          <w:bCs/>
          <w:highlight w:val="lightGray"/>
          <w:lang w:val="ru-RU"/>
        </w:rPr>
        <w:t>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lang w:val="ru-RU"/>
              </w:rPr>
            </w:pPr>
            <w:r>
              <w:rPr>
                <w:lang w:val="ru-RU"/>
              </w:rPr>
              <w:t>ЗАКАЗЧИК:</w:t>
            </w:r>
          </w:p>
        </w:tc>
        <w:tc>
          <w:tcPr>
            <w:tcW w:w="4643" w:type="dxa"/>
            <w:tcBorders/>
            <w:shd w:color="auto" w:fill="auto" w:val="clear"/>
          </w:tcPr>
          <w:p>
            <w:pPr>
              <w:pStyle w:val="Normal"/>
              <w:widowControl w:val="false"/>
              <w:rPr>
                <w:lang w:val="ru-RU"/>
              </w:rPr>
            </w:pPr>
            <w:r>
              <w:rPr>
                <w:lang w:val="ru-RU"/>
              </w:rPr>
              <w:t>ИСПОЛНИТЕЛЬ:</w:t>
            </w:r>
          </w:p>
        </w:tc>
      </w:tr>
      <w:tr>
        <w:trPr/>
        <w:tc>
          <w:tcPr>
            <w:tcW w:w="4643" w:type="dxa"/>
            <w:tcBorders/>
            <w:shd w:color="auto" w:fill="auto" w:val="clear"/>
          </w:tcPr>
          <w:p>
            <w:pPr>
              <w:pStyle w:val="Normal"/>
              <w:widowControl w:val="false"/>
              <w:rPr>
                <w:b/>
                <w:lang w:val="ru-RU"/>
              </w:rPr>
            </w:pPr>
            <w:r>
              <w:rPr>
                <w:b/>
                <w:lang w:val="ru-RU"/>
              </w:rPr>
              <w:t>Публичное акционерное общество</w:t>
            </w:r>
          </w:p>
          <w:p>
            <w:pPr>
              <w:pStyle w:val="Normal"/>
              <w:widowControl w:val="false"/>
              <w:rPr>
                <w:b/>
                <w:lang w:val="ru-RU"/>
              </w:rPr>
            </w:pPr>
            <w:r>
              <w:rPr>
                <w:b/>
                <w:lang w:val="ru-RU"/>
              </w:rPr>
              <w:t>«Федеральная гидрогенерирующая компания - РусГидро» (ПАО «РусГидро»)</w:t>
            </w:r>
          </w:p>
          <w:p>
            <w:pPr>
              <w:pStyle w:val="Normal"/>
              <w:widowControl w:val="false"/>
              <w:rPr>
                <w:lang w:val="ru-RU"/>
              </w:rPr>
            </w:pPr>
            <w:r>
              <w:rPr>
                <w:lang w:val="ru-RU"/>
              </w:rPr>
            </w:r>
          </w:p>
          <w:p>
            <w:pPr>
              <w:pStyle w:val="Normal"/>
              <w:widowControl w:val="false"/>
              <w:rPr>
                <w:lang w:val="ru-RU"/>
              </w:rPr>
            </w:pPr>
            <w:r>
              <w:rPr>
                <w:lang w:val="ru-RU"/>
              </w:rPr>
              <w:t>Юридический/Почтовый адрес: 660049, Красноярский край, г.о. город Красноярск,</w:t>
            </w:r>
          </w:p>
          <w:p>
            <w:pPr>
              <w:pStyle w:val="Normal"/>
              <w:widowControl w:val="false"/>
              <w:rPr>
                <w:lang w:val="ru-RU"/>
              </w:rPr>
            </w:pPr>
            <w:r>
              <w:rPr>
                <w:lang w:val="ru-RU"/>
              </w:rPr>
              <w:t>г. Красноярск, ул. Перенсона, зд.2, пом.1</w:t>
            </w:r>
          </w:p>
          <w:p>
            <w:pPr>
              <w:pStyle w:val="Normal"/>
              <w:widowControl w:val="false"/>
              <w:rPr>
                <w:lang w:val="ru-RU"/>
              </w:rPr>
            </w:pPr>
            <w:r>
              <w:rPr>
                <w:lang w:val="ru-RU"/>
              </w:rPr>
            </w:r>
          </w:p>
          <w:p>
            <w:pPr>
              <w:pStyle w:val="Normal"/>
              <w:widowControl w:val="false"/>
              <w:rPr>
                <w:lang w:val="ru-RU"/>
              </w:rPr>
            </w:pPr>
            <w:r>
              <w:rPr>
                <w:lang w:val="ru-RU"/>
              </w:rPr>
              <w:t>ОГРН 1042401810494,</w:t>
            </w:r>
          </w:p>
          <w:p>
            <w:pPr>
              <w:pStyle w:val="Normal"/>
              <w:widowControl w:val="false"/>
              <w:rPr>
                <w:lang w:val="ru-RU"/>
              </w:rPr>
            </w:pPr>
            <w:r>
              <w:rPr>
                <w:lang w:val="ru-RU"/>
              </w:rPr>
              <w:t>ИНН 2460066195 / КПП 997650001</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rPr>
        <w:t xml:space="preserve"> </w:t>
      </w:r>
      <w:r>
        <w:rPr>
          <w:sz w:val="22"/>
          <w:szCs w:val="22"/>
          <w:lang w:val="ru-RU"/>
        </w:rPr>
        <w:t>Приложение № 2</w:t>
      </w:r>
    </w:p>
    <w:p>
      <w:pPr>
        <w:pStyle w:val="Normal"/>
        <w:ind w:left="4820" w:hanging="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left="4820" w:hanging="0"/>
        <w:jc w:val="right"/>
        <w:rPr>
          <w:sz w:val="22"/>
          <w:szCs w:val="22"/>
          <w:lang w:val="ru-RU"/>
        </w:rPr>
      </w:pPr>
      <w:r>
        <w:rPr>
          <w:sz w:val="22"/>
          <w:szCs w:val="22"/>
          <w:lang w:val="ru-RU"/>
        </w:rPr>
        <w:t xml:space="preserve">              </w:t>
      </w:r>
      <w:r>
        <w:rPr>
          <w:sz w:val="22"/>
          <w:szCs w:val="22"/>
          <w:lang w:val="ru-RU"/>
        </w:rPr>
        <w:t>от «____» ________ 20 _ г. №_______</w:t>
      </w:r>
    </w:p>
    <w:p>
      <w:pPr>
        <w:pStyle w:val="Normal"/>
        <w:ind w:left="6379" w:hanging="0"/>
        <w:rPr>
          <w:lang w:val="ru-RU"/>
        </w:rPr>
      </w:pPr>
      <w:r>
        <w:rPr>
          <w:lang w:val="ru-RU"/>
        </w:rPr>
      </w:r>
    </w:p>
    <w:p>
      <w:pPr>
        <w:pStyle w:val="Normal"/>
        <w:ind w:left="6379" w:hanging="0"/>
        <w:rPr>
          <w:lang w:val="ru-RU"/>
        </w:rPr>
      </w:pPr>
      <w:r>
        <w:rPr>
          <w:lang w:val="ru-RU"/>
        </w:rPr>
      </w:r>
    </w:p>
    <w:p>
      <w:pPr>
        <w:pStyle w:val="Normal"/>
        <w:jc w:val="center"/>
        <w:rPr>
          <w:b/>
          <w:lang w:val="ru-RU" w:eastAsia="en-US"/>
        </w:rPr>
      </w:pPr>
      <w:r>
        <w:rPr>
          <w:b/>
          <w:lang w:val="ru-RU"/>
        </w:rPr>
        <w:t xml:space="preserve">Сводный расчет стоимости </w:t>
      </w:r>
      <w:r>
        <w:rPr>
          <w:b/>
          <w:highlight w:val="lightGray"/>
          <w:lang w:val="ru-RU"/>
        </w:rPr>
        <w:t>Услуг</w:t>
      </w:r>
      <w:r>
        <w:rPr>
          <w:b/>
          <w:highlight w:val="lightGray"/>
          <w:lang w:val="ru-RU" w:eastAsia="en-US"/>
        </w:rPr>
        <w:t xml:space="preserve"> / </w:t>
      </w:r>
      <w:r>
        <w:rPr>
          <w:b/>
          <w:highlight w:val="lightGray"/>
          <w:lang w:val="ru-RU"/>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3.1</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Normal"/>
        <w:rPr>
          <w:highlight w:val="lightGray"/>
          <w:lang w:val="ru-RU"/>
        </w:rPr>
      </w:pPr>
      <w:r>
        <w:rPr>
          <w:highlight w:val="lightGray"/>
          <w:lang w:val="ru-RU"/>
        </w:rPr>
      </w:r>
    </w:p>
    <w:p>
      <w:pPr>
        <w:pStyle w:val="12"/>
        <w:jc w:val="both"/>
        <w:rPr>
          <w:sz w:val="24"/>
          <w:szCs w:val="24"/>
          <w:highlight w:val="lightGray"/>
        </w:rPr>
      </w:pPr>
      <w:r>
        <w:rPr>
          <w:sz w:val="24"/>
          <w:szCs w:val="24"/>
          <w:highlight w:val="lightGray"/>
        </w:rPr>
      </w:r>
    </w:p>
    <w:p>
      <w:pPr>
        <w:pStyle w:val="12"/>
        <w:rPr>
          <w:b w:val="false"/>
          <w:bCs w:val="false"/>
          <w:sz w:val="24"/>
          <w:szCs w:val="24"/>
          <w:highlight w:val="lightGray"/>
        </w:rPr>
      </w:pPr>
      <w:r>
        <w:rPr>
          <w:iCs/>
          <w:sz w:val="24"/>
          <w:szCs w:val="24"/>
          <w:highlight w:val="lightGray"/>
        </w:rPr>
        <w:t>ФОРМА</w:t>
      </w:r>
    </w:p>
    <w:p>
      <w:pPr>
        <w:pStyle w:val="12"/>
        <w:rPr>
          <w:i/>
          <w:i/>
          <w:iCs/>
          <w:sz w:val="24"/>
          <w:szCs w:val="24"/>
          <w:highlight w:val="lightGray"/>
        </w:rPr>
      </w:pPr>
      <w:r>
        <w:rPr>
          <w:bCs w:val="false"/>
          <w:sz w:val="24"/>
          <w:szCs w:val="24"/>
          <w:highlight w:val="lightGray"/>
        </w:rPr>
        <w:t xml:space="preserve">Акта сдачи-приемки технической и иной документации </w:t>
      </w:r>
    </w:p>
    <w:p>
      <w:pPr>
        <w:pStyle w:val="Normal"/>
        <w:rPr>
          <w:highlight w:val="lightGray"/>
          <w:lang w:val="ru-RU"/>
        </w:rPr>
      </w:pPr>
      <w:r>
        <w:rPr>
          <w:highlight w:val="lightGray"/>
          <w:lang w:val="ru-RU"/>
        </w:rPr>
      </w:r>
    </w:p>
    <w:tbl>
      <w:tblPr>
        <w:tblW w:w="9606"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2"/>
              <w:widowControl w:val="false"/>
              <w:rPr>
                <w:b w:val="false"/>
                <w:bCs w:val="false"/>
                <w:sz w:val="24"/>
                <w:szCs w:val="24"/>
                <w:highlight w:val="lightGray"/>
              </w:rPr>
            </w:pPr>
            <w:r>
              <w:rPr>
                <w:b w:val="false"/>
                <w:bCs w:val="false"/>
                <w:sz w:val="24"/>
                <w:szCs w:val="24"/>
                <w:highlight w:val="lightGray"/>
              </w:rPr>
              <w:t xml:space="preserve">Акт </w:t>
            </w:r>
          </w:p>
          <w:p>
            <w:pPr>
              <w:pStyle w:val="12"/>
              <w:widowControl w:val="false"/>
              <w:rPr>
                <w:i/>
                <w:i/>
                <w:iCs/>
                <w:sz w:val="24"/>
                <w:szCs w:val="24"/>
                <w:highlight w:val="lightGray"/>
              </w:rPr>
            </w:pPr>
            <w:r>
              <w:rPr>
                <w:b w:val="false"/>
                <w:bCs w:val="false"/>
                <w:sz w:val="24"/>
                <w:szCs w:val="24"/>
                <w:highlight w:val="lightGray"/>
              </w:rPr>
              <w:t>сдачи-приемки технической и иной документации</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г.___________                                                                                  «_____» _________20_г.</w:t>
            </w:r>
          </w:p>
          <w:p>
            <w:pPr>
              <w:pStyle w:val="Normal"/>
              <w:widowControl w:val="false"/>
              <w:rPr>
                <w:highlight w:val="lightGray"/>
                <w:lang w:val="ru-RU"/>
              </w:rPr>
            </w:pPr>
            <w:r>
              <w:rPr>
                <w:highlight w:val="lightGray"/>
                <w:lang w:val="ru-RU"/>
              </w:rPr>
            </w:r>
          </w:p>
          <w:p>
            <w:pPr>
              <w:pStyle w:val="Normal"/>
              <w:widowControl w:val="false"/>
              <w:rPr>
                <w:highlight w:val="lightGray"/>
                <w:lang w:val="ru-RU"/>
              </w:rPr>
            </w:pPr>
            <w:r>
              <w:rPr>
                <w:highlight w:val="lightGray"/>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highlight w:val="lightGray"/>
                <w:lang w:val="ru-RU"/>
              </w:rPr>
            </w:pPr>
            <w:r>
              <w:rPr>
                <w:highlight w:val="lightGray"/>
                <w:lang w:val="ru-RU"/>
              </w:rPr>
              <w:t>Заказчик передал Исполнителю, а Исполнитель принял</w:t>
            </w:r>
            <w:r>
              <w:rPr>
                <w:bCs/>
                <w:highlight w:val="lightGray"/>
                <w:lang w:val="ru-RU"/>
              </w:rPr>
              <w:t xml:space="preserve"> следующую </w:t>
            </w:r>
            <w:r>
              <w:rPr>
                <w:highlight w:val="lightGray"/>
                <w:lang w:val="ru-RU"/>
              </w:rPr>
              <w:t>техническую и иную документацию для оказания Услуг по Договору</w:t>
            </w:r>
            <w:r>
              <w:rPr>
                <w:bCs/>
                <w:highlight w:val="lightGray"/>
                <w:lang w:val="ru-RU"/>
              </w:rPr>
              <w:t xml:space="preserve"> №______ от _____________:</w:t>
            </w:r>
          </w:p>
          <w:p>
            <w:pPr>
              <w:pStyle w:val="Normal"/>
              <w:widowControl w:val="false"/>
              <w:rPr>
                <w:bCs/>
                <w:highlight w:val="lightGray"/>
                <w:lang w:val="ru-RU"/>
              </w:rPr>
            </w:pPr>
            <w:r>
              <w:rPr>
                <w:bCs/>
                <w:highlight w:val="lightGray"/>
                <w:lang w:val="ru-RU"/>
              </w:rPr>
              <w:t xml:space="preserve">__________________________________________________________________________ </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__________________________________________________________________________</w:t>
            </w:r>
          </w:p>
          <w:p>
            <w:pPr>
              <w:pStyle w:val="Normal"/>
              <w:widowControl w:val="false"/>
              <w:rPr>
                <w:bCs/>
                <w:highlight w:val="lightGray"/>
                <w:lang w:val="ru-RU"/>
              </w:rPr>
            </w:pPr>
            <w:r>
              <w:rPr>
                <w:bCs/>
                <w:highlight w:val="lightGray"/>
                <w:lang w:val="ru-RU"/>
              </w:rPr>
              <w:t xml:space="preserve">Документация передана </w:t>
            </w:r>
            <w:r>
              <w:rPr>
                <w:highlight w:val="lightGray"/>
                <w:lang w:val="ru-RU"/>
              </w:rPr>
              <w:t>Исполнителю</w:t>
            </w:r>
            <w:r>
              <w:rPr>
                <w:bCs/>
                <w:highlight w:val="lightGray"/>
                <w:lang w:val="ru-RU"/>
              </w:rPr>
              <w:t xml:space="preserve"> в установленный Договором срок. </w:t>
            </w:r>
          </w:p>
          <w:p>
            <w:pPr>
              <w:pStyle w:val="Normal"/>
              <w:widowControl w:val="false"/>
              <w:rPr>
                <w:highlight w:val="lightGray"/>
                <w:lang w:val="ru-RU"/>
              </w:rPr>
            </w:pPr>
            <w:r>
              <w:rPr>
                <w:highlight w:val="lightGray"/>
                <w:lang w:val="ru-RU"/>
              </w:rPr>
            </w:r>
          </w:p>
          <w:p>
            <w:pPr>
              <w:pStyle w:val="Normal"/>
              <w:widowControl w:val="false"/>
              <w:jc w:val="center"/>
              <w:rPr>
                <w:lang w:val="ru-RU"/>
              </w:rPr>
            </w:pPr>
            <w:r>
              <w:rPr>
                <w:b/>
              </w:rPr>
              <w:t>ПОДПИСИ СТОРОН:</w:t>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bCs/>
                      <w:highlight w:val="lightGray"/>
                    </w:rPr>
                  </w:pPr>
                  <w:r>
                    <w:rPr>
                      <w:bCs/>
                      <w:highlight w:val="lightGray"/>
                    </w:rPr>
                    <w:t>Заказчик:</w:t>
                  </w:r>
                </w:p>
              </w:tc>
              <w:tc>
                <w:tcPr>
                  <w:tcW w:w="4694" w:type="dxa"/>
                  <w:tcBorders/>
                </w:tcPr>
                <w:p>
                  <w:pPr>
                    <w:pStyle w:val="Normal"/>
                    <w:widowControl w:val="false"/>
                    <w:rPr>
                      <w:bCs/>
                      <w:highlight w:val="lightGray"/>
                    </w:rPr>
                  </w:pPr>
                  <w:r>
                    <w:rPr>
                      <w:bCs/>
                      <w:highlight w:val="lightGray"/>
                      <w:lang w:val="ru-RU"/>
                    </w:rPr>
                    <w:t>Исполнитель</w:t>
                  </w:r>
                  <w:r>
                    <w:rPr>
                      <w:bCs/>
                      <w:highlight w:val="lightGray"/>
                    </w:rPr>
                    <w:t>:</w:t>
                  </w:r>
                </w:p>
              </w:tc>
            </w:tr>
            <w:tr>
              <w:trPr/>
              <w:tc>
                <w:tcPr>
                  <w:tcW w:w="4695"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694" w:type="dxa"/>
                  <w:tcBorders/>
                  <w:shd w:color="auto" w:fill="auto" w:val="clear"/>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r>
          </w:tbl>
          <w:p>
            <w:pPr>
              <w:pStyle w:val="12"/>
              <w:widowControl w:val="false"/>
              <w:jc w:val="left"/>
              <w:rPr>
                <w:i/>
                <w:i/>
                <w:iCs/>
                <w:highlight w:val="lightGray"/>
              </w:rPr>
            </w:pPr>
            <w:r>
              <w:rPr>
                <w:i/>
                <w:iCs/>
                <w:highlight w:val="lightGray"/>
              </w:rPr>
            </w:r>
          </w:p>
          <w:p>
            <w:pPr>
              <w:pStyle w:val="12"/>
              <w:widowControl w:val="false"/>
              <w:spacing w:before="0" w:after="120"/>
              <w:jc w:val="left"/>
              <w:rPr>
                <w:i/>
                <w:i/>
                <w:iCs/>
                <w:highlight w:val="lightGray"/>
              </w:rPr>
            </w:pPr>
            <w:r>
              <w:rPr>
                <w:i/>
                <w:iCs/>
                <w:highlight w:val="lightGray"/>
              </w:rPr>
            </w:r>
          </w:p>
        </w:tc>
      </w:tr>
    </w:tbl>
    <w:p>
      <w:pPr>
        <w:pStyle w:val="12"/>
        <w:jc w:val="left"/>
        <w:rPr>
          <w:i/>
          <w:i/>
          <w:iCs/>
          <w:highlight w:val="lightGray"/>
        </w:rPr>
      </w:pPr>
      <w:r>
        <w:rPr>
          <w:i/>
          <w:iCs/>
          <w:highlight w:val="lightGray"/>
        </w:rPr>
      </w:r>
    </w:p>
    <w:p>
      <w:pPr>
        <w:pStyle w:val="12"/>
        <w:jc w:val="left"/>
        <w:rPr>
          <w:i/>
          <w:i/>
          <w:iCs/>
          <w:highlight w:val="lightGray"/>
        </w:rPr>
      </w:pPr>
      <w:r>
        <w:rPr>
          <w:i/>
          <w:iCs/>
          <w:highlight w:val="lightGray"/>
        </w:rPr>
      </w:r>
    </w:p>
    <w:p>
      <w:pPr>
        <w:pStyle w:val="Normal"/>
        <w:rPr>
          <w:highlight w:val="lightGray"/>
        </w:rPr>
      </w:pPr>
      <w:r>
        <w:rPr>
          <w:highlight w:val="lightGray"/>
        </w:rPr>
      </w:r>
    </w:p>
    <w:p>
      <w:pPr>
        <w:pStyle w:val="Normal"/>
        <w:rPr>
          <w:highlight w:val="lightGray"/>
        </w:rPr>
      </w:pPr>
      <w:r>
        <w:rPr>
          <w:highlight w:val="lightGray"/>
        </w:rPr>
      </w:r>
    </w:p>
    <w:p>
      <w:pPr>
        <w:pStyle w:val="Normal"/>
        <w:rPr>
          <w:highlight w:val="lightGray"/>
        </w:rPr>
      </w:pPr>
      <w:r>
        <w:rPr>
          <w:highlight w:val="lightGray"/>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highlight w:val="lightGray"/>
              </w:rPr>
            </w:pPr>
            <w:r>
              <w:rPr>
                <w:b/>
                <w:highlight w:val="lightGray"/>
              </w:rPr>
              <w:t>Заказчик:</w:t>
            </w:r>
          </w:p>
        </w:tc>
        <w:tc>
          <w:tcPr>
            <w:tcW w:w="4785" w:type="dxa"/>
            <w:tcBorders/>
          </w:tcPr>
          <w:p>
            <w:pPr>
              <w:pStyle w:val="Normal"/>
              <w:widowControl w:val="false"/>
              <w:rPr>
                <w:b/>
                <w:highlight w:val="lightGray"/>
              </w:rPr>
            </w:pPr>
            <w:r>
              <w:rPr>
                <w:b/>
                <w:highlight w:val="lightGray"/>
                <w:lang w:val="ru-RU"/>
              </w:rPr>
              <w:t>Исполнитель</w:t>
            </w:r>
            <w:r>
              <w:rPr>
                <w:b/>
                <w:highlight w:val="lightGray"/>
              </w:rPr>
              <w:t>:</w:t>
            </w:r>
          </w:p>
        </w:tc>
      </w:tr>
      <w:tr>
        <w:trPr/>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highlight w:val="lightGray"/>
                <w:lang w:val="ru-RU"/>
              </w:rPr>
            </w:pPr>
            <w:r>
              <w:rPr>
                <w:highlight w:val="lightGray"/>
              </w:rPr>
              <w:t xml:space="preserve">_______________ / _______________ </w:t>
            </w:r>
          </w:p>
          <w:p>
            <w:pPr>
              <w:pStyle w:val="Normal"/>
              <w:widowControl w:val="false"/>
              <w:rPr>
                <w:highlight w:val="lightGray"/>
              </w:rPr>
            </w:pPr>
            <w:r>
              <w:rPr>
                <w:highlight w:val="lightGray"/>
              </w:rPr>
            </w:r>
          </w:p>
        </w:tc>
        <w:tc>
          <w:tcPr>
            <w:tcW w:w="4785" w:type="dxa"/>
            <w:tcBorders/>
          </w:tcPr>
          <w:p>
            <w:pPr>
              <w:pStyle w:val="Normal"/>
              <w:widowControl w:val="false"/>
              <w:rPr>
                <w:highlight w:val="lightGray"/>
              </w:rPr>
            </w:pPr>
            <w:r>
              <w:rPr>
                <w:highlight w:val="lightGray"/>
              </w:rPr>
            </w:r>
          </w:p>
          <w:p>
            <w:pPr>
              <w:pStyle w:val="Normal"/>
              <w:widowControl w:val="false"/>
              <w:rPr>
                <w:highlight w:val="lightGray"/>
              </w:rPr>
            </w:pPr>
            <w:r>
              <w:rPr>
                <w:highlight w:val="lightGray"/>
              </w:rPr>
            </w:r>
          </w:p>
          <w:p>
            <w:pPr>
              <w:pStyle w:val="Normal"/>
              <w:widowControl w:val="false"/>
              <w:rPr>
                <w:lang w:val="ru-RU"/>
              </w:rPr>
            </w:pPr>
            <w:r>
              <w:rPr>
                <w:highlight w:val="lightGray"/>
              </w:rPr>
              <w:t>_______________ / _______________</w:t>
            </w:r>
            <w:r>
              <w:rPr/>
              <w:t xml:space="preserve"> </w:t>
            </w:r>
          </w:p>
          <w:p>
            <w:pPr>
              <w:pStyle w:val="Normal"/>
              <w:widowControl w:val="false"/>
              <w:rPr/>
            </w:pPr>
            <w:r>
              <w:rPr/>
            </w:r>
          </w:p>
        </w:tc>
      </w:tr>
    </w:tbl>
    <w:p>
      <w:pPr>
        <w:pStyle w:val="Normal"/>
        <w:ind w:firstLine="709"/>
        <w:jc w:val="right"/>
        <w:rPr>
          <w:sz w:val="22"/>
          <w:szCs w:val="22"/>
          <w:highlight w:val="lightGray"/>
          <w:lang w:val="ru-RU"/>
        </w:rPr>
      </w:pPr>
      <w:r>
        <w:br w:type="page"/>
      </w:r>
      <w:r>
        <w:rPr>
          <w:lang w:val="ru-RU"/>
        </w:rPr>
        <w:t xml:space="preserve"> </w:t>
      </w:r>
      <w:r>
        <w:rPr>
          <w:sz w:val="22"/>
          <w:szCs w:val="22"/>
          <w:highlight w:val="lightGray"/>
          <w:lang w:val="ru-RU"/>
        </w:rPr>
        <w:t>Приложение № 3.2</w:t>
      </w:r>
    </w:p>
    <w:p>
      <w:pPr>
        <w:pStyle w:val="Normal"/>
        <w:jc w:val="right"/>
        <w:rPr>
          <w:sz w:val="22"/>
          <w:szCs w:val="22"/>
          <w:highlight w:val="lightGray"/>
          <w:lang w:val="ru-RU"/>
        </w:rPr>
      </w:pPr>
      <w:r>
        <w:rPr>
          <w:sz w:val="22"/>
          <w:szCs w:val="22"/>
          <w:highlight w:val="lightGray"/>
          <w:lang w:val="ru-RU"/>
        </w:rPr>
        <w:t xml:space="preserve">            </w:t>
      </w:r>
      <w:r>
        <w:rPr>
          <w:sz w:val="22"/>
          <w:szCs w:val="22"/>
          <w:highlight w:val="lightGray"/>
          <w:lang w:val="ru-RU"/>
        </w:rPr>
        <w:t>к Договору возмездного оказания услуг</w:t>
      </w:r>
    </w:p>
    <w:p>
      <w:pPr>
        <w:pStyle w:val="Normal"/>
        <w:jc w:val="right"/>
        <w:rPr>
          <w:sz w:val="22"/>
          <w:szCs w:val="22"/>
          <w:lang w:val="ru-RU"/>
        </w:rPr>
      </w:pPr>
      <w:r>
        <w:rPr>
          <w:sz w:val="22"/>
          <w:szCs w:val="22"/>
          <w:highlight w:val="lightGray"/>
          <w:lang w:val="ru-RU"/>
        </w:rPr>
        <w:t xml:space="preserve">              </w:t>
      </w:r>
      <w:r>
        <w:rPr>
          <w:sz w:val="22"/>
          <w:szCs w:val="22"/>
          <w:highlight w:val="lightGray"/>
          <w:lang w:val="ru-RU"/>
        </w:rPr>
        <w:t>от «____» ________ 20 _ г. №_______</w:t>
      </w:r>
    </w:p>
    <w:p>
      <w:pPr>
        <w:pStyle w:val="12"/>
        <w:rPr>
          <w:shd w:fill="C0C0C0" w:val="clear"/>
        </w:rPr>
      </w:pPr>
      <w:r>
        <w:rPr>
          <w:iCs/>
          <w:sz w:val="24"/>
          <w:szCs w:val="24"/>
          <w:shd w:fill="C0C0C0" w:val="clear"/>
        </w:rPr>
        <w:t>ФОРМА</w:t>
      </w:r>
    </w:p>
    <w:p>
      <w:pPr>
        <w:pStyle w:val="12"/>
        <w:rPr>
          <w:shd w:fill="C0C0C0" w:val="clear"/>
        </w:rPr>
      </w:pPr>
      <w:r>
        <w:rPr>
          <w:sz w:val="24"/>
          <w:szCs w:val="24"/>
          <w:shd w:fill="C0C0C0" w:val="clear"/>
        </w:rPr>
        <w:t xml:space="preserve">Акта сдачи-приемки </w:t>
      </w:r>
      <w:r>
        <w:rPr>
          <w:sz w:val="24"/>
          <w:shd w:fill="C0C0C0" w:val="clear"/>
        </w:rPr>
        <w:t>места (помещения) для складирования материалов и оборудования</w:t>
      </w:r>
    </w:p>
    <w:p>
      <w:pPr>
        <w:pStyle w:val="Normal"/>
        <w:rPr>
          <w:shd w:fill="C0C0C0" w:val="clear"/>
          <w:lang w:val="ru-RU"/>
        </w:rPr>
      </w:pPr>
      <w:r>
        <w:rPr>
          <w:shd w:fill="C0C0C0" w:val="clear"/>
          <w:lang w:val="ru-RU"/>
        </w:rPr>
      </w:r>
    </w:p>
    <w:tbl>
      <w:tblPr>
        <w:tblW w:w="4800" w:type="pct"/>
        <w:jc w:val="left"/>
        <w:tblInd w:w="0" w:type="dxa"/>
        <w:tblLayout w:type="fixed"/>
        <w:tblCellMar>
          <w:top w:w="0" w:type="dxa"/>
          <w:left w:w="10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tcPr>
          <w:p>
            <w:pPr>
              <w:pStyle w:val="12"/>
              <w:widowControl w:val="false"/>
              <w:rPr>
                <w:shd w:fill="C0C0C0" w:val="clear"/>
              </w:rPr>
            </w:pPr>
            <w:r>
              <w:rPr>
                <w:b w:val="false"/>
                <w:shd w:fill="C0C0C0" w:val="clear"/>
              </w:rPr>
              <w:t xml:space="preserve">Акт </w:t>
            </w:r>
          </w:p>
          <w:p>
            <w:pPr>
              <w:pStyle w:val="12"/>
              <w:widowControl w:val="false"/>
              <w:rPr>
                <w:shd w:fill="C0C0C0" w:val="clear"/>
              </w:rPr>
            </w:pPr>
            <w:r>
              <w:rPr>
                <w:b w:val="false"/>
                <w:shd w:fill="C0C0C0" w:val="clear"/>
              </w:rPr>
              <w:t>сдачи-приемки места (помещения) для складирования материалов и оборудования</w:t>
            </w:r>
          </w:p>
          <w:p>
            <w:pPr>
              <w:pStyle w:val="Normal"/>
              <w:widowControl w:val="false"/>
              <w:rPr>
                <w:sz w:val="22"/>
                <w:shd w:fill="C0C0C0" w:val="clear"/>
                <w:lang w:val="ru-RU"/>
              </w:rPr>
            </w:pPr>
            <w:r>
              <w:rPr>
                <w:sz w:val="22"/>
                <w:shd w:fill="C0C0C0" w:val="clear"/>
                <w:lang w:val="ru-RU"/>
              </w:rPr>
            </w:r>
          </w:p>
          <w:p>
            <w:pPr>
              <w:pStyle w:val="Normal"/>
              <w:widowControl w:val="false"/>
              <w:rPr>
                <w:shd w:fill="C0C0C0" w:val="clear"/>
                <w:lang w:val="ru-RU"/>
              </w:rPr>
            </w:pPr>
            <w:r>
              <w:rPr>
                <w:sz w:val="22"/>
                <w:szCs w:val="22"/>
                <w:shd w:fill="C0C0C0" w:val="clear"/>
                <w:lang w:val="ru-RU"/>
              </w:rPr>
              <w:t>г.___________                                                                                                 «_____» _________20_г.</w:t>
            </w:r>
          </w:p>
          <w:p>
            <w:pPr>
              <w:pStyle w:val="Normal"/>
              <w:widowControl w:val="false"/>
              <w:rPr>
                <w:sz w:val="22"/>
                <w:szCs w:val="22"/>
                <w:shd w:fill="C0C0C0" w:val="clear"/>
                <w:lang w:val="ru-RU"/>
              </w:rPr>
            </w:pPr>
            <w:r>
              <w:rPr>
                <w:sz w:val="22"/>
                <w:szCs w:val="22"/>
                <w:shd w:fill="C0C0C0" w:val="clear"/>
                <w:lang w:val="ru-RU"/>
              </w:rPr>
            </w:r>
          </w:p>
          <w:p>
            <w:pPr>
              <w:pStyle w:val="Normal"/>
              <w:widowControl w:val="false"/>
              <w:rPr>
                <w:shd w:fill="C0C0C0" w:val="clear"/>
                <w:lang w:val="ru-RU"/>
              </w:rPr>
            </w:pPr>
            <w:r>
              <w:rPr>
                <w:sz w:val="22"/>
                <w:szCs w:val="22"/>
                <w:shd w:fill="C0C0C0" w:val="clear"/>
                <w:lang w:val="ru-RU"/>
              </w:rPr>
              <w:t xml:space="preserve">____________________, именуемое далее «Исполнитель», в лице ________________, действующего на основании ______________, </w:t>
            </w:r>
          </w:p>
          <w:p>
            <w:pPr>
              <w:pStyle w:val="Normal"/>
              <w:widowControl w:val="false"/>
              <w:rPr>
                <w:shd w:fill="C0C0C0" w:val="clear"/>
                <w:lang w:val="ru-RU"/>
              </w:rPr>
            </w:pPr>
            <w:r>
              <w:rPr>
                <w:sz w:val="22"/>
                <w:szCs w:val="22"/>
                <w:shd w:fill="C0C0C0" w:val="clear"/>
                <w:lang w:val="ru-RU"/>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shd w:fill="C0C0C0" w:val="clear"/>
                <w:lang w:val="ru-RU"/>
              </w:rPr>
            </w:pPr>
            <w:r>
              <w:rPr>
                <w:sz w:val="22"/>
                <w:szCs w:val="22"/>
                <w:shd w:fill="C0C0C0" w:val="clear"/>
                <w:lang w:val="ru-RU"/>
              </w:rPr>
              <w:t>Заказчик передал Исполнителю, а Исполнитель принял</w:t>
            </w:r>
            <w:r>
              <w:rPr>
                <w:bCs/>
                <w:sz w:val="22"/>
                <w:szCs w:val="22"/>
                <w:shd w:fill="C0C0C0" w:val="clear"/>
                <w:lang w:val="ru-RU"/>
              </w:rPr>
              <w:t xml:space="preserve">  </w:t>
            </w:r>
            <w:r>
              <w:rPr>
                <w:sz w:val="22"/>
                <w:szCs w:val="22"/>
                <w:shd w:fill="C0C0C0" w:val="clear"/>
                <w:lang w:val="ru-RU"/>
              </w:rPr>
              <w:t xml:space="preserve">место (помещение) для складирования материалов и оборудования _____________________________ </w:t>
            </w:r>
            <w:r>
              <w:rPr>
                <w:bCs/>
                <w:sz w:val="22"/>
                <w:szCs w:val="22"/>
                <w:shd w:fill="C0C0C0" w:val="clear"/>
                <w:lang w:val="ru-RU"/>
              </w:rPr>
              <w:t xml:space="preserve">(указываются идентифицирующие признаки) </w:t>
            </w:r>
            <w:r>
              <w:rPr>
                <w:sz w:val="22"/>
                <w:szCs w:val="22"/>
                <w:shd w:fill="C0C0C0" w:val="clear"/>
                <w:lang w:val="ru-RU"/>
              </w:rPr>
              <w:t>по Договору возмездного оказания услуг</w:t>
            </w:r>
            <w:r>
              <w:rPr>
                <w:bCs/>
                <w:sz w:val="22"/>
                <w:szCs w:val="22"/>
                <w:shd w:fill="C0C0C0" w:val="clear"/>
                <w:lang w:val="ru-RU"/>
              </w:rPr>
              <w:t xml:space="preserve"> №______ от _____________.</w:t>
            </w:r>
          </w:p>
          <w:p>
            <w:pPr>
              <w:pStyle w:val="Normal"/>
              <w:widowControl w:val="false"/>
              <w:rPr>
                <w:shd w:fill="C0C0C0" w:val="clear"/>
                <w:lang w:val="ru-RU"/>
              </w:rPr>
            </w:pPr>
            <w:r>
              <w:rPr>
                <w:sz w:val="22"/>
                <w:szCs w:val="22"/>
                <w:shd w:fill="C0C0C0" w:val="clear"/>
                <w:lang w:val="ru-RU"/>
              </w:rPr>
              <w:t>Место (помещение) для складирования материалов и оборудования</w:t>
            </w:r>
            <w:r>
              <w:rPr>
                <w:bCs/>
                <w:sz w:val="22"/>
                <w:szCs w:val="22"/>
                <w:shd w:fill="C0C0C0" w:val="clear"/>
                <w:lang w:val="ru-RU"/>
              </w:rPr>
              <w:t xml:space="preserve"> переданы / передано Исполнителю в установленный Договором срок. </w:t>
            </w:r>
          </w:p>
          <w:p>
            <w:pPr>
              <w:pStyle w:val="Normal"/>
              <w:widowControl w:val="false"/>
              <w:rPr>
                <w:shd w:fill="C0C0C0" w:val="clear"/>
                <w:lang w:val="ru-RU"/>
              </w:rPr>
            </w:pPr>
            <w:r>
              <w:rPr>
                <w:shd w:fill="C0C0C0" w:val="clear"/>
                <w:lang w:val="ru-RU"/>
              </w:rPr>
            </w:r>
          </w:p>
          <w:p>
            <w:pPr>
              <w:pStyle w:val="Normal"/>
              <w:widowControl w:val="false"/>
              <w:rPr>
                <w:shd w:fill="C0C0C0" w:val="clear"/>
                <w:lang w:val="ru-RU"/>
              </w:rPr>
            </w:pPr>
            <w:r>
              <w:rPr>
                <w:bCs/>
                <w:sz w:val="22"/>
                <w:szCs w:val="22"/>
                <w:shd w:fill="C0C0C0" w:val="clear"/>
                <w:lang w:val="ru-RU"/>
              </w:rPr>
              <w:t>Претензии Исполнителя (замечания и недостатки) к месту</w:t>
            </w:r>
            <w:r>
              <w:rPr>
                <w:sz w:val="22"/>
                <w:szCs w:val="22"/>
                <w:shd w:fill="C0C0C0" w:val="clear"/>
                <w:lang w:val="ru-RU"/>
              </w:rPr>
              <w:t xml:space="preserve"> складирования материалов и оборудования</w:t>
            </w:r>
            <w:r>
              <w:rPr>
                <w:bCs/>
                <w:sz w:val="22"/>
                <w:szCs w:val="22"/>
                <w:shd w:fill="C0C0C0" w:val="clear"/>
                <w:lang w:val="ru-RU"/>
              </w:rPr>
              <w:t xml:space="preserve">: </w:t>
              <w:br/>
              <w:t>____________________________________________________________________________</w:t>
            </w:r>
          </w:p>
          <w:p>
            <w:pPr>
              <w:pStyle w:val="Normal"/>
              <w:widowControl w:val="false"/>
              <w:rPr>
                <w:shd w:fill="C0C0C0" w:val="clear"/>
                <w:lang w:val="ru-RU"/>
              </w:rPr>
            </w:pPr>
            <w:r>
              <w:rPr>
                <w:sz w:val="22"/>
                <w:szCs w:val="22"/>
                <w:shd w:fill="C0C0C0" w:val="clear"/>
                <w:lang w:val="ru-RU"/>
              </w:rPr>
              <w:t xml:space="preserve"> </w:t>
            </w:r>
            <w:r>
              <w:rPr>
                <w:sz w:val="22"/>
                <w:szCs w:val="22"/>
                <w:shd w:fill="C0C0C0" w:val="clear"/>
                <w:lang w:val="ru-RU"/>
              </w:rPr>
              <w:t>(</w:t>
            </w:r>
            <w:r>
              <w:rPr>
                <w:i/>
                <w:sz w:val="22"/>
                <w:shd w:fill="C0C0C0" w:val="clear"/>
                <w:lang w:val="ru-RU"/>
              </w:rPr>
              <w:t>указать конкретные претензии или указать «не имеются»)</w:t>
            </w:r>
            <w:r>
              <w:rPr>
                <w:sz w:val="22"/>
                <w:shd w:fill="C0C0C0" w:val="clear"/>
                <w:lang w:val="ru-RU"/>
              </w:rPr>
              <w:t>.</w:t>
            </w:r>
          </w:p>
          <w:p>
            <w:pPr>
              <w:pStyle w:val="Normal"/>
              <w:widowControl w:val="false"/>
              <w:jc w:val="center"/>
              <w:rPr>
                <w:lang w:val="ru-RU"/>
              </w:rPr>
            </w:pPr>
            <w:r>
              <w:rPr>
                <w:b/>
                <w:lang w:val="ru-RU"/>
              </w:rPr>
              <w:t>ПОДПИСИ СТОРОН:</w:t>
            </w:r>
          </w:p>
          <w:tbl>
            <w:tblPr>
              <w:tblW w:w="904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520"/>
              <w:gridCol w:w="4520"/>
            </w:tblGrid>
            <w:tr>
              <w:trPr/>
              <w:tc>
                <w:tcPr>
                  <w:tcW w:w="4520" w:type="dxa"/>
                  <w:tcBorders/>
                </w:tcPr>
                <w:p>
                  <w:pPr>
                    <w:pStyle w:val="Normal"/>
                    <w:widowControl w:val="false"/>
                    <w:rPr>
                      <w:shd w:fill="C0C0C0" w:val="clear"/>
                    </w:rPr>
                  </w:pPr>
                  <w:r>
                    <w:rPr>
                      <w:sz w:val="22"/>
                      <w:shd w:fill="C0C0C0" w:val="clear"/>
                    </w:rPr>
                    <w:t>Заказчик:</w:t>
                  </w:r>
                </w:p>
              </w:tc>
              <w:tc>
                <w:tcPr>
                  <w:tcW w:w="4520" w:type="dxa"/>
                  <w:tcBorders/>
                </w:tcPr>
                <w:p>
                  <w:pPr>
                    <w:pStyle w:val="Normal"/>
                    <w:widowControl w:val="false"/>
                    <w:rPr>
                      <w:shd w:fill="C0C0C0" w:val="clear"/>
                    </w:rPr>
                  </w:pPr>
                  <w:r>
                    <w:rPr>
                      <w:sz w:val="22"/>
                      <w:shd w:fill="C0C0C0" w:val="clear"/>
                    </w:rPr>
                    <w:t>Исполнитель:</w:t>
                  </w:r>
                </w:p>
              </w:tc>
            </w:tr>
            <w:tr>
              <w:trPr/>
              <w:tc>
                <w:tcPr>
                  <w:tcW w:w="4520" w:type="dxa"/>
                  <w:tcBorders/>
                </w:tcPr>
                <w:p>
                  <w:pPr>
                    <w:pStyle w:val="Normal"/>
                    <w:widowControl w:val="false"/>
                    <w:rPr>
                      <w:sz w:val="22"/>
                      <w:szCs w:val="22"/>
                      <w:shd w:fill="C0C0C0" w:val="clear"/>
                    </w:rPr>
                  </w:pPr>
                  <w:r>
                    <w:rPr>
                      <w:sz w:val="22"/>
                      <w:szCs w:val="22"/>
                      <w:shd w:fill="C0C0C0" w:val="clear"/>
                    </w:rPr>
                  </w:r>
                </w:p>
                <w:p>
                  <w:pPr>
                    <w:pStyle w:val="Normal"/>
                    <w:widowControl w:val="false"/>
                    <w:rPr>
                      <w:sz w:val="22"/>
                      <w:szCs w:val="22"/>
                      <w:shd w:fill="C0C0C0" w:val="clear"/>
                    </w:rPr>
                  </w:pPr>
                  <w:r>
                    <w:rPr>
                      <w:sz w:val="22"/>
                      <w:szCs w:val="22"/>
                      <w:shd w:fill="C0C0C0" w:val="clear"/>
                    </w:rPr>
                  </w:r>
                </w:p>
                <w:p>
                  <w:pPr>
                    <w:pStyle w:val="Normal"/>
                    <w:widowControl w:val="false"/>
                    <w:rPr>
                      <w:shd w:fill="C0C0C0" w:val="clear"/>
                    </w:rPr>
                  </w:pPr>
                  <w:r>
                    <w:rPr>
                      <w:sz w:val="22"/>
                      <w:szCs w:val="22"/>
                      <w:shd w:fill="C0C0C0" w:val="clear"/>
                    </w:rPr>
                    <w:t xml:space="preserve">_______________ / _______________ </w:t>
                  </w:r>
                </w:p>
                <w:p>
                  <w:pPr>
                    <w:pStyle w:val="Normal"/>
                    <w:widowControl w:val="false"/>
                    <w:rPr>
                      <w:sz w:val="22"/>
                      <w:szCs w:val="22"/>
                      <w:shd w:fill="C0C0C0" w:val="clear"/>
                    </w:rPr>
                  </w:pPr>
                  <w:r>
                    <w:rPr>
                      <w:sz w:val="22"/>
                      <w:szCs w:val="22"/>
                      <w:shd w:fill="C0C0C0" w:val="clear"/>
                    </w:rPr>
                  </w:r>
                </w:p>
              </w:tc>
              <w:tc>
                <w:tcPr>
                  <w:tcW w:w="4520" w:type="dxa"/>
                  <w:tcBorders/>
                </w:tcPr>
                <w:p>
                  <w:pPr>
                    <w:pStyle w:val="Normal"/>
                    <w:widowControl w:val="false"/>
                    <w:rPr>
                      <w:sz w:val="22"/>
                      <w:szCs w:val="22"/>
                      <w:shd w:fill="C0C0C0" w:val="clear"/>
                    </w:rPr>
                  </w:pPr>
                  <w:r>
                    <w:rPr>
                      <w:sz w:val="22"/>
                      <w:szCs w:val="22"/>
                      <w:shd w:fill="C0C0C0" w:val="clear"/>
                    </w:rPr>
                  </w:r>
                </w:p>
                <w:p>
                  <w:pPr>
                    <w:pStyle w:val="Normal"/>
                    <w:widowControl w:val="false"/>
                    <w:rPr>
                      <w:sz w:val="22"/>
                      <w:szCs w:val="22"/>
                      <w:shd w:fill="C0C0C0" w:val="clear"/>
                    </w:rPr>
                  </w:pPr>
                  <w:r>
                    <w:rPr>
                      <w:sz w:val="22"/>
                      <w:szCs w:val="22"/>
                      <w:shd w:fill="C0C0C0" w:val="clear"/>
                    </w:rPr>
                  </w:r>
                </w:p>
                <w:p>
                  <w:pPr>
                    <w:pStyle w:val="Normal"/>
                    <w:widowControl w:val="false"/>
                    <w:rPr>
                      <w:shd w:fill="C0C0C0" w:val="clear"/>
                    </w:rPr>
                  </w:pPr>
                  <w:r>
                    <w:rPr>
                      <w:sz w:val="22"/>
                      <w:szCs w:val="22"/>
                      <w:shd w:fill="C0C0C0" w:val="clear"/>
                    </w:rPr>
                    <w:t xml:space="preserve">_______________ / _______________ </w:t>
                  </w:r>
                </w:p>
                <w:p>
                  <w:pPr>
                    <w:pStyle w:val="Normal"/>
                    <w:widowControl w:val="false"/>
                    <w:rPr>
                      <w:sz w:val="22"/>
                      <w:szCs w:val="22"/>
                      <w:shd w:fill="C0C0C0" w:val="clear"/>
                    </w:rPr>
                  </w:pPr>
                  <w:r>
                    <w:rPr>
                      <w:sz w:val="22"/>
                      <w:szCs w:val="22"/>
                      <w:shd w:fill="C0C0C0" w:val="clear"/>
                    </w:rPr>
                  </w:r>
                </w:p>
              </w:tc>
            </w:tr>
          </w:tbl>
          <w:p>
            <w:pPr>
              <w:pStyle w:val="12"/>
              <w:widowControl w:val="false"/>
              <w:spacing w:before="0" w:after="120"/>
              <w:jc w:val="left"/>
              <w:rPr>
                <w:i/>
                <w:i/>
                <w:iCs/>
                <w:shd w:fill="C0C0C0" w:val="clear"/>
              </w:rPr>
            </w:pPr>
            <w:r>
              <w:rPr>
                <w:i/>
                <w:iCs/>
                <w:shd w:fill="C0C0C0" w:val="clear"/>
              </w:rPr>
            </w:r>
          </w:p>
        </w:tc>
      </w:tr>
    </w:tbl>
    <w:p>
      <w:pPr>
        <w:pStyle w:val="12"/>
        <w:jc w:val="left"/>
        <w:rPr>
          <w:i/>
          <w:i/>
          <w:iCs/>
          <w:shd w:fill="C0C0C0" w:val="clear"/>
        </w:rPr>
      </w:pPr>
      <w:r>
        <w:rPr>
          <w:i/>
          <w:iCs/>
          <w:shd w:fill="C0C0C0" w:val="clear"/>
        </w:rPr>
      </w:r>
    </w:p>
    <w:tbl>
      <w:tblPr>
        <w:tblW w:w="9571"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4785"/>
        <w:gridCol w:w="4785"/>
      </w:tblGrid>
      <w:tr>
        <w:trPr/>
        <w:tc>
          <w:tcPr>
            <w:tcW w:w="4785" w:type="dxa"/>
            <w:tcBorders/>
          </w:tcPr>
          <w:p>
            <w:pPr>
              <w:pStyle w:val="Normal"/>
              <w:widowControl w:val="false"/>
              <w:rPr>
                <w:shd w:fill="C0C0C0" w:val="clear"/>
              </w:rPr>
            </w:pPr>
            <w:r>
              <w:rPr>
                <w:b/>
                <w:shd w:fill="C0C0C0" w:val="clear"/>
              </w:rPr>
              <w:t>Заказчик:</w:t>
            </w:r>
          </w:p>
        </w:tc>
        <w:tc>
          <w:tcPr>
            <w:tcW w:w="4785" w:type="dxa"/>
            <w:tcBorders/>
          </w:tcPr>
          <w:p>
            <w:pPr>
              <w:pStyle w:val="Normal"/>
              <w:widowControl w:val="false"/>
              <w:rPr>
                <w:shd w:fill="C0C0C0" w:val="clear"/>
              </w:rPr>
            </w:pPr>
            <w:r>
              <w:rPr>
                <w:b/>
                <w:shd w:fill="C0C0C0" w:val="clear"/>
              </w:rPr>
              <w:t>Исполнитель:</w:t>
            </w:r>
          </w:p>
        </w:tc>
      </w:tr>
      <w:tr>
        <w:trPr/>
        <w:tc>
          <w:tcPr>
            <w:tcW w:w="4785" w:type="dxa"/>
            <w:tcBorders/>
          </w:tcPr>
          <w:p>
            <w:pPr>
              <w:pStyle w:val="Normal"/>
              <w:widowControl w:val="false"/>
              <w:rPr>
                <w:sz w:val="22"/>
                <w:szCs w:val="22"/>
                <w:shd w:fill="C0C0C0" w:val="clear"/>
              </w:rPr>
            </w:pPr>
            <w:r>
              <w:rPr>
                <w:sz w:val="22"/>
                <w:szCs w:val="22"/>
                <w:shd w:fill="C0C0C0" w:val="clear"/>
              </w:rPr>
            </w:r>
          </w:p>
          <w:p>
            <w:pPr>
              <w:pStyle w:val="Normal"/>
              <w:widowControl w:val="false"/>
              <w:rPr>
                <w:sz w:val="22"/>
                <w:szCs w:val="22"/>
                <w:shd w:fill="C0C0C0" w:val="clear"/>
              </w:rPr>
            </w:pPr>
            <w:r>
              <w:rPr>
                <w:sz w:val="22"/>
                <w:szCs w:val="22"/>
                <w:shd w:fill="C0C0C0" w:val="clear"/>
              </w:rPr>
            </w:r>
          </w:p>
          <w:p>
            <w:pPr>
              <w:pStyle w:val="Normal"/>
              <w:widowControl w:val="false"/>
              <w:rPr>
                <w:shd w:fill="C0C0C0" w:val="clear"/>
              </w:rPr>
            </w:pPr>
            <w:r>
              <w:rPr>
                <w:sz w:val="22"/>
                <w:szCs w:val="22"/>
                <w:shd w:fill="C0C0C0" w:val="clear"/>
              </w:rPr>
              <w:t xml:space="preserve">_______________ / _______________ </w:t>
            </w:r>
          </w:p>
          <w:p>
            <w:pPr>
              <w:pStyle w:val="Normal"/>
              <w:widowControl w:val="false"/>
              <w:rPr>
                <w:sz w:val="22"/>
                <w:szCs w:val="22"/>
                <w:shd w:fill="C0C0C0" w:val="clear"/>
              </w:rPr>
            </w:pPr>
            <w:r>
              <w:rPr>
                <w:sz w:val="22"/>
                <w:szCs w:val="22"/>
                <w:shd w:fill="C0C0C0" w:val="clear"/>
              </w:rPr>
            </w:r>
          </w:p>
        </w:tc>
        <w:tc>
          <w:tcPr>
            <w:tcW w:w="4785" w:type="dxa"/>
            <w:tcBorders/>
          </w:tcPr>
          <w:p>
            <w:pPr>
              <w:pStyle w:val="Normal"/>
              <w:widowControl w:val="false"/>
              <w:rPr>
                <w:sz w:val="22"/>
                <w:szCs w:val="22"/>
                <w:shd w:fill="C0C0C0" w:val="clear"/>
              </w:rPr>
            </w:pPr>
            <w:r>
              <w:rPr>
                <w:sz w:val="22"/>
                <w:szCs w:val="22"/>
                <w:shd w:fill="C0C0C0" w:val="clear"/>
              </w:rPr>
            </w:r>
          </w:p>
          <w:p>
            <w:pPr>
              <w:pStyle w:val="Normal"/>
              <w:widowControl w:val="false"/>
              <w:rPr>
                <w:sz w:val="22"/>
                <w:szCs w:val="22"/>
                <w:shd w:fill="C0C0C0" w:val="clear"/>
              </w:rPr>
            </w:pPr>
            <w:r>
              <w:rPr>
                <w:sz w:val="22"/>
                <w:szCs w:val="22"/>
                <w:shd w:fill="C0C0C0" w:val="clear"/>
              </w:rPr>
            </w:r>
          </w:p>
          <w:p>
            <w:pPr>
              <w:pStyle w:val="Normal"/>
              <w:widowControl w:val="false"/>
              <w:rPr>
                <w:shd w:fill="C0C0C0" w:val="clear"/>
              </w:rPr>
            </w:pPr>
            <w:r>
              <w:rPr>
                <w:sz w:val="22"/>
                <w:szCs w:val="22"/>
                <w:shd w:fill="C0C0C0" w:val="clear"/>
              </w:rPr>
              <w:t xml:space="preserve">_______________ / _______________ </w:t>
            </w:r>
          </w:p>
          <w:p>
            <w:pPr>
              <w:pStyle w:val="Normal"/>
              <w:widowControl w:val="false"/>
              <w:rPr>
                <w:sz w:val="22"/>
                <w:szCs w:val="22"/>
                <w:shd w:fill="C0C0C0" w:val="clear"/>
              </w:rPr>
            </w:pPr>
            <w:r>
              <w:rPr>
                <w:sz w:val="22"/>
                <w:szCs w:val="22"/>
                <w:shd w:fill="C0C0C0" w:val="clear"/>
              </w:rPr>
            </w:r>
          </w:p>
        </w:tc>
      </w:tr>
    </w:tbl>
    <w:p>
      <w:pPr>
        <w:pStyle w:val="Normal"/>
        <w:rPr>
          <w:sz w:val="22"/>
          <w:szCs w:val="22"/>
          <w:shd w:fill="C0C0C0" w:val="clear"/>
        </w:rPr>
      </w:pPr>
      <w:r>
        <w:rPr>
          <w:sz w:val="22"/>
          <w:szCs w:val="22"/>
          <w:shd w:fill="C0C0C0" w:val="clear"/>
        </w:rPr>
      </w:r>
    </w:p>
    <w:p>
      <w:pPr>
        <w:pStyle w:val="Normal"/>
        <w:rPr>
          <w:sz w:val="22"/>
          <w:szCs w:val="22"/>
          <w:shd w:fill="C0C0C0" w:val="clear"/>
        </w:rPr>
      </w:pPr>
      <w:r>
        <w:rPr>
          <w:sz w:val="22"/>
          <w:szCs w:val="22"/>
          <w:shd w:fill="C0C0C0" w:val="clear"/>
        </w:rPr>
      </w:r>
    </w:p>
    <w:p>
      <w:pPr>
        <w:pStyle w:val="Normal"/>
        <w:rPr>
          <w:sz w:val="22"/>
          <w:szCs w:val="22"/>
          <w:shd w:fill="C0C0C0" w:val="clear"/>
        </w:rPr>
      </w:pPr>
      <w:r>
        <w:rPr>
          <w:sz w:val="22"/>
          <w:szCs w:val="22"/>
          <w:shd w:fill="C0C0C0" w:val="clear"/>
        </w:rPr>
      </w:r>
      <w:r>
        <w:br w:type="page"/>
      </w:r>
    </w:p>
    <w:p>
      <w:pPr>
        <w:pStyle w:val="Normal"/>
        <w:ind w:firstLine="709"/>
        <w:jc w:val="right"/>
        <w:rPr>
          <w:sz w:val="22"/>
          <w:szCs w:val="22"/>
          <w:lang w:val="ru-RU"/>
        </w:rPr>
      </w:pP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both"/>
        <w:rPr>
          <w:lang w:val="ru-RU"/>
        </w:rPr>
      </w:pPr>
      <w:r>
        <w:rPr>
          <w:lang w:val="ru-RU"/>
        </w:rPr>
      </w:r>
    </w:p>
    <w:p>
      <w:pPr>
        <w:pStyle w:val="12"/>
        <w:rPr>
          <w:iCs/>
          <w:sz w:val="24"/>
          <w:szCs w:val="24"/>
        </w:rPr>
      </w:pPr>
      <w:bookmarkStart w:id="21" w:name="_GoBack"/>
      <w:r>
        <w:rPr>
          <w:iCs/>
          <w:sz w:val="24"/>
          <w:szCs w:val="24"/>
        </w:rPr>
        <w:t xml:space="preserve">ФОРМА </w:t>
      </w:r>
    </w:p>
    <w:p>
      <w:pPr>
        <w:pStyle w:val="12"/>
        <w:rPr>
          <w:iCs/>
          <w:sz w:val="24"/>
          <w:szCs w:val="24"/>
        </w:rPr>
      </w:pPr>
      <w:r>
        <w:rPr>
          <w:iCs/>
          <w:sz w:val="24"/>
          <w:szCs w:val="24"/>
        </w:rPr>
        <w:t xml:space="preserve">Акта </w:t>
      </w:r>
      <w:r>
        <w:rPr>
          <w:sz w:val="24"/>
          <w:szCs w:val="24"/>
        </w:rPr>
        <w:t>об оказании</w:t>
      </w:r>
      <w:r>
        <w:rPr>
          <w:iCs/>
          <w:sz w:val="24"/>
          <w:szCs w:val="24"/>
        </w:rPr>
        <w:t xml:space="preserve"> Услуг</w:t>
      </w:r>
      <w:r>
        <w:rPr>
          <w:rStyle w:val="FootnoteReference"/>
          <w:iCs/>
          <w:sz w:val="24"/>
          <w:szCs w:val="24"/>
        </w:rPr>
        <w:footnoteReference w:id="26"/>
      </w:r>
      <w:bookmarkEnd w:id="21"/>
    </w:p>
    <w:tbl>
      <w:tblPr>
        <w:tblW w:w="9627"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2"/>
              <w:widowControl w:val="false"/>
              <w:rPr/>
            </w:pPr>
            <w:r>
              <w:rPr>
                <w:iCs/>
              </w:rPr>
              <w:t xml:space="preserve">АКТ </w:t>
            </w:r>
            <w:r>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highlight w:val="lightGray"/>
                <w:lang w:val="ru-RU"/>
              </w:rPr>
              <w:t xml:space="preserve"> ______________</w:t>
            </w:r>
            <w:r>
              <w:rPr>
                <w:lang w:val="ru-RU"/>
              </w:rPr>
              <w:t>.</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за указанный период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both"/>
              <w:rPr>
                <w:lang w:val="ru-RU"/>
              </w:rPr>
            </w:pPr>
            <w:r>
              <w:rPr>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5</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066"/>
        <w:gridCol w:w="5504"/>
      </w:tblGrid>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r>
              <w:rPr>
                <w:color w:val="000000"/>
                <w:shd w:fill="C0C0C0" w:val="clear"/>
                <w:lang w:val="ru-RU"/>
              </w:rPr>
              <w:t xml:space="preserve">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 а также </w:t>
            </w:r>
            <w:r>
              <w:rPr>
                <w:color w:val="000000"/>
                <w:szCs w:val="28"/>
                <w:shd w:fill="C0C0C0" w:val="clear"/>
                <w:lang w:val="ru-RU"/>
              </w:rPr>
              <w:t>требований</w:t>
            </w:r>
            <w:r>
              <w:rPr>
                <w:color w:val="000000"/>
                <w:shd w:fill="C0C0C0" w:val="clear"/>
                <w:lang w:val="ru-RU"/>
              </w:rPr>
              <w:t>, установленных локальными нормативными актами (документами) Заказчика в области обращения с Отходами на территории Заказчика.</w:t>
            </w:r>
            <w:r>
              <w:rPr>
                <w:rStyle w:val="FootnoteReference"/>
                <w:color w:val="000000"/>
                <w:shd w:fill="C0C0C0" w:val="clear"/>
                <w:lang w:val="ru-RU"/>
              </w:rPr>
              <w:footnoteReference w:id="27"/>
            </w:r>
            <w:r>
              <w:rPr>
                <w:color w:val="000000"/>
                <w:lang w:val="ru-RU"/>
              </w:rPr>
              <w:t xml:space="preserve"> </w:t>
            </w:r>
          </w:p>
        </w:tc>
        <w:tc>
          <w:tcPr>
            <w:tcW w:w="550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r>
    </w:p>
    <w:p>
      <w:pPr>
        <w:pStyle w:val="Normal"/>
        <w:ind w:firstLine="709"/>
        <w:jc w:val="right"/>
        <w:rPr>
          <w:sz w:val="22"/>
          <w:szCs w:val="22"/>
          <w:lang w:val="ru-RU"/>
        </w:rPr>
      </w:pPr>
      <w:r>
        <w:rPr>
          <w:sz w:val="22"/>
          <w:szCs w:val="22"/>
          <w:lang w:val="ru-RU"/>
        </w:rPr>
        <w:t>Приложение № 6</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b/>
          <w:bCs/>
          <w:color w:val="000000"/>
          <w:sz w:val="22"/>
          <w:szCs w:val="22"/>
          <w:lang w:val="ru-RU"/>
        </w:rPr>
      </w:pPr>
      <w:r>
        <w:rPr>
          <w:sz w:val="22"/>
          <w:szCs w:val="22"/>
          <w:lang w:val="ru-RU"/>
        </w:rPr>
        <w:t xml:space="preserve">                                                                                                                </w:t>
      </w:r>
      <w:r>
        <w:rPr>
          <w:sz w:val="22"/>
          <w:szCs w:val="22"/>
          <w:lang w:val="ru-RU"/>
        </w:rPr>
        <w:t>от «____» ________ 20 _ г. №_______</w:t>
      </w:r>
      <w:r>
        <w:rPr>
          <w:b/>
          <w:bCs/>
          <w:color w:val="000000"/>
          <w:sz w:val="22"/>
          <w:szCs w:val="22"/>
          <w:lang w:val="ru-RU"/>
        </w:rPr>
        <w:t xml:space="preserve"> </w:t>
      </w:r>
    </w:p>
    <w:p>
      <w:pPr>
        <w:pStyle w:val="Normal"/>
        <w:jc w:val="center"/>
        <w:rPr>
          <w:b/>
          <w:bCs/>
          <w:color w:val="000000"/>
          <w:lang w:val="ru-RU"/>
        </w:rPr>
      </w:pPr>
      <w:r>
        <w:rPr>
          <w:b/>
          <w:bCs/>
          <w:color w:val="000000"/>
          <w:lang w:val="ru-RU"/>
        </w:rPr>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VBand="1" w:noHBand="0" w:lastColumn="0" w:firstColumn="1" w:lastRow="0" w:firstRow="1"/>
      </w:tblPr>
      <w:tblGrid>
        <w:gridCol w:w="259"/>
        <w:gridCol w:w="781"/>
        <w:gridCol w:w="1151"/>
        <w:gridCol w:w="1378"/>
        <w:gridCol w:w="2337"/>
        <w:gridCol w:w="2886"/>
        <w:gridCol w:w="2756"/>
        <w:gridCol w:w="976"/>
        <w:gridCol w:w="2044"/>
      </w:tblGrid>
      <w:tr>
        <w:trPr>
          <w:trHeight w:val="1327" w:hRule="atLeast"/>
        </w:trPr>
        <w:tc>
          <w:tcPr>
            <w:tcW w:w="2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7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3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w:t>
            </w:r>
            <w:r>
              <w:rPr>
                <w:bCs/>
                <w:sz w:val="16"/>
                <w:szCs w:val="16"/>
                <w:lang w:val="ru-RU"/>
              </w:rPr>
              <w:t xml:space="preserve">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 </w:t>
            </w:r>
            <w:r>
              <w:rPr>
                <w:sz w:val="16"/>
                <w:szCs w:val="16"/>
                <w:lang w:val="ru-RU"/>
              </w:rPr>
              <w:t>)</w:t>
            </w:r>
          </w:p>
        </w:tc>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7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0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3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7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7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3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7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0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388"/>
        <w:gridCol w:w="1664"/>
        <w:gridCol w:w="1113"/>
        <w:gridCol w:w="1109"/>
        <w:gridCol w:w="1251"/>
        <w:gridCol w:w="2081"/>
        <w:gridCol w:w="1805"/>
        <w:gridCol w:w="1252"/>
        <w:gridCol w:w="2905"/>
      </w:tblGrid>
      <w:tr>
        <w:trPr>
          <w:trHeight w:val="1289" w:hRule="atLeast"/>
        </w:trPr>
        <w:tc>
          <w:tcPr>
            <w:tcW w:w="13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6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28"/>
              <w:t></w:t>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3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2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8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2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3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6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5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0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2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VBand="1" w:noHBand="0" w:lastColumn="0" w:firstColumn="1" w:lastRow="0" w:firstRow="1"/>
      </w:tblPr>
      <w:tblGrid>
        <w:gridCol w:w="1449"/>
        <w:gridCol w:w="1747"/>
        <w:gridCol w:w="1166"/>
        <w:gridCol w:w="1162"/>
        <w:gridCol w:w="1310"/>
        <w:gridCol w:w="1163"/>
        <w:gridCol w:w="1891"/>
        <w:gridCol w:w="1021"/>
        <w:gridCol w:w="1163"/>
        <w:gridCol w:w="870"/>
        <w:gridCol w:w="728"/>
        <w:gridCol w:w="899"/>
      </w:tblGrid>
      <w:tr>
        <w:trPr>
          <w:trHeight w:val="566" w:hRule="atLeast"/>
        </w:trPr>
        <w:tc>
          <w:tcPr>
            <w:tcW w:w="14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7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1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1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4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189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4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8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8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8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1134" w:right="1134" w:gutter="0" w:header="709" w:top="1418" w:footer="709" w:bottom="851"/>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8</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ind w:firstLine="709"/>
        <w:jc w:val="center"/>
        <w:rPr>
          <w:lang w:val="ru-RU"/>
        </w:rPr>
      </w:pPr>
      <w:r>
        <w:rPr>
          <w:lang w:val="ru-RU"/>
        </w:rPr>
      </w:r>
    </w:p>
    <w:p>
      <w:pPr>
        <w:pStyle w:val="Normal"/>
        <w:spacing w:before="20" w:after="20"/>
        <w:ind w:firstLine="709"/>
        <w:jc w:val="center"/>
        <w:rPr>
          <w:lang w:val="ru-RU"/>
        </w:rPr>
      </w:pPr>
      <w:bookmarkStart w:id="22" w:name="_Toc122678954_Копия_5"/>
      <w:r>
        <w:rPr>
          <w:b/>
          <w:lang w:val="ru-RU"/>
        </w:rPr>
        <w:t>Методика расчета упущенной выгоды (выручки)</w:t>
      </w:r>
      <w:bookmarkEnd w:id="22"/>
      <w:r>
        <w:rPr>
          <w:b/>
          <w:lang w:val="ru-RU"/>
        </w:rPr>
        <w:t xml:space="preserve"> </w:t>
      </w:r>
    </w:p>
    <w:p>
      <w:pPr>
        <w:pStyle w:val="Normal"/>
        <w:spacing w:before="20" w:after="20"/>
        <w:ind w:firstLine="709"/>
        <w:jc w:val="center"/>
        <w:rPr>
          <w:lang w:val="ru-RU"/>
        </w:rPr>
      </w:pPr>
      <w:r>
        <w:rPr>
          <w:b/>
          <w:lang w:val="ru-RU"/>
        </w:rPr>
        <w:t>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w:t>
      </w:r>
      <w:r>
        <w:rPr>
          <w:b/>
        </w:rPr>
        <w:t> </w:t>
      </w:r>
      <w:r>
        <w:rPr>
          <w:b/>
          <w:lang w:val="ru-RU"/>
        </w:rPr>
        <w:t>неценовой зоне оптового рынка Дальнего Востока</w:t>
      </w:r>
    </w:p>
    <w:p>
      <w:pPr>
        <w:pStyle w:val="Normal"/>
        <w:spacing w:before="20" w:after="20"/>
        <w:ind w:firstLine="709"/>
        <w:jc w:val="center"/>
        <w:rPr>
          <w:lang w:val="ru-RU"/>
        </w:rPr>
      </w:pPr>
      <w:r>
        <w:rPr>
          <w:lang w:val="ru-RU"/>
        </w:rPr>
      </w:r>
    </w:p>
    <w:p>
      <w:pPr>
        <w:pStyle w:val="Normal"/>
        <w:ind w:firstLine="709"/>
        <w:jc w:val="both"/>
        <w:rPr>
          <w:lang w:val="ru-RU"/>
        </w:rPr>
      </w:pPr>
      <w:r>
        <w:rPr>
          <w:lang w:val="ru-RU"/>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ind w:firstLine="709"/>
        <w:jc w:val="both"/>
        <w:rPr>
          <w:lang w:val="ru-RU"/>
        </w:rPr>
      </w:pPr>
      <w:r>
        <w:rPr>
          <w:lang w:val="ru-RU"/>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spacing w:before="20" w:after="20"/>
        <w:ind w:firstLine="709"/>
        <w:jc w:val="both"/>
        <w:rPr>
          <w:lang w:val="ru-RU"/>
        </w:rPr>
      </w:pPr>
      <w:r>
        <w:rPr>
          <w:lang w:val="ru-RU"/>
        </w:rPr>
        <w:t xml:space="preserve"> </w:t>
      </w:r>
      <w:r>
        <w:rPr>
          <w:lang w:val="ru-RU"/>
        </w:rPr>
        <w:t xml:space="preserve">В заявках должны быть указаны: </w:t>
      </w:r>
    </w:p>
    <w:p>
      <w:pPr>
        <w:pStyle w:val="Normal"/>
        <w:numPr>
          <w:ilvl w:val="0"/>
          <w:numId w:val="26"/>
        </w:numPr>
        <w:ind w:left="0" w:firstLine="709"/>
        <w:jc w:val="both"/>
        <w:rPr>
          <w:bCs/>
        </w:rPr>
      </w:pPr>
      <w:r>
        <w:rPr>
          <w:bCs/>
        </w:rPr>
        <w:t>номер заявки;</w:t>
      </w:r>
    </w:p>
    <w:p>
      <w:pPr>
        <w:pStyle w:val="Normal"/>
        <w:numPr>
          <w:ilvl w:val="0"/>
          <w:numId w:val="26"/>
        </w:numPr>
        <w:ind w:left="0" w:firstLine="709"/>
        <w:jc w:val="both"/>
        <w:rPr>
          <w:bCs/>
        </w:rPr>
      </w:pPr>
      <w:r>
        <w:rPr>
          <w:bCs/>
        </w:rPr>
        <w:t>подающее предприятие;</w:t>
      </w:r>
    </w:p>
    <w:p>
      <w:pPr>
        <w:pStyle w:val="Normal"/>
        <w:numPr>
          <w:ilvl w:val="0"/>
          <w:numId w:val="26"/>
        </w:numPr>
        <w:ind w:left="0" w:firstLine="709"/>
        <w:jc w:val="both"/>
        <w:rPr>
          <w:bCs/>
          <w:lang w:val="ru-RU"/>
        </w:rPr>
      </w:pPr>
      <w:r>
        <w:rPr>
          <w:bCs/>
          <w:lang w:val="ru-RU"/>
        </w:rPr>
        <w:t>оборудование, по которому фиксируется изменение эксплуатационного состояния или технологического режима работы;</w:t>
      </w:r>
    </w:p>
    <w:p>
      <w:pPr>
        <w:pStyle w:val="Normal"/>
        <w:numPr>
          <w:ilvl w:val="0"/>
          <w:numId w:val="26"/>
        </w:numPr>
        <w:ind w:left="0" w:firstLine="709"/>
        <w:jc w:val="both"/>
        <w:rPr>
          <w:bCs/>
        </w:rPr>
      </w:pPr>
      <w:r>
        <w:rPr>
          <w:bCs/>
        </w:rPr>
        <w:t>величина снижения максимальной мощности;</w:t>
      </w:r>
    </w:p>
    <w:p>
      <w:pPr>
        <w:pStyle w:val="Normal"/>
        <w:numPr>
          <w:ilvl w:val="0"/>
          <w:numId w:val="26"/>
        </w:numPr>
        <w:ind w:left="0" w:firstLine="709"/>
        <w:jc w:val="both"/>
        <w:rPr>
          <w:bCs/>
        </w:rPr>
      </w:pPr>
      <w:r>
        <w:rPr>
          <w:bCs/>
        </w:rPr>
        <w:t>содержание работ;</w:t>
      </w:r>
    </w:p>
    <w:p>
      <w:pPr>
        <w:pStyle w:val="Normal"/>
        <w:numPr>
          <w:ilvl w:val="0"/>
          <w:numId w:val="26"/>
        </w:numPr>
        <w:ind w:left="0" w:firstLine="709"/>
        <w:jc w:val="both"/>
        <w:rPr>
          <w:bCs/>
        </w:rPr>
      </w:pPr>
      <w:r>
        <w:rPr>
          <w:bCs/>
        </w:rPr>
        <w:t>время подачи заявки;</w:t>
      </w:r>
    </w:p>
    <w:p>
      <w:pPr>
        <w:pStyle w:val="Normal"/>
        <w:numPr>
          <w:ilvl w:val="0"/>
          <w:numId w:val="26"/>
        </w:numPr>
        <w:ind w:left="0" w:firstLine="709"/>
        <w:jc w:val="both"/>
        <w:rPr>
          <w:bCs/>
          <w:lang w:val="ru-RU"/>
        </w:rPr>
      </w:pPr>
      <w:r>
        <w:rPr>
          <w:bCs/>
          <w:lang w:val="ru-RU"/>
        </w:rPr>
        <w:t>время начала и конца действия заявки и др.</w:t>
      </w:r>
    </w:p>
    <w:p>
      <w:pPr>
        <w:pStyle w:val="Normal"/>
        <w:spacing w:before="120" w:after="20"/>
        <w:ind w:firstLine="709"/>
        <w:jc w:val="both"/>
        <w:rPr>
          <w:lang w:val="ru-RU"/>
        </w:rPr>
      </w:pPr>
      <w:r>
        <w:rPr>
          <w:lang w:val="ru-RU"/>
        </w:rPr>
        <w:t>2.</w:t>
        <w:tab/>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pPr>
        <w:pStyle w:val="Normal"/>
        <w:spacing w:before="20" w:after="20"/>
        <w:ind w:firstLine="709"/>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m</m:t>
                </m:r>
              </m:sub>
              <m:sup>
                <m:r>
                  <w:rPr>
                    <w:rFonts w:ascii="Cambria Math" w:hAnsi="Cambria Math"/>
                  </w:rPr>
                  <m:t xml:space="preserve">1</m:t>
                </m:r>
              </m:sup>
            </m:sSubSup>
          </m:sup>
        </m:sSup>
      </m:oMath>
      <w:r>
        <w:rPr>
          <w:lang w:val="ru-RU"/>
        </w:rPr>
        <w:t xml:space="preserve"> – </w:t>
      </w:r>
      <w:r>
        <w:rPr>
          <w:lang w:val="ru-RU"/>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t>
                </m:r>
                <m:r>
                  <m:rPr>
                    <m:lit/>
                    <m:nor/>
                  </m:rPr>
                  <w:rPr>
                    <w:rFonts w:ascii="Cambria Math" w:hAnsi="Cambria Math"/>
                  </w:rPr>
                  <m:t xml:space="preserve">m</m:t>
                </m:r>
              </m:sub>
              <m:sup>
                <m:r>
                  <w:rPr>
                    <w:rFonts w:ascii="Cambria Math" w:hAnsi="Cambria Math"/>
                  </w:rPr>
                  <m:t xml:space="preserve">2</m:t>
                </m:r>
              </m:sup>
            </m:sSubSup>
          </m:sup>
        </m:sSup>
      </m:oMath>
      <w:r>
        <w:rPr>
          <w:lang w:val="ru-RU"/>
        </w:rPr>
        <w:t xml:space="preserve"> – </w:t>
      </w:r>
      <w:r>
        <w:rPr>
          <w:lang w:val="ru-RU"/>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lang w:val="ru-RU"/>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2"/>
                    <a:srcRect l="-222" t="-329" r="-222" b="-329"/>
                    <a:stretch>
                      <a:fillRect/>
                    </a:stretch>
                  </pic:blipFill>
                  <pic:spPr bwMode="auto">
                    <a:xfrm>
                      <a:off x="0" y="0"/>
                      <a:ext cx="323850" cy="219075"/>
                    </a:xfrm>
                    <a:prstGeom prst="rect">
                      <a:avLst/>
                    </a:prstGeom>
                  </pic:spPr>
                </pic:pic>
              </a:graphicData>
            </a:graphic>
          </wp:inline>
        </w:drawing>
      </w:r>
      <w:r>
        <w:rPr>
          <w:lang w:val="ru-RU"/>
        </w:rPr>
        <w:t xml:space="preserve"> – </w:t>
      </w:r>
      <w:r>
        <w:rPr>
          <w:lang w:val="ru-RU"/>
        </w:rPr>
        <w:t>величина согласованного планового ремонтного снижения мощности;</w:t>
      </w:r>
    </w:p>
    <w:p>
      <w:pPr>
        <w:pStyle w:val="Normal"/>
        <w:spacing w:lineRule="auto" w:line="276" w:before="20" w:after="20"/>
        <w:ind w:firstLine="709"/>
        <w:jc w:val="both"/>
        <w:rPr>
          <w:lang w:val="ru-RU"/>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m:rPr>
                <m:lit/>
                <m:nor/>
              </m:rP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lang w:val="ru-RU"/>
        </w:rPr>
      </w:pPr>
      <w:r>
        <w:rPr>
          <w:lang w:val="ru-RU"/>
        </w:rPr>
        <w:t xml:space="preserve"> – </w:t>
      </w:r>
      <w:r>
        <w:rPr>
          <w:lang w:val="ru-RU"/>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lang w:val="ru-RU"/>
        </w:rPr>
      </w:pPr>
      <w:r>
        <w:rPr>
          <w:lang w:val="ru-RU"/>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m:t>
            </m:r>
            <m:r>
              <m:rPr>
                <m:lit/>
                <m:nor/>
              </m:rPr>
              <w:rPr>
                <w:rFonts w:ascii="Cambria Math" w:hAnsi="Cambria Math"/>
              </w:rPr>
              <m:t xml:space="preserve">h</m:t>
            </m:r>
          </m:sub>
          <m:sup>
            <m:r>
              <w:rPr>
                <w:rFonts w:ascii="Cambria Math" w:hAnsi="Cambria Math"/>
              </w:rPr>
              <m:t xml:space="preserve">j</m:t>
            </m:r>
          </m:sup>
        </m:sSubSup>
      </m:oMath>
      <w:r>
        <w:rPr>
          <w:lang w:val="ru-RU"/>
        </w:rPr>
        <w:t xml:space="preserve"> – </w:t>
      </w:r>
      <w:r>
        <w:rPr>
          <w:lang w:val="ru-RU"/>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lang w:val="ru-RU"/>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3"/>
                    <a:stretch>
                      <a:fillRect/>
                    </a:stretch>
                  </pic:blipFill>
                  <pic:spPr bwMode="auto">
                    <a:xfrm>
                      <a:off x="0" y="0"/>
                      <a:ext cx="545465" cy="273050"/>
                    </a:xfrm>
                    <a:prstGeom prst="rect">
                      <a:avLst/>
                    </a:prstGeom>
                  </pic:spPr>
                </pic:pic>
              </a:graphicData>
            </a:graphic>
          </wp:inline>
        </w:drawing>
      </w:r>
      <w:r>
        <w:rPr>
          <w:lang w:val="ru-RU"/>
        </w:rPr>
        <w:t xml:space="preserve"> – </w:t>
      </w:r>
      <w:r>
        <w:rPr>
          <w:lang w:val="ru-RU"/>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lang w:val="ru-RU"/>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4"/>
                    <a:stretch>
                      <a:fillRect/>
                    </a:stretch>
                  </pic:blipFill>
                  <pic:spPr bwMode="auto">
                    <a:xfrm>
                      <a:off x="0" y="0"/>
                      <a:ext cx="524510" cy="266065"/>
                    </a:xfrm>
                    <a:prstGeom prst="rect">
                      <a:avLst/>
                    </a:prstGeom>
                  </pic:spPr>
                </pic:pic>
              </a:graphicData>
            </a:graphic>
          </wp:inline>
        </w:drawing>
      </w:r>
      <w:r>
        <w:rPr>
          <w:lang w:val="ru-RU"/>
        </w:rPr>
        <w:t xml:space="preserve"> – </w:t>
      </w:r>
      <w:r>
        <w:rPr>
          <w:lang w:val="ru-RU"/>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lang w:val="ru-RU"/>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t>
                </m:r>
                <m:r>
                  <m:rPr>
                    <m:lit/>
                    <m:nor/>
                  </m:rPr>
                  <w:rPr>
                    <w:rFonts w:ascii="Cambria Math" w:hAnsi="Cambria Math"/>
                  </w:rPr>
                  <m:t xml:space="preserve">max</m:t>
                </m:r>
                <m:r>
                  <m:rPr>
                    <m:lit/>
                    <m:nor/>
                  </m:rPr>
                  <w:rPr>
                    <w:rFonts w:ascii="Cambria Math" w:hAnsi="Cambria Math"/>
                  </w:rPr>
                  <m:t xml:space="preserve">,</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lang w:val="ru-RU"/>
        </w:rPr>
        <w:t xml:space="preserve"> – </w:t>
      </w:r>
      <w:r>
        <w:rPr>
          <w:lang w:val="ru-RU"/>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lang w:val="ru-RU"/>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5"/>
                    <a:stretch>
                      <a:fillRect/>
                    </a:stretch>
                  </pic:blipFill>
                  <pic:spPr bwMode="auto">
                    <a:xfrm>
                      <a:off x="0" y="0"/>
                      <a:ext cx="532130" cy="272415"/>
                    </a:xfrm>
                    <a:prstGeom prst="rect">
                      <a:avLst/>
                    </a:prstGeom>
                  </pic:spPr>
                </pic:pic>
              </a:graphicData>
            </a:graphic>
          </wp:inline>
        </w:drawing>
      </w:r>
      <w:r>
        <w:rPr>
          <w:lang w:val="ru-RU"/>
        </w:rPr>
        <w:t xml:space="preserve"> – </w:t>
      </w:r>
      <w:r>
        <w:rPr>
          <w:lang w:val="ru-RU"/>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lang w:val="ru-RU"/>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6"/>
                    <a:stretch>
                      <a:fillRect/>
                    </a:stretch>
                  </pic:blipFill>
                  <pic:spPr bwMode="auto">
                    <a:xfrm>
                      <a:off x="0" y="0"/>
                      <a:ext cx="526415" cy="262890"/>
                    </a:xfrm>
                    <a:prstGeom prst="rect">
                      <a:avLst/>
                    </a:prstGeom>
                  </pic:spPr>
                </pic:pic>
              </a:graphicData>
            </a:graphic>
          </wp:inline>
        </w:drawing>
      </w:r>
      <w:r>
        <w:rPr>
          <w:lang w:val="ru-RU"/>
        </w:rPr>
        <w:t xml:space="preserve"> – </w:t>
      </w:r>
      <w:r>
        <w:rPr>
          <w:lang w:val="ru-RU"/>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lang w:val="ru-RU"/>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7"/>
                    <a:stretch>
                      <a:fillRect/>
                    </a:stretch>
                  </pic:blipFill>
                  <pic:spPr bwMode="auto">
                    <a:xfrm>
                      <a:off x="0" y="0"/>
                      <a:ext cx="620395" cy="320040"/>
                    </a:xfrm>
                    <a:prstGeom prst="rect">
                      <a:avLst/>
                    </a:prstGeom>
                  </pic:spPr>
                </pic:pic>
              </a:graphicData>
            </a:graphic>
          </wp:inline>
        </w:drawing>
      </w:r>
      <w:r>
        <w:rPr>
          <w:lang w:val="ru-RU"/>
        </w:rPr>
        <w:t xml:space="preserve"> – </w:t>
      </w:r>
      <w:r>
        <w:rPr>
          <w:lang w:val="ru-RU"/>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w:t>
      </w:r>
      <w:r>
        <w:rPr/>
        <w:t>n</w:t>
      </w:r>
      <w:r>
        <w:rPr>
          <w:lang w:val="ru-RU"/>
        </w:rPr>
        <w:t>-4) суток Х;</w:t>
      </w:r>
    </w:p>
    <w:p>
      <w:pPr>
        <w:pStyle w:val="Normal"/>
        <w:spacing w:lineRule="auto" w:line="276" w:before="20" w:after="20"/>
        <w:ind w:firstLine="709"/>
        <w:jc w:val="both"/>
        <w:rPr>
          <w:lang w:val="ru-RU"/>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18"/>
                    <a:stretch>
                      <a:fillRect/>
                    </a:stretch>
                  </pic:blipFill>
                  <pic:spPr bwMode="auto">
                    <a:xfrm>
                      <a:off x="0" y="0"/>
                      <a:ext cx="526415" cy="262890"/>
                    </a:xfrm>
                    <a:prstGeom prst="rect">
                      <a:avLst/>
                    </a:prstGeom>
                  </pic:spPr>
                </pic:pic>
              </a:graphicData>
            </a:graphic>
          </wp:inline>
        </w:drawing>
      </w:r>
      <w:r>
        <w:rPr>
          <w:lang w:val="ru-RU"/>
        </w:rPr>
        <w:t xml:space="preserve"> – </w:t>
      </w:r>
      <w:r>
        <w:rPr>
          <w:lang w:val="ru-RU"/>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w:t>
      </w:r>
      <w:r>
        <w:rPr/>
        <w:t>n</w:t>
      </w:r>
      <w:r>
        <w:rPr>
          <w:lang w:val="ru-RU"/>
        </w:rPr>
        <w:t>-4) суток Х;</w:t>
      </w:r>
    </w:p>
    <w:p>
      <w:pPr>
        <w:pStyle w:val="Normal"/>
        <w:spacing w:lineRule="auto" w:line="276" w:before="20" w:after="20"/>
        <w:ind w:firstLine="709"/>
        <w:jc w:val="both"/>
        <w:rPr>
          <w:lang w:val="ru-RU"/>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19"/>
                    <a:stretch>
                      <a:fillRect/>
                    </a:stretch>
                  </pic:blipFill>
                  <pic:spPr bwMode="auto">
                    <a:xfrm>
                      <a:off x="0" y="0"/>
                      <a:ext cx="511810" cy="241300"/>
                    </a:xfrm>
                    <a:prstGeom prst="rect">
                      <a:avLst/>
                    </a:prstGeom>
                  </pic:spPr>
                </pic:pic>
              </a:graphicData>
            </a:graphic>
          </wp:inline>
        </w:drawing>
      </w:r>
      <w:r>
        <w:rPr>
          <w:lang w:val="ru-RU"/>
        </w:rPr>
        <w:t xml:space="preserve"> – </w:t>
      </w:r>
      <w:r>
        <w:rPr>
          <w:lang w:val="ru-RU"/>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lang w:val="ru-RU"/>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20"/>
                    <a:stretch>
                      <a:fillRect/>
                    </a:stretch>
                  </pic:blipFill>
                  <pic:spPr bwMode="auto">
                    <a:xfrm>
                      <a:off x="0" y="0"/>
                      <a:ext cx="497205" cy="240665"/>
                    </a:xfrm>
                    <a:prstGeom prst="rect">
                      <a:avLst/>
                    </a:prstGeom>
                  </pic:spPr>
                </pic:pic>
              </a:graphicData>
            </a:graphic>
          </wp:inline>
        </w:drawing>
      </w:r>
      <w:r>
        <w:rPr>
          <w:lang w:val="ru-RU"/>
        </w:rPr>
        <w:t xml:space="preserve"> – </w:t>
      </w:r>
      <w:r>
        <w:rPr>
          <w:lang w:val="ru-RU"/>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lang w:val="ru-RU"/>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21"/>
                    <a:stretch>
                      <a:fillRect/>
                    </a:stretch>
                  </pic:blipFill>
                  <pic:spPr bwMode="auto">
                    <a:xfrm>
                      <a:off x="0" y="0"/>
                      <a:ext cx="914400" cy="285115"/>
                    </a:xfrm>
                    <a:prstGeom prst="rect">
                      <a:avLst/>
                    </a:prstGeom>
                  </pic:spPr>
                </pic:pic>
              </a:graphicData>
            </a:graphic>
          </wp:inline>
        </w:drawing>
      </w:r>
      <w:r>
        <w:rPr>
          <w:lang w:val="ru-RU"/>
        </w:rPr>
        <w:t xml:space="preserve"> – </w:t>
      </w:r>
      <w:r>
        <w:rPr>
          <w:lang w:val="ru-RU"/>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lang w:val="ru-RU"/>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2"/>
                    <a:stretch>
                      <a:fillRect/>
                    </a:stretch>
                  </pic:blipFill>
                  <pic:spPr bwMode="auto">
                    <a:xfrm>
                      <a:off x="0" y="0"/>
                      <a:ext cx="1052830" cy="357505"/>
                    </a:xfrm>
                    <a:prstGeom prst="rect">
                      <a:avLst/>
                    </a:prstGeom>
                  </pic:spPr>
                </pic:pic>
              </a:graphicData>
            </a:graphic>
          </wp:inline>
        </w:drawing>
      </w:r>
      <w:r>
        <w:rPr>
          <w:lang w:val="ru-RU"/>
        </w:rPr>
        <w:t xml:space="preserve"> – </w:t>
      </w:r>
      <w:r>
        <w:rPr>
          <w:lang w:val="ru-RU"/>
        </w:rPr>
        <w:t>регистрируется при согласованном увеличении времени включения в сеть;</w:t>
      </w:r>
    </w:p>
    <w:p>
      <w:pPr>
        <w:pStyle w:val="Normal"/>
        <w:spacing w:lineRule="auto" w:line="276" w:before="20" w:after="20"/>
        <w:ind w:firstLine="709"/>
        <w:jc w:val="both"/>
        <w:rPr>
          <w:lang w:val="ru-RU"/>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3"/>
                    <a:stretch>
                      <a:fillRect/>
                    </a:stretch>
                  </pic:blipFill>
                  <pic:spPr bwMode="auto">
                    <a:xfrm>
                      <a:off x="0" y="0"/>
                      <a:ext cx="958215" cy="313690"/>
                    </a:xfrm>
                    <a:prstGeom prst="rect">
                      <a:avLst/>
                    </a:prstGeom>
                  </pic:spPr>
                </pic:pic>
              </a:graphicData>
            </a:graphic>
          </wp:inline>
        </w:drawing>
      </w:r>
      <w:r>
        <w:rPr>
          <w:lang w:val="ru-RU"/>
        </w:rPr>
        <w:t xml:space="preserve"> – </w:t>
      </w:r>
      <w:r>
        <w:rPr>
          <w:lang w:val="ru-RU"/>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rPr>
          <w:lang w:val="ru-RU"/>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4"/>
                    <a:stretch>
                      <a:fillRect/>
                    </a:stretch>
                  </pic:blipFill>
                  <pic:spPr bwMode="auto">
                    <a:xfrm>
                      <a:off x="0" y="0"/>
                      <a:ext cx="368300" cy="285750"/>
                    </a:xfrm>
                    <a:prstGeom prst="rect">
                      <a:avLst/>
                    </a:prstGeom>
                  </pic:spPr>
                </pic:pic>
              </a:graphicData>
            </a:graphic>
          </wp:inline>
        </w:drawing>
      </w:r>
      <w:r>
        <w:rPr>
          <w:lang w:val="ru-RU"/>
        </w:rPr>
        <w:t xml:space="preserve"> – </w:t>
      </w:r>
      <w:r>
        <w:rPr>
          <w:lang w:val="ru-RU"/>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rPr>
          <w:lang w:val="ru-RU"/>
        </w:rPr>
      </w:pPr>
      <w:r>
        <w:rPr>
          <w:lang w:val="ru-RU"/>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5"/>
                    <a:stretch>
                      <a:fillRect/>
                    </a:stretch>
                  </pic:blipFill>
                  <pic:spPr bwMode="auto">
                    <a:xfrm>
                      <a:off x="0" y="0"/>
                      <a:ext cx="336550" cy="267335"/>
                    </a:xfrm>
                    <a:prstGeom prst="rect">
                      <a:avLst/>
                    </a:prstGeom>
                  </pic:spPr>
                </pic:pic>
              </a:graphicData>
            </a:graphic>
          </wp:inline>
        </w:drawing>
      </w:r>
      <w:r>
        <w:rPr>
          <w:lang w:val="ru-RU"/>
        </w:rPr>
        <w:t>, соответствующие объемам невыполнения требований в месяце, определяется по формуле:</w:t>
      </w:r>
    </w:p>
    <w:p>
      <w:pPr>
        <w:pStyle w:val="Normal"/>
        <w:spacing w:before="20" w:after="20"/>
        <w:jc w:val="center"/>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6"/>
                    <a:stretch>
                      <a:fillRect/>
                    </a:stretch>
                  </pic:blipFill>
                  <pic:spPr bwMode="auto">
                    <a:xfrm>
                      <a:off x="0" y="0"/>
                      <a:ext cx="1371600" cy="673100"/>
                    </a:xfrm>
                    <a:prstGeom prst="rect">
                      <a:avLst/>
                    </a:prstGeom>
                  </pic:spPr>
                </pic:pic>
              </a:graphicData>
            </a:graphic>
          </wp:inline>
        </w:drawing>
      </w:r>
    </w:p>
    <w:p>
      <w:pPr>
        <w:pStyle w:val="Normal"/>
        <w:spacing w:before="20" w:after="20"/>
        <w:ind w:firstLine="709"/>
        <w:rPr>
          <w:lang w:val="ru-RU"/>
        </w:rPr>
      </w:pPr>
      <w:r>
        <w:rPr>
          <w:lang w:val="ru-RU"/>
        </w:rPr>
        <w:t>где:</w:t>
      </w:r>
    </w:p>
    <w:p>
      <w:pPr>
        <w:pStyle w:val="Normal"/>
        <w:spacing w:before="20" w:after="20"/>
        <w:ind w:firstLine="709"/>
        <w:rPr>
          <w:lang w:val="ru-RU"/>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7"/>
                    <a:stretch>
                      <a:fillRect/>
                    </a:stretch>
                  </pic:blipFill>
                  <pic:spPr bwMode="auto">
                    <a:xfrm>
                      <a:off x="0" y="0"/>
                      <a:ext cx="293370" cy="267335"/>
                    </a:xfrm>
                    <a:prstGeom prst="rect">
                      <a:avLst/>
                    </a:prstGeom>
                  </pic:spPr>
                </pic:pic>
              </a:graphicData>
            </a:graphic>
          </wp:inline>
        </w:drawing>
      </w:r>
      <w:r>
        <w:rPr>
          <w:lang w:val="ru-RU"/>
        </w:rPr>
        <w:t xml:space="preserve"> – </w:t>
      </w:r>
      <w:r>
        <w:rPr>
          <w:lang w:val="ru-RU"/>
        </w:rPr>
        <w:t>значения снижения мощности ГТПГ, установленные СО в ГРМ;</w:t>
      </w:r>
    </w:p>
    <w:p>
      <w:pPr>
        <w:pStyle w:val="Normal"/>
        <w:spacing w:before="20" w:after="20"/>
        <w:ind w:firstLine="709"/>
        <w:rPr>
          <w:lang w:val="ru-RU"/>
        </w:rPr>
      </w:pPr>
      <w:r>
        <w:rPr>
          <w:lang w:val="ru-RU"/>
        </w:rPr>
        <w:t xml:space="preserve">Н – количество часов, соответствующее расчетному месяцу </w:t>
      </w:r>
      <w:r>
        <w:rPr/>
        <w:t>m</w:t>
      </w:r>
      <w:r>
        <w:rPr>
          <w:lang w:val="ru-RU"/>
        </w:rPr>
        <w:t xml:space="preserve">. </w:t>
      </w:r>
    </w:p>
    <w:p>
      <w:pPr>
        <w:pStyle w:val="Normal"/>
        <w:spacing w:before="20" w:after="20"/>
        <w:ind w:firstLine="709"/>
        <w:rPr>
          <w:lang w:val="ru-RU"/>
        </w:rPr>
      </w:pPr>
      <w:r>
        <w:rPr>
          <w:lang w:val="ru-RU"/>
        </w:rPr>
      </w:r>
    </w:p>
    <w:p>
      <w:pPr>
        <w:pStyle w:val="Normal"/>
        <w:spacing w:before="20" w:after="20"/>
        <w:ind w:firstLine="709"/>
        <w:rPr>
          <w:lang w:val="ru-RU"/>
        </w:rPr>
      </w:pPr>
      <w:r>
        <w:rPr>
          <w:lang w:val="ru-RU"/>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rPr>
          <w:lang w:val="ru-RU"/>
        </w:rPr>
      </w:pPr>
      <w:r>
        <w:rPr>
          <w:lang w:val="ru-RU"/>
        </w:rPr>
        <w:t xml:space="preserve">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w:t>
      </w:r>
      <w:r>
        <w:rPr/>
        <w:t>m</w:t>
      </w:r>
      <w:r>
        <w:rPr>
          <w:lang w:val="ru-RU"/>
        </w:rPr>
        <w:t>, рассчитывается для каждой ГТП (единицы оборудования) по формуле:</w:t>
      </w:r>
    </w:p>
    <w:p>
      <w:pPr>
        <w:pStyle w:val="Normal"/>
        <w:spacing w:before="20" w:after="20"/>
        <w:ind w:firstLine="709"/>
        <w:rPr>
          <w:lang w:val="ru-RU"/>
        </w:rPr>
      </w:pPr>
      <w:r>
        <w:rPr>
          <w:lang w:val="ru-RU"/>
        </w:rPr>
      </w:r>
    </w:p>
    <w:p>
      <w:pPr>
        <w:pStyle w:val="Normal"/>
        <w:spacing w:before="20" w:after="20"/>
        <w:ind w:firstLine="709"/>
        <w:jc w:val="center"/>
        <w:rPr>
          <w:lang w:val="ru-RU"/>
        </w:rPr>
      </w:pPr>
      <w:r>
        <w:rPr/>
      </w:r>
      <m:oMathPara xmlns:m="http://schemas.openxmlformats.org/officeDocument/2006/math">
        <m:oMathParaPr>
          <m:jc m:val="center"/>
        </m:oMathParaPr>
        <m:o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sSub>
            <m:e>
              <m:r>
                <w:rPr>
                  <w:rFonts w:ascii="Cambria Math" w:hAnsi="Cambria Math"/>
                </w:rPr>
                <m:t xml:space="preserve">k</m:t>
              </m:r>
            </m:e>
            <m:sub>
              <m:r>
                <m:rPr>
                  <m:lit/>
                  <m:nor/>
                </m:rPr>
                <w:rPr>
                  <w:rFonts w:ascii="Cambria Math" w:hAnsi="Cambria Math"/>
                </w:rPr>
                <m:t xml:space="preserve">Б1</m:t>
              </m:r>
            </m:sub>
          </m:sSub>
          <m:sSub>
            <m:e>
              <m:r>
                <w:rPr>
                  <w:rFonts w:ascii="Cambria Math" w:hAnsi="Cambria Math"/>
                </w:rPr>
                <m:t xml:space="preserve">k</m:t>
              </m:r>
            </m:e>
            <m:sub>
              <m:r>
                <m:rPr>
                  <m:lit/>
                  <m:nor/>
                </m:rPr>
                <w:rPr>
                  <w:rFonts w:ascii="Cambria Math" w:hAnsi="Cambria Math"/>
                </w:rPr>
                <m:t xml:space="preserve">Б2</m:t>
              </m:r>
            </m:sub>
          </m:sSub>
          <m:sSub>
            <m:e>
              <m:r>
                <w:rPr>
                  <w:rFonts w:ascii="Cambria Math" w:hAnsi="Cambria Math"/>
                </w:rPr>
                <m:t xml:space="preserve">k</m:t>
              </m:r>
            </m:e>
            <m:sub>
              <m:r>
                <m:rPr>
                  <m:lit/>
                  <m:nor/>
                </m:rPr>
                <w:rPr>
                  <w:rFonts w:ascii="Cambria Math" w:hAnsi="Cambria Math"/>
                </w:rPr>
                <m:t xml:space="preserve">В2</m:t>
              </m:r>
            </m:sub>
          </m:sSub>
          <m:sSub>
            <m:e>
              <m:r>
                <w:rPr>
                  <w:rFonts w:ascii="Cambria Math" w:hAnsi="Cambria Math"/>
                </w:rPr>
                <m:t xml:space="preserve">k</m:t>
              </m:r>
            </m:e>
            <m:sub>
              <m:r>
                <m:rPr>
                  <m:lit/>
                  <m:nor/>
                </m:rPr>
                <w:rPr>
                  <w:rFonts w:ascii="Cambria Math" w:hAnsi="Cambria Math"/>
                </w:rPr>
                <m:t xml:space="preserve">В3</m:t>
              </m:r>
            </m:sub>
          </m:sSub>
          <m:sSub>
            <m:e>
              <m:r>
                <w:rPr>
                  <w:rFonts w:ascii="Cambria Math" w:hAnsi="Cambria Math"/>
                </w:rPr>
                <m:t xml:space="preserve">k</m:t>
              </m:r>
            </m:e>
            <m:sub>
              <m:r>
                <m:rPr>
                  <m:lit/>
                  <m:nor/>
                </m:rPr>
                <w:rPr>
                  <w:rFonts w:ascii="Cambria Math" w:hAnsi="Cambria Math"/>
                </w:rPr>
                <m:t xml:space="preserve">Г1</m:t>
              </m:r>
            </m:sub>
          </m:sSub>
          <m:sSub>
            <m:e>
              <m:r>
                <w:rPr>
                  <w:rFonts w:ascii="Cambria Math" w:hAnsi="Cambria Math"/>
                </w:rPr>
                <m:t xml:space="preserve">k</m:t>
              </m:r>
            </m:e>
            <m:sub>
              <m:r>
                <m:rPr>
                  <m:lit/>
                  <m:nor/>
                </m:rPr>
                <w:rPr>
                  <w:rFonts w:ascii="Cambria Math" w:hAnsi="Cambria Math"/>
                </w:rPr>
                <m:t xml:space="preserve">Г2</m:t>
              </m:r>
            </m:sub>
          </m:sSub>
          <m:sSub>
            <m:e>
              <m:r>
                <w:rPr>
                  <w:rFonts w:ascii="Cambria Math" w:hAnsi="Cambria Math"/>
                </w:rPr>
                <m:t xml:space="preserve">k</m:t>
              </m:r>
            </m:e>
            <m:sub>
              <m:r>
                <m:rPr>
                  <m:lit/>
                  <m:nor/>
                </m:rPr>
                <w:rPr>
                  <w:rFonts w:ascii="Cambria Math" w:hAnsi="Cambria Math"/>
                </w:rPr>
                <m:t xml:space="preserve">Г3</m:t>
              </m:r>
            </m:sub>
          </m:sSub>
          <m:sSub>
            <m:e>
              <m:r>
                <w:rPr>
                  <w:rFonts w:ascii="Cambria Math" w:hAnsi="Cambria Math"/>
                </w:rPr>
                <m:t xml:space="preserve">k</m:t>
              </m:r>
            </m:e>
            <m:sub>
              <m:r>
                <w:rPr>
                  <w:rFonts w:ascii="Cambria Math" w:hAnsi="Cambria Math"/>
                </w:rPr>
                <m:t xml:space="preserve">Д</m:t>
              </m:r>
            </m:sub>
          </m:sSub>
          <m:sSub>
            <m:e>
              <m:r>
                <w:rPr>
                  <w:rFonts w:ascii="Cambria Math" w:hAnsi="Cambria Math"/>
                </w:rPr>
                <m:t xml:space="preserve">k</m:t>
              </m:r>
            </m:e>
            <m:sub>
              <m:r>
                <w:rPr>
                  <w:rFonts w:ascii="Cambria Math" w:hAnsi="Cambria Math"/>
                </w:rPr>
                <m:t xml:space="preserve">Е</m:t>
              </m:r>
            </m:sub>
          </m:sSub>
          <m:sSub>
            <m:e>
              <m:r>
                <w:rPr>
                  <w:rFonts w:ascii="Cambria Math" w:hAnsi="Cambria Math"/>
                </w:rPr>
                <m:t xml:space="preserve">k</m:t>
              </m:r>
            </m:e>
            <m:sub>
              <m:r>
                <w:rPr>
                  <w:rFonts w:ascii="Cambria Math" w:hAnsi="Cambria Math"/>
                </w:rPr>
                <m:t xml:space="preserve">Ж</m:t>
              </m:r>
            </m:sub>
          </m:sSub>
          <m:sSub>
            <m:e>
              <m:r>
                <w:rPr>
                  <w:rFonts w:ascii="Cambria Math" w:hAnsi="Cambria Math"/>
                </w:rPr>
                <m:t xml:space="preserve">k</m:t>
              </m:r>
            </m:e>
            <m:sub>
              <m:r>
                <w:rPr>
                  <w:rFonts w:ascii="Cambria Math" w:hAnsi="Cambria Math"/>
                </w:rPr>
                <m:t xml:space="preserve">З</m:t>
              </m:r>
            </m:sub>
          </m:sSub>
          <m:sSub>
            <m:e>
              <m:r>
                <w:rPr>
                  <w:rFonts w:ascii="Cambria Math" w:hAnsi="Cambria Math"/>
                </w:rPr>
                <m:t xml:space="preserve">k</m:t>
              </m:r>
            </m:e>
            <m:sub>
              <m:r>
                <w:rPr>
                  <w:rFonts w:ascii="Cambria Math" w:hAnsi="Cambria Math"/>
                </w:rPr>
                <m:t xml:space="preserve">И</m:t>
              </m:r>
            </m:sub>
          </m:sSub>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m:t>
                  </m:r>
                  <m:r>
                    <m:rPr>
                      <m:lit/>
                      <m:nor/>
                    </m:rPr>
                    <w:rPr>
                      <w:rFonts w:ascii="Cambria Math" w:hAnsi="Cambria Math"/>
                    </w:rPr>
                    <m:t xml:space="preserve">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t>
                          </m:r>
                          <m:r>
                            <m:rPr>
                              <m:lit/>
                              <m:nor/>
                            </m:rPr>
                            <w:rPr>
                              <w:rFonts w:ascii="Cambria Math" w:hAnsi="Cambria Math"/>
                            </w:rPr>
                            <m:t xml:space="preserve">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m:oMathPara>
    </w:p>
    <w:p>
      <w:pPr>
        <w:pStyle w:val="Normal"/>
        <w:spacing w:lineRule="auto" w:line="276" w:before="0" w:after="200"/>
        <w:ind w:firstLine="709"/>
        <w:rPr>
          <w:rFonts w:eastAsia="Arial"/>
          <w:lang w:val="ru-RU"/>
        </w:rPr>
      </w:pPr>
      <w:r>
        <w:rPr>
          <w:rFonts w:eastAsia="Arial"/>
          <w:lang w:val="ru-RU"/>
        </w:rPr>
        <w:t>где:</w:t>
        <w:tab/>
      </w:r>
    </w:p>
    <w:p>
      <w:pPr>
        <w:pStyle w:val="Normal"/>
        <w:numPr>
          <w:ilvl w:val="0"/>
          <w:numId w:val="0"/>
        </w:numPr>
        <w:spacing w:lineRule="auto" w:line="276" w:before="120" w:after="120"/>
        <w:ind w:left="0" w:firstLine="567"/>
        <w:jc w:val="both"/>
        <w:outlineLvl w:val="3"/>
        <w:rPr>
          <w:lang w:val="ru-RU"/>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28"/>
                    <a:stretch>
                      <a:fillRect/>
                    </a:stretch>
                  </pic:blipFill>
                  <pic:spPr bwMode="auto">
                    <a:xfrm>
                      <a:off x="0" y="0"/>
                      <a:ext cx="185420" cy="228600"/>
                    </a:xfrm>
                    <a:prstGeom prst="rect">
                      <a:avLst/>
                    </a:prstGeom>
                  </pic:spPr>
                </pic:pic>
              </a:graphicData>
            </a:graphic>
          </wp:inline>
        </w:drawing>
      </w:r>
      <w:r>
        <w:rPr>
          <w:lang w:val="ru-RU"/>
        </w:rPr>
        <w:t xml:space="preserve"> </w:t>
      </w:r>
      <w:r>
        <w:rPr>
          <w:rFonts w:eastAsia="Arial"/>
          <w:lang w:val="ru-RU"/>
        </w:rPr>
        <w:t>―</w:t>
      </w:r>
      <w:r>
        <w:rPr>
          <w:lang w:val="ru-RU"/>
        </w:rPr>
        <w:t xml:space="preserve"> </w:t>
      </w:r>
      <w:r>
        <w:rPr>
          <w:rFonts w:eastAsia="Arial"/>
          <w:lang w:val="ru-RU"/>
        </w:rPr>
        <w:t xml:space="preserve">коэффициенты </w:t>
      </w:r>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lang w:val="ru-RU"/>
        </w:rPr>
        <w:t>)</w:t>
      </w:r>
    </w:p>
    <w:p>
      <w:pPr>
        <w:pStyle w:val="Normal"/>
        <w:numPr>
          <w:ilvl w:val="0"/>
          <w:numId w:val="0"/>
        </w:numPr>
        <w:spacing w:lineRule="auto" w:line="276" w:before="120" w:after="120"/>
        <w:ind w:left="0" w:firstLine="567"/>
        <w:jc w:val="both"/>
        <w:outlineLvl w:val="3"/>
        <w:rPr>
          <w:lang w:val="ru-RU"/>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29"/>
                    <a:stretch>
                      <a:fillRect/>
                    </a:stretch>
                  </pic:blipFill>
                  <pic:spPr bwMode="auto">
                    <a:xfrm>
                      <a:off x="0" y="0"/>
                      <a:ext cx="184785" cy="277495"/>
                    </a:xfrm>
                    <a:prstGeom prst="rect">
                      <a:avLst/>
                    </a:prstGeom>
                  </pic:spPr>
                </pic:pic>
              </a:graphicData>
            </a:graphic>
          </wp:inline>
        </w:drawing>
      </w:r>
      <w:r>
        <w:rPr>
          <w:lang w:val="ru-RU"/>
        </w:rPr>
        <w:t xml:space="preserve"> </w:t>
      </w:r>
      <w:r>
        <w:rPr>
          <w:rFonts w:eastAsia="Arial"/>
          <w:lang w:val="ru-RU"/>
        </w:rPr>
        <w:t>―</w:t>
      </w:r>
      <w:r>
        <w:rPr>
          <w:lang w:val="ru-RU"/>
        </w:rPr>
        <w:t xml:space="preserve"> </w:t>
      </w:r>
      <w:r>
        <w:rPr>
          <w:rFonts w:eastAsia="Arial"/>
          <w:lang w:val="ru-RU"/>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lang w:val="ru-RU"/>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lang w:val="ru-RU"/>
        </w:rPr>
        <w:t xml:space="preserve">), </w:t>
      </w:r>
    </w:p>
    <w:p>
      <w:pPr>
        <w:pStyle w:val="Normal"/>
        <w:numPr>
          <w:ilvl w:val="0"/>
          <w:numId w:val="0"/>
        </w:numPr>
        <w:spacing w:lineRule="auto" w:line="276" w:before="120" w:after="120"/>
        <w:ind w:left="0" w:firstLine="567"/>
        <w:jc w:val="both"/>
        <w:outlineLvl w:val="3"/>
        <w:rPr>
          <w:lang w:val="ru-RU"/>
        </w:rPr>
      </w:pPr>
      <w:r>
        <w:rPr>
          <w:rFonts w:eastAsia="Arial"/>
          <w:lang w:val="ru-RU"/>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30"/>
                    <a:stretch>
                      <a:fillRect/>
                    </a:stretch>
                  </pic:blipFill>
                  <pic:spPr bwMode="auto">
                    <a:xfrm>
                      <a:off x="0" y="0"/>
                      <a:ext cx="277495" cy="277495"/>
                    </a:xfrm>
                    <a:prstGeom prst="rect">
                      <a:avLst/>
                    </a:prstGeom>
                  </pic:spPr>
                </pic:pic>
              </a:graphicData>
            </a:graphic>
          </wp:inline>
        </w:drawing>
      </w:r>
      <w:r>
        <w:rPr>
          <w:rFonts w:eastAsia="Arial"/>
          <w:lang w:val="ru-RU"/>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lang w:val="ru-RU"/>
        </w:rPr>
      </w:pPr>
      <w:r>
        <w:rPr>
          <w:rFonts w:eastAsia="Arial"/>
          <w:lang w:val="ru-RU"/>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31"/>
                    <a:stretch>
                      <a:fillRect/>
                    </a:stretch>
                  </pic:blipFill>
                  <pic:spPr bwMode="auto">
                    <a:xfrm>
                      <a:off x="0" y="0"/>
                      <a:ext cx="636270" cy="278130"/>
                    </a:xfrm>
                    <a:prstGeom prst="rect">
                      <a:avLst/>
                    </a:prstGeom>
                  </pic:spPr>
                </pic:pic>
              </a:graphicData>
            </a:graphic>
          </wp:inline>
        </w:drawing>
      </w:r>
      <w:r>
        <w:rPr>
          <w:rFonts w:eastAsia="Arial"/>
          <w:lang w:val="ru-RU"/>
        </w:rPr>
        <w:t>.</w:t>
      </w:r>
    </w:p>
    <w:p>
      <w:pPr>
        <w:pStyle w:val="Normal"/>
        <w:spacing w:lineRule="auto" w:line="276" w:before="0" w:after="200"/>
        <w:ind w:firstLine="567"/>
        <w:jc w:val="both"/>
        <w:rPr>
          <w:rFonts w:eastAsia="Arial"/>
          <w:lang w:val="ru-RU"/>
        </w:rPr>
      </w:pPr>
      <w:r>
        <w:rPr>
          <w:rFonts w:eastAsia="Arial"/>
          <w:lang w:val="ru-RU"/>
        </w:rPr>
        <w:t xml:space="preserve">В соответствии с Постановлением Правительства РФ от 27.12.2010 </w:t>
      </w:r>
      <w:r>
        <w:rPr>
          <w:rFonts w:eastAsia="Arial"/>
        </w:rPr>
        <w:t>N</w:t>
      </w:r>
      <w:r>
        <w:rPr>
          <w:rFonts w:eastAsia="Arial"/>
          <w:lang w:val="ru-RU"/>
        </w:rPr>
        <w:t xml:space="preserve">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eastAsia="Arial"/>
          <w:lang w:val="ru-RU"/>
        </w:rPr>
      </w:pPr>
      <w:r>
        <w:rPr>
          <w:rFonts w:eastAsia="Arial"/>
          <w:lang w:val="ru-RU"/>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lang w:val="ru-RU"/>
        </w:rPr>
      </w:pPr>
      <w:r>
        <w:rPr>
          <w:lang w:val="ru-RU"/>
        </w:rPr>
        <w:t xml:space="preserve">  </w:t>
      </w:r>
      <w:r>
        <w:rPr>
          <w:rFonts w:eastAsia="Arial"/>
          <w:lang w:val="ru-RU"/>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2"/>
                    <a:stretch>
                      <a:fillRect/>
                    </a:stretch>
                  </pic:blipFill>
                  <pic:spPr bwMode="auto">
                    <a:xfrm>
                      <a:off x="0" y="0"/>
                      <a:ext cx="474980" cy="302260"/>
                    </a:xfrm>
                    <a:prstGeom prst="rect">
                      <a:avLst/>
                    </a:prstGeom>
                  </pic:spPr>
                </pic:pic>
              </a:graphicData>
            </a:graphic>
          </wp:inline>
        </w:drawing>
      </w:r>
      <w:r>
        <w:rPr>
          <w:rFonts w:eastAsia="Arial"/>
          <w:lang w:val="ru-RU"/>
        </w:rPr>
        <w:t xml:space="preserve"> - цена на мощность в месяце (</w:t>
      </w:r>
      <w:r>
        <w:rPr>
          <w:rFonts w:eastAsia="Arial"/>
        </w:rPr>
        <w:t>m</w:t>
      </w:r>
      <w:r>
        <w:rPr>
          <w:rFonts w:eastAsia="Arial"/>
          <w:lang w:val="ru-RU"/>
        </w:rPr>
        <w:t>), определяемая согласно Правилам ОРЭМ для генерирующего объекта (</w:t>
      </w:r>
      <w:r>
        <w:rPr>
          <w:rFonts w:eastAsia="Arial"/>
        </w:rPr>
        <w:t>g</w:t>
      </w:r>
      <w:r>
        <w:rPr>
          <w:rFonts w:eastAsia="Arial"/>
          <w:lang w:val="ru-RU"/>
        </w:rPr>
        <w:t>)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w:t>
      </w:r>
      <w:r>
        <w:rPr>
          <w:rFonts w:eastAsia="Arial"/>
        </w:rPr>
        <w:t>pr</w:t>
      </w:r>
      <w:r>
        <w:rPr>
          <w:rFonts w:eastAsia="Arial"/>
          <w:lang w:val="ru-RU"/>
        </w:rPr>
        <w:t>),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eastAsia="Arial"/>
          <w:lang w:val="ru-RU"/>
        </w:rPr>
      </w:pPr>
      <w:r>
        <w:rPr>
          <w:rFonts w:eastAsia="Arial"/>
          <w:lang w:val="ru-RU"/>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lang w:val="ru-RU"/>
        </w:rPr>
      </w:pPr>
      <w:r>
        <w:rPr>
          <w:rFonts w:eastAsia="Arial"/>
          <w:lang w:val="ru-RU"/>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3"/>
                    <a:stretch>
                      <a:fillRect/>
                    </a:stretch>
                  </pic:blipFill>
                  <pic:spPr bwMode="auto">
                    <a:xfrm>
                      <a:off x="0" y="0"/>
                      <a:ext cx="457200" cy="302895"/>
                    </a:xfrm>
                    <a:prstGeom prst="rect">
                      <a:avLst/>
                    </a:prstGeom>
                  </pic:spPr>
                </pic:pic>
              </a:graphicData>
            </a:graphic>
          </wp:inline>
        </w:drawing>
      </w:r>
      <w:r>
        <w:rPr>
          <w:rFonts w:eastAsia="Arial"/>
          <w:lang w:val="ru-RU"/>
        </w:rPr>
        <w:t xml:space="preserve"> - сезонный коэффициент, рассчитанный для ценовой зоны оптового рынка (</w:t>
      </w:r>
      <w:r>
        <w:rPr>
          <w:rFonts w:eastAsia="Arial"/>
        </w:rPr>
        <w:t>z</w:t>
      </w:r>
      <w:r>
        <w:rPr>
          <w:rFonts w:eastAsia="Arial"/>
          <w:lang w:val="ru-RU"/>
        </w:rPr>
        <w:t>) месяца (</w:t>
      </w:r>
      <w:r>
        <w:rPr>
          <w:rFonts w:eastAsia="Arial"/>
        </w:rPr>
        <w:t>m</w:t>
      </w:r>
      <w:r>
        <w:rPr>
          <w:rFonts w:eastAsia="Arial"/>
          <w:lang w:val="ru-RU"/>
        </w:rPr>
        <w:t xml:space="preserve">); </w:t>
      </w:r>
    </w:p>
    <w:p>
      <w:pPr>
        <w:pStyle w:val="Normal"/>
        <w:spacing w:before="120" w:after="20"/>
        <w:ind w:firstLine="709"/>
        <w:jc w:val="both"/>
        <w:rPr>
          <w:lang w:val="ru-RU"/>
        </w:rPr>
      </w:pPr>
      <w:r>
        <w:rPr>
          <w:rFonts w:eastAsia="Arial"/>
          <w:lang w:val="ru-RU"/>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m:t>
                </m:r>
                <m:r>
                  <m:rPr>
                    <m:lit/>
                    <m:nor/>
                  </m:rPr>
                  <w:rPr>
                    <w:rFonts w:ascii="Cambria Math" w:hAnsi="Cambria Math"/>
                  </w:rPr>
                  <m:t xml:space="preserve">j</m:t>
                </m:r>
              </m:sup>
            </m:sSubSup>
          </m:sub>
        </m:sSub>
      </m:oMath>
      <w:r>
        <w:rPr>
          <w:rFonts w:eastAsia="Arial"/>
          <w:lang w:val="ru-RU"/>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4"/>
                    <a:srcRect l="-42" t="-65" r="-42" b="-65"/>
                    <a:stretch>
                      <a:fillRect/>
                    </a:stretch>
                  </pic:blipFill>
                  <pic:spPr bwMode="auto">
                    <a:xfrm>
                      <a:off x="0" y="0"/>
                      <a:ext cx="474980" cy="302260"/>
                    </a:xfrm>
                    <a:prstGeom prst="rect">
                      <a:avLst/>
                    </a:prstGeom>
                  </pic:spPr>
                </pic:pic>
              </a:graphicData>
            </a:graphic>
          </wp:inline>
        </w:drawing>
      </w:r>
      <w:r>
        <w:rPr>
          <w:rFonts w:eastAsia="Arial"/>
          <w:lang w:val="ru-RU"/>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5"/>
                    <a:srcRect l="-43" t="-65" r="-43" b="-65"/>
                    <a:stretch>
                      <a:fillRect/>
                    </a:stretch>
                  </pic:blipFill>
                  <pic:spPr bwMode="auto">
                    <a:xfrm>
                      <a:off x="0" y="0"/>
                      <a:ext cx="457200" cy="302895"/>
                    </a:xfrm>
                    <a:prstGeom prst="rect">
                      <a:avLst/>
                    </a:prstGeom>
                  </pic:spPr>
                </pic:pic>
              </a:graphicData>
            </a:graphic>
          </wp:inline>
        </w:drawing>
      </w:r>
      <w:r>
        <w:rPr>
          <w:rFonts w:eastAsia="Arial"/>
          <w:lang w:val="ru-RU"/>
        </w:rPr>
        <w:t xml:space="preserve">. </w:t>
      </w:r>
    </w:p>
    <w:p>
      <w:pPr>
        <w:pStyle w:val="Normal"/>
        <w:spacing w:before="120" w:after="20"/>
        <w:ind w:firstLine="709"/>
        <w:jc w:val="both"/>
        <w:rPr>
          <w:lang w:val="ru-RU"/>
        </w:rPr>
      </w:pPr>
      <w:r>
        <w:rPr>
          <w:lang w:val="ru-RU"/>
        </w:rPr>
      </w:r>
    </w:p>
    <w:tbl>
      <w:tblPr>
        <w:tblW w:w="5000" w:type="pct"/>
        <w:jc w:val="left"/>
        <w:tblInd w:w="0" w:type="dxa"/>
        <w:tblLayout w:type="fixed"/>
        <w:tblCellMar>
          <w:top w:w="0" w:type="dxa"/>
          <w:left w:w="108" w:type="dxa"/>
          <w:bottom w:w="0" w:type="dxa"/>
          <w:right w:w="108" w:type="dxa"/>
        </w:tblCellMar>
        <w:tblLook w:val="0000" w:noVBand="0" w:noHBand="0" w:lastColumn="0" w:firstColumn="0" w:lastRow="0" w:firstRow="0"/>
      </w:tblPr>
      <w:tblGrid>
        <w:gridCol w:w="5050"/>
        <w:gridCol w:w="4587"/>
      </w:tblGrid>
      <w:tr>
        <w:trPr>
          <w:trHeight w:val="282" w:hRule="atLeast"/>
        </w:trPr>
        <w:tc>
          <w:tcPr>
            <w:tcW w:w="5050" w:type="dxa"/>
            <w:tcBorders/>
          </w:tcPr>
          <w:p>
            <w:pPr>
              <w:pStyle w:val="Normal"/>
              <w:widowControl w:val="false"/>
              <w:jc w:val="center"/>
              <w:rPr>
                <w:b/>
              </w:rPr>
            </w:pPr>
            <w:r>
              <w:rPr>
                <w:b/>
              </w:rPr>
              <w:t>Заказчик:</w:t>
            </w:r>
          </w:p>
        </w:tc>
        <w:tc>
          <w:tcPr>
            <w:tcW w:w="4587" w:type="dxa"/>
            <w:tcBorders/>
          </w:tcPr>
          <w:p>
            <w:pPr>
              <w:pStyle w:val="Normal"/>
              <w:widowControl w:val="false"/>
              <w:jc w:val="center"/>
              <w:rPr>
                <w:b/>
              </w:rPr>
            </w:pPr>
            <w:r>
              <w:rPr>
                <w:b/>
                <w:lang w:val="ru-RU"/>
              </w:rPr>
              <w:t>Исполнитель</w:t>
            </w:r>
            <w:r>
              <w:rPr>
                <w:b/>
              </w:rPr>
              <w:t>:</w:t>
            </w:r>
          </w:p>
        </w:tc>
      </w:tr>
      <w:tr>
        <w:trPr>
          <w:trHeight w:val="611" w:hRule="atLeast"/>
        </w:trPr>
        <w:tc>
          <w:tcPr>
            <w:tcW w:w="5050"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_______________ </w:t>
            </w:r>
          </w:p>
        </w:tc>
        <w:tc>
          <w:tcPr>
            <w:tcW w:w="458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 / _______________</w:t>
            </w:r>
          </w:p>
        </w:tc>
      </w:tr>
    </w:tbl>
    <w:p>
      <w:pPr>
        <w:pStyle w:val="Normal"/>
        <w:spacing w:before="120" w:after="20"/>
        <w:jc w:val="both"/>
        <w:rPr>
          <w:lang w:val="ru-RU"/>
        </w:rPr>
      </w:pPr>
      <w:r>
        <w:rPr/>
      </w:r>
    </w:p>
    <w:sectPr>
      <w:headerReference w:type="default" r:id="rId36"/>
      <w:headerReference w:type="first" r:id="rId37"/>
      <w:footerReference w:type="default" r:id="rId38"/>
      <w:footerReference w:type="first" r:id="rId39"/>
      <w:footnotePr>
        <w:numFmt w:val="decimal"/>
      </w:footnotePr>
      <w:type w:val="nextPage"/>
      <w:pgSz w:w="11906" w:h="16838"/>
      <w:pgMar w:left="1134" w:right="1134" w:gutter="0" w:header="567" w:top="851" w:footer="709" w:bottom="141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32</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34</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39</w:t>
    </w:r>
    <w:r>
      <w:rPr>
        <w:sz w:val="22"/>
        <w:szCs w:val="22"/>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shd w:fill="C0C0C0" w:val="clear"/>
          <w:lang w:val="ru-RU"/>
        </w:rPr>
        <w:t xml:space="preserve">За исключением отходов черных и цветных металлов, отработанных масел, образующихся от оборудования, зданий, строений и </w:t>
      </w:r>
      <w:r>
        <w:rPr>
          <w:color w:val="000000"/>
          <w:shd w:fill="C0C0C0" w:val="clear"/>
          <w:lang w:val="ru-RU" w:eastAsia="ru-RU"/>
        </w:rPr>
        <w:t>сооружений</w:t>
      </w:r>
      <w:r>
        <w:rPr>
          <w:shd w:fill="C0C0C0" w:val="clear"/>
          <w:lang w:val="ru-RU"/>
        </w:rPr>
        <w:t xml:space="preserve"> Заказчика.</w:t>
      </w:r>
    </w:p>
  </w:footnote>
  <w:footnote w:id="3">
    <w:p>
      <w:pPr>
        <w:pStyle w:val="FootnoteText"/>
        <w:jc w:val="both"/>
        <w:rPr>
          <w:lang w:val="ru-RU"/>
        </w:rPr>
      </w:pPr>
      <w:r>
        <w:rPr>
          <w:rStyle w:val="Style6"/>
        </w:rPr>
        <w:footnoteRef/>
      </w:r>
      <w:r>
        <w:rPr>
          <w:lang w:val="ru-RU"/>
        </w:rPr>
        <w:t xml:space="preserve"> </w:t>
      </w:r>
      <w:r>
        <w:rPr>
          <w:lang w:val="ru-RU"/>
        </w:rPr>
        <w:t xml:space="preserve">Пункт включается в Договор, включающий выполнение работ / оказание услуг по: </w:t>
      </w:r>
    </w:p>
    <w:p>
      <w:pPr>
        <w:pStyle w:val="FootnoteText"/>
        <w:widowControl w:val="false"/>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lang w:val="ru-RU"/>
        </w:rPr>
      </w:pPr>
      <w:r>
        <w:rPr>
          <w:lang w:val="ru-RU"/>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lang w:val="ru-RU"/>
        </w:rPr>
      </w:pPr>
      <w:r>
        <w:rPr>
          <w:lang w:val="ru-RU"/>
        </w:rPr>
        <w:t xml:space="preserve">- техническому обслуживанию оборудования, зданий, сооружений Заказчика; </w:t>
      </w:r>
    </w:p>
    <w:p>
      <w:pPr>
        <w:pStyle w:val="FootnoteText"/>
        <w:widowControl w:val="false"/>
        <w:jc w:val="both"/>
        <w:rPr>
          <w:lang w:val="ru-RU"/>
        </w:rPr>
      </w:pPr>
      <w:r>
        <w:rPr>
          <w:lang w:val="ru-RU"/>
        </w:rPr>
        <w:t>- утилизации плавмусора.</w:t>
      </w:r>
    </w:p>
  </w:footnote>
  <w:footnote w:id="4">
    <w:p>
      <w:pPr>
        <w:pStyle w:val="FootnoteText"/>
        <w:jc w:val="both"/>
        <w:rPr>
          <w:lang w:val="ru-RU"/>
        </w:rPr>
      </w:pPr>
      <w:r>
        <w:rPr>
          <w:rStyle w:val="Style6"/>
        </w:rPr>
        <w:footnoteRef/>
      </w:r>
      <w:r>
        <w:rPr>
          <w:lang w:val="ru-RU"/>
        </w:rPr>
        <w:t xml:space="preserve"> </w:t>
      </w:r>
      <w:r>
        <w:rPr>
          <w:lang w:val="ru-RU"/>
        </w:rPr>
        <w:t xml:space="preserve">Пункт включается в Договор, включающий выполнение работ / оказание услуг по: </w:t>
      </w:r>
    </w:p>
    <w:p>
      <w:pPr>
        <w:pStyle w:val="FootnoteText"/>
        <w:widowControl w:val="false"/>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lang w:val="ru-RU"/>
        </w:rPr>
      </w:pPr>
      <w:r>
        <w:rPr>
          <w:lang w:val="ru-RU"/>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lang w:val="ru-RU"/>
        </w:rPr>
      </w:pPr>
      <w:r>
        <w:rPr>
          <w:lang w:val="ru-RU"/>
        </w:rPr>
        <w:t xml:space="preserve">- техническому обслуживанию оборудования, зданий, сооружений Заказчика; </w:t>
      </w:r>
    </w:p>
    <w:p>
      <w:pPr>
        <w:pStyle w:val="FootnoteText"/>
        <w:widowControl w:val="false"/>
        <w:jc w:val="both"/>
        <w:rPr>
          <w:lang w:val="ru-RU"/>
        </w:rPr>
      </w:pPr>
      <w:r>
        <w:rPr>
          <w:lang w:val="ru-RU"/>
        </w:rPr>
        <w:t xml:space="preserve">- утилизации плавмусора, </w:t>
      </w:r>
    </w:p>
    <w:p>
      <w:pPr>
        <w:pStyle w:val="FootnoteText"/>
        <w:widowControl w:val="false"/>
        <w:jc w:val="both"/>
        <w:rPr>
          <w:lang w:val="ru-RU"/>
        </w:rPr>
      </w:pPr>
      <w:r>
        <w:rPr>
          <w:lang w:val="ru-RU"/>
        </w:rPr>
        <w:t xml:space="preserve">при реализации мероприятий в области обращения с Отходами силами Заказчика (Вариант 1); </w:t>
      </w:r>
    </w:p>
    <w:p>
      <w:pPr>
        <w:pStyle w:val="FootnoteText"/>
        <w:widowControl w:val="false"/>
        <w:jc w:val="both"/>
        <w:rPr>
          <w:lang w:val="ru-RU"/>
        </w:rPr>
      </w:pPr>
      <w:r>
        <w:rPr>
          <w:lang w:val="ru-RU"/>
        </w:rPr>
        <w:t>при реализации мероприятий в области обращения с Отходами силами Подрядчика с привлечением субподрядной организации (Вариант 2).</w:t>
      </w:r>
    </w:p>
  </w:footnote>
  <w:footnote w:id="5">
    <w:p>
      <w:pPr>
        <w:pStyle w:val="FootnoteText"/>
        <w:widowControl w:val="false"/>
        <w:rPr>
          <w:shd w:fill="C0C0C0" w:val="clear"/>
          <w:lang w:val="ru-RU"/>
        </w:rPr>
      </w:pPr>
      <w:r>
        <w:rPr>
          <w:rStyle w:val="Style6"/>
        </w:rPr>
        <w:footnoteRef/>
      </w:r>
      <w:r>
        <w:rPr>
          <w:shd w:fill="C0C0C0" w:val="clear"/>
          <w:lang w:val="ru-RU"/>
        </w:rPr>
        <w:t xml:space="preserve"> </w:t>
      </w:r>
      <w:r>
        <w:rPr>
          <w:shd w:fill="C0C0C0" w:val="clear"/>
          <w:lang w:val="ru-RU"/>
        </w:rPr>
        <w:t xml:space="preserve">Для договоров, предметом которого является оказание услуг в области обращения с отходами </w:t>
      </w:r>
      <w:r>
        <w:rPr>
          <w:shd w:fill="C0C0C0" w:val="clear"/>
        </w:rPr>
        <w:t>I</w:t>
      </w:r>
      <w:r>
        <w:rPr>
          <w:shd w:fill="C0C0C0" w:val="clear"/>
          <w:lang w:val="ru-RU"/>
        </w:rPr>
        <w:t>-</w:t>
      </w:r>
      <w:r>
        <w:rPr>
          <w:shd w:fill="C0C0C0" w:val="clear"/>
        </w:rPr>
        <w:t>IV</w:t>
      </w:r>
      <w:r>
        <w:rPr>
          <w:shd w:fill="C0C0C0" w:val="clear"/>
          <w:lang w:val="ru-RU"/>
        </w:rPr>
        <w:t xml:space="preserve"> классов опасности.</w:t>
      </w:r>
    </w:p>
  </w:footnote>
  <w:footnote w:id="6">
    <w:p>
      <w:pPr>
        <w:pStyle w:val="FootnoteText"/>
        <w:widowControl w:val="false"/>
        <w:rPr>
          <w:lang w:val="ru-RU"/>
        </w:rPr>
      </w:pPr>
      <w:r>
        <w:rPr>
          <w:rStyle w:val="Style6"/>
        </w:rPr>
        <w:footnoteRef/>
      </w:r>
      <w:r>
        <w:rPr>
          <w:lang w:val="ru-RU"/>
        </w:rPr>
        <w:t xml:space="preserve"> </w:t>
      </w:r>
      <w:r>
        <w:rPr>
          <w:shd w:fill="C0C0C0" w:val="clear"/>
          <w:lang w:val="ru-RU"/>
        </w:rPr>
        <w:t xml:space="preserve">Для договоров, предметом которого является оказание услуг в области обращения с отходами </w:t>
      </w:r>
      <w:r>
        <w:rPr>
          <w:shd w:fill="C0C0C0" w:val="clear"/>
        </w:rPr>
        <w:t>I</w:t>
      </w:r>
      <w:r>
        <w:rPr>
          <w:shd w:fill="C0C0C0" w:val="clear"/>
          <w:lang w:val="ru-RU"/>
        </w:rPr>
        <w:t>-</w:t>
      </w:r>
      <w:r>
        <w:rPr>
          <w:shd w:fill="C0C0C0" w:val="clear"/>
        </w:rPr>
        <w:t>IV</w:t>
      </w:r>
      <w:r>
        <w:rPr>
          <w:shd w:fill="C0C0C0" w:val="clear"/>
          <w:lang w:val="ru-RU"/>
        </w:rPr>
        <w:t xml:space="preserve"> классов опасности.</w:t>
      </w:r>
    </w:p>
  </w:footnote>
  <w:footnote w:id="7">
    <w:p>
      <w:pPr>
        <w:pStyle w:val="FootnoteText"/>
        <w:jc w:val="both"/>
        <w:rPr>
          <w:lang w:val="ru-RU"/>
        </w:rPr>
      </w:pPr>
      <w:r>
        <w:rPr>
          <w:rStyle w:val="Style6"/>
        </w:rPr>
        <w:footnoteRef/>
      </w:r>
      <w:r>
        <w:rPr>
          <w:lang w:val="ru-RU"/>
        </w:rPr>
        <w:t xml:space="preserve"> </w:t>
      </w:r>
      <w:r>
        <w:rPr>
          <w:lang w:val="ru-RU"/>
        </w:rPr>
        <w:t xml:space="preserve">Пункт включается в Договор, включающий выполнение работ / оказание услуг по: </w:t>
      </w:r>
    </w:p>
    <w:p>
      <w:pPr>
        <w:pStyle w:val="FootnoteText"/>
        <w:widowControl w:val="false"/>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lang w:val="ru-RU"/>
        </w:rPr>
      </w:pPr>
      <w:r>
        <w:rPr>
          <w:lang w:val="ru-RU"/>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lang w:val="ru-RU"/>
        </w:rPr>
      </w:pPr>
      <w:r>
        <w:rPr>
          <w:lang w:val="ru-RU"/>
        </w:rPr>
        <w:t xml:space="preserve">- техническому обслуживанию оборудования, зданий, сооружений Заказчика; </w:t>
      </w:r>
    </w:p>
    <w:p>
      <w:pPr>
        <w:pStyle w:val="FootnoteText"/>
        <w:widowControl w:val="false"/>
        <w:jc w:val="both"/>
        <w:rPr>
          <w:lang w:val="ru-RU"/>
        </w:rPr>
      </w:pPr>
      <w:r>
        <w:rPr>
          <w:lang w:val="ru-RU"/>
        </w:rPr>
        <w:t>- утилизации плавмусора,</w:t>
      </w:r>
    </w:p>
    <w:p>
      <w:pPr>
        <w:pStyle w:val="FootnoteText"/>
        <w:widowControl w:val="false"/>
        <w:jc w:val="both"/>
        <w:rPr>
          <w:lang w:val="ru-RU"/>
        </w:rPr>
      </w:pPr>
      <w:r>
        <w:rPr>
          <w:lang w:val="ru-RU"/>
        </w:rPr>
        <w:t>при реализации мероприятий в области обращения с Отходами силами Заказчика (Вариант 1).</w:t>
      </w:r>
    </w:p>
  </w:footnote>
  <w:footnote w:id="8">
    <w:p>
      <w:pPr>
        <w:pStyle w:val="FootnoteText"/>
        <w:jc w:val="both"/>
        <w:rPr>
          <w:shd w:fill="C0C0C0" w:val="clear"/>
          <w:lang w:val="ru-RU"/>
        </w:rPr>
      </w:pPr>
      <w:r>
        <w:rPr>
          <w:rStyle w:val="Style6"/>
        </w:rPr>
        <w:footnoteRef/>
      </w:r>
      <w:r>
        <w:rPr>
          <w:shd w:fill="C0C0C0" w:val="clear"/>
          <w:lang w:val="ru-RU"/>
        </w:rPr>
        <w:t xml:space="preserve"> </w:t>
      </w:r>
      <w:r>
        <w:rPr>
          <w:shd w:fill="C0C0C0" w:val="clear"/>
          <w:lang w:val="ru-RU"/>
        </w:rPr>
        <w:t>Согласно требованиям, установленным локальными нормативными документами (актами) в области обращения с отходами на территории Заказчика (инструкциями, положениями и др.).</w:t>
      </w:r>
    </w:p>
  </w:footnote>
  <w:footnote w:id="9">
    <w:p>
      <w:pPr>
        <w:pStyle w:val="FootnoteText"/>
        <w:jc w:val="both"/>
        <w:rPr>
          <w:lang w:val="ru-RU"/>
        </w:rPr>
      </w:pPr>
      <w:r>
        <w:rPr>
          <w:rStyle w:val="Style6"/>
        </w:rPr>
        <w:footnoteRef/>
      </w:r>
      <w:r>
        <w:rPr>
          <w:lang w:val="ru-RU"/>
        </w:rPr>
        <w:t xml:space="preserve"> </w:t>
      </w:r>
      <w:r>
        <w:rPr>
          <w:lang w:val="ru-RU"/>
        </w:rPr>
        <w:t xml:space="preserve">Пункты включаются в Договор, включающий выполнение работ / оказание услуг по: </w:t>
      </w:r>
    </w:p>
    <w:p>
      <w:pPr>
        <w:pStyle w:val="FootnoteText"/>
        <w:widowControl w:val="false"/>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подводящего и отводящего каналов и т.п.; </w:t>
      </w:r>
    </w:p>
    <w:p>
      <w:pPr>
        <w:pStyle w:val="FootnoteText"/>
        <w:widowControl w:val="false"/>
        <w:jc w:val="both"/>
        <w:rPr>
          <w:lang w:val="ru-RU"/>
        </w:rPr>
      </w:pPr>
      <w:r>
        <w:rPr>
          <w:lang w:val="ru-RU"/>
        </w:rPr>
        <w:t xml:space="preserve">- очистке прилегающей акватории водохранилища от приплывающей к гидротехническим сооружениям ГЭС древесины и другого мусора; </w:t>
      </w:r>
    </w:p>
    <w:p>
      <w:pPr>
        <w:pStyle w:val="FootnoteText"/>
        <w:widowControl w:val="false"/>
        <w:jc w:val="both"/>
        <w:rPr>
          <w:lang w:val="ru-RU"/>
        </w:rPr>
      </w:pPr>
      <w:r>
        <w:rPr>
          <w:lang w:val="ru-RU"/>
        </w:rPr>
        <w:t xml:space="preserve">- техническому обслуживанию оборудования, зданий, сооружений Заказчика; </w:t>
      </w:r>
    </w:p>
    <w:p>
      <w:pPr>
        <w:pStyle w:val="FootnoteText"/>
        <w:widowControl w:val="false"/>
        <w:jc w:val="both"/>
        <w:rPr>
          <w:lang w:val="ru-RU"/>
        </w:rPr>
      </w:pPr>
      <w:r>
        <w:rPr>
          <w:lang w:val="ru-RU"/>
        </w:rPr>
        <w:t>- утилизации плавмусора,</w:t>
      </w:r>
    </w:p>
    <w:p>
      <w:pPr>
        <w:pStyle w:val="FootnoteText"/>
        <w:widowControl w:val="false"/>
        <w:jc w:val="both"/>
        <w:rPr>
          <w:lang w:val="ru-RU"/>
        </w:rPr>
      </w:pPr>
      <w:r>
        <w:rPr>
          <w:lang w:val="ru-RU"/>
        </w:rPr>
        <w:t>при реализации мероприятий в области обращения с Отходами силами Подрядчика с привлечением субподрядной организации (Вариант 2).</w:t>
      </w:r>
    </w:p>
  </w:footnote>
  <w:footnote w:id="10">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11">
    <w:p>
      <w:pPr>
        <w:pStyle w:val="FootnoteText"/>
        <w:rPr>
          <w:lang w:val="ru-RU"/>
        </w:rPr>
      </w:pPr>
      <w:r>
        <w:rPr>
          <w:rStyle w:val="Style6"/>
        </w:rPr>
        <w:footnoteRef/>
      </w:r>
      <w:r>
        <w:rPr>
          <w:lang w:val="ru-RU"/>
        </w:rPr>
        <w:t xml:space="preserve"> </w:t>
      </w:r>
      <w:r>
        <w:rPr>
          <w:lang w:val="ru-RU"/>
        </w:rPr>
        <w:t>Пункт 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color w:val="000000"/>
          <w:lang w:val="ru-RU" w:eastAsia="ru-RU"/>
        </w:rPr>
        <w:t>решеток</w:t>
      </w:r>
      <w:r>
        <w:rPr>
          <w:lang w:val="ru-RU"/>
        </w:rPr>
        <w:t xml:space="preserve"> / сооружений, порогов пазов ремонтных затворов, </w:t>
      </w:r>
      <w:r>
        <w:rPr>
          <w:color w:val="000000"/>
          <w:lang w:val="ru-RU" w:eastAsia="ru-RU"/>
        </w:rPr>
        <w:t>проводящего</w:t>
      </w:r>
      <w:r>
        <w:rPr>
          <w:lang w:val="ru-RU"/>
        </w:rPr>
        <w:t xml:space="preserve"> и отводящего </w:t>
      </w:r>
      <w:r>
        <w:rPr>
          <w:color w:val="000000"/>
          <w:lang w:val="ru-RU" w:eastAsia="ru-RU"/>
        </w:rPr>
        <w:t>каналов</w:t>
      </w:r>
      <w:r>
        <w:rPr>
          <w:lang w:val="ru-RU"/>
        </w:rPr>
        <w:t xml:space="preserve"> и </w:t>
      </w:r>
      <w:r>
        <w:rPr>
          <w:color w:val="000000"/>
          <w:lang w:val="ru-RU" w:eastAsia="ru-RU"/>
        </w:rPr>
        <w:t>т.п.;</w:t>
      </w:r>
    </w:p>
    <w:p>
      <w:pPr>
        <w:pStyle w:val="FootnoteText"/>
        <w:jc w:val="both"/>
        <w:rPr>
          <w:lang w:val="ru-RU"/>
        </w:rPr>
      </w:pPr>
      <w:r>
        <w:rPr>
          <w:color w:val="000000"/>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color w:val="000000"/>
          <w:lang w:val="ru-RU" w:eastAsia="ru-RU"/>
        </w:rPr>
        <w:t>- техническому обслуживанию оборудования, зданий, сооружений Заказчика;</w:t>
      </w:r>
    </w:p>
    <w:p>
      <w:pPr>
        <w:pStyle w:val="FootnoteText"/>
        <w:rPr>
          <w:lang w:val="ru-RU"/>
        </w:rPr>
      </w:pPr>
      <w:r>
        <w:rPr>
          <w:bCs/>
          <w:color w:val="000000"/>
          <w:lang w:val="ru-RU" w:eastAsia="ru-RU"/>
        </w:rPr>
        <w:t>- утилизации плавмусора.</w:t>
      </w:r>
    </w:p>
  </w:footnote>
  <w:footnote w:id="12">
    <w:p>
      <w:pPr>
        <w:pStyle w:val="FootnoteText"/>
        <w:jc w:val="both"/>
        <w:rPr>
          <w:lang w:val="ru-RU"/>
        </w:rPr>
      </w:pPr>
      <w:r>
        <w:rPr>
          <w:rStyle w:val="Style6"/>
        </w:rPr>
        <w:footnoteRef/>
      </w:r>
      <w:r>
        <w:rPr>
          <w:highlight w:val="lightGray"/>
          <w:lang w:val="ru-RU"/>
        </w:rPr>
        <w:t xml:space="preserve"> </w:t>
      </w:r>
      <w:r>
        <w:rPr>
          <w:highlight w:val="lightGray"/>
          <w:lang w:val="ru-RU"/>
        </w:rPr>
        <w:t>Пункт 2.4.5 включается в Договор в случае, если цена Договора превышает 100 000 000 (сто миллионов) рублей без учета НДС (включительно)</w:t>
      </w:r>
      <w:r>
        <w:rPr>
          <w:lang w:val="ru-RU"/>
        </w:rPr>
        <w:t>.</w:t>
      </w:r>
    </w:p>
  </w:footnote>
  <w:footnote w:id="13">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14">
    <w:p>
      <w:pPr>
        <w:pStyle w:val="FootnoteText"/>
        <w:jc w:val="both"/>
        <w:rPr>
          <w:lang w:val="ru-RU"/>
        </w:rPr>
      </w:pPr>
      <w:r>
        <w:rPr>
          <w:rStyle w:val="Style6"/>
        </w:rPr>
        <w:footnoteRef/>
      </w:r>
      <w:r>
        <w:rPr>
          <w:lang w:val="ru-RU"/>
        </w:rPr>
        <w:t xml:space="preserve"> </w:t>
      </w:r>
      <w:r>
        <w:rPr>
          <w:lang w:val="ru-RU"/>
        </w:rPr>
        <w:t>Пункт включается в Договор в случае, если к Договору прикладывается полный комплект расчетов стоимости услуг.</w:t>
      </w:r>
    </w:p>
  </w:footnote>
  <w:footnote w:id="15">
    <w:p>
      <w:pPr>
        <w:pStyle w:val="FootnoteText"/>
        <w:jc w:val="both"/>
        <w:rPr>
          <w:highlight w:val="yellow"/>
          <w:lang w:val="ru-RU"/>
        </w:rPr>
      </w:pPr>
      <w:r>
        <w:rPr>
          <w:rStyle w:val="Style6"/>
        </w:rPr>
        <w:footnoteRef/>
      </w:r>
      <w:r>
        <w:rPr>
          <w:lang w:val="ru-RU"/>
        </w:rPr>
        <w:t xml:space="preserve">  </w:t>
      </w:r>
      <w:r>
        <w:rPr>
          <w:highlight w:val="lightGray"/>
          <w:lang w:val="ru-RU"/>
        </w:rPr>
        <w:t>Условие включается в случае, когда на дату заключения Договора расчеты стоимости услуг отсутствуют</w:t>
      </w:r>
      <w:r>
        <w:rPr>
          <w:lang w:val="ru-RU"/>
        </w:rPr>
        <w:t>.</w:t>
      </w:r>
      <w:r>
        <w:rPr>
          <w:highlight w:val="yellow"/>
          <w:lang w:val="ru-RU"/>
        </w:rPr>
        <w:t xml:space="preserve"> </w:t>
      </w:r>
    </w:p>
  </w:footnote>
  <w:footnote w:id="16">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17">
    <w:p>
      <w:pPr>
        <w:pStyle w:val="Normal"/>
        <w:jc w:val="both"/>
        <w:rPr>
          <w:sz w:val="20"/>
          <w:szCs w:val="20"/>
          <w:highlight w:val="yellow"/>
          <w:vertAlign w:val="subscript"/>
          <w:lang w:val="ru-RU"/>
        </w:rPr>
      </w:pPr>
      <w:r>
        <w:rPr>
          <w:rStyle w:val="Style6"/>
        </w:rPr>
        <w:footnoteRef/>
      </w:r>
      <w:r>
        <w:rPr>
          <w:sz w:val="20"/>
          <w:szCs w:val="20"/>
          <w:lang w:val="ru-RU"/>
        </w:rPr>
        <w:t xml:space="preserve"> </w:t>
      </w:r>
      <w:r>
        <w:rPr>
          <w:sz w:val="20"/>
          <w:szCs w:val="20"/>
          <w:lang w:val="ru-RU"/>
        </w:rPr>
        <w:t>Для договоров, заключенных в рамках реализации инвестиционной программы Общества.</w:t>
      </w:r>
    </w:p>
  </w:footnote>
  <w:footnote w:id="18">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9">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20">
    <w:p>
      <w:pPr>
        <w:pStyle w:val="FootnoteText"/>
        <w:rPr>
          <w:lang w:val="ru-RU"/>
        </w:rPr>
      </w:pPr>
      <w:r>
        <w:rPr>
          <w:rStyle w:val="Style6"/>
        </w:rPr>
        <w:footnoteRef/>
      </w:r>
      <w:r>
        <w:rPr>
          <w:lang w:val="ru-RU"/>
        </w:rPr>
        <w:t xml:space="preserve"> </w:t>
      </w:r>
      <w:r>
        <w:rPr>
          <w:lang w:val="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утилизации плавмусора.</w:t>
      </w:r>
      <w:r>
        <w:rPr>
          <w:lang w:val="ru-RU"/>
        </w:rPr>
        <w:t xml:space="preserve"> </w:t>
      </w:r>
    </w:p>
  </w:footnote>
  <w:footnote w:id="21">
    <w:p>
      <w:pPr>
        <w:pStyle w:val="FootnoteText"/>
        <w:rPr>
          <w:lang w:val="ru-RU"/>
        </w:rPr>
      </w:pPr>
      <w:r>
        <w:rPr>
          <w:rStyle w:val="Style6"/>
        </w:rPr>
        <w:footnoteRef/>
      </w:r>
      <w:r>
        <w:rPr>
          <w:lang w:val="ru-RU"/>
        </w:rPr>
        <w:t xml:space="preserve"> </w:t>
      </w:r>
      <w:r>
        <w:rPr>
          <w:lang w:val="ru-RU"/>
        </w:rPr>
        <w:t>Указанное условие применяется к договорам оказания услуг в отношении имущества (оборудования), обеспечивающего производство и/или передачу (транспортировку) электрической энергии и мощности</w:t>
      </w:r>
    </w:p>
  </w:footnote>
  <w:footnote w:id="22">
    <w:p>
      <w:pPr>
        <w:pStyle w:val="FootnoteText"/>
        <w:rPr>
          <w:lang w:val="ru-RU"/>
        </w:rPr>
      </w:pPr>
      <w:r>
        <w:rPr>
          <w:rStyle w:val="Style6"/>
        </w:rPr>
        <w:footnoteRef/>
      </w:r>
      <w:r>
        <w:rPr>
          <w:lang w:val="ru-RU"/>
        </w:rPr>
        <w:t xml:space="preserve"> </w:t>
      </w:r>
      <w:r>
        <w:rPr>
          <w:lang w:val="ru-RU"/>
        </w:rPr>
        <w:t xml:space="preserve">Подсудность определяется в соответствии с внутренними распорядительными документами Общества. </w:t>
      </w:r>
    </w:p>
  </w:footnote>
  <w:footnote w:id="23">
    <w:p>
      <w:pPr>
        <w:pStyle w:val="FootnoteText"/>
        <w:rPr>
          <w:lang w:val="ru-RU"/>
        </w:rPr>
      </w:pPr>
      <w:r>
        <w:rPr>
          <w:rStyle w:val="Style6"/>
        </w:rPr>
        <w:footnoteRef/>
      </w:r>
      <w:r>
        <w:rPr>
          <w:lang w:val="ru-RU"/>
        </w:rPr>
        <w:t xml:space="preserve"> </w:t>
      </w:r>
      <w:r>
        <w:rPr>
          <w:lang w:val="ru-RU"/>
        </w:rPr>
        <w:t xml:space="preserve">Для договоров, предусматривающих оказание услуг в области обращения с отходами </w:t>
      </w:r>
      <w:r>
        <w:rPr/>
        <w:t>I</w:t>
      </w:r>
      <w:r>
        <w:rPr>
          <w:lang w:val="ru-RU"/>
        </w:rPr>
        <w:t>-</w:t>
      </w:r>
      <w:r>
        <w:rPr/>
        <w:t>IV</w:t>
      </w:r>
      <w:r>
        <w:rPr>
          <w:lang w:val="ru-RU"/>
        </w:rPr>
        <w:t xml:space="preserve"> классов опасности.</w:t>
      </w:r>
    </w:p>
  </w:footnote>
  <w:footnote w:id="24">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25">
    <w:p>
      <w:pPr>
        <w:pStyle w:val="FootnoteText"/>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26">
    <w:p>
      <w:pPr>
        <w:pStyle w:val="FootnoteText"/>
        <w:rPr>
          <w:lang w:val="ru-RU"/>
        </w:rPr>
      </w:pPr>
      <w:r>
        <w:rPr>
          <w:rStyle w:val="Style6"/>
        </w:rPr>
        <w:footnoteRef/>
      </w:r>
      <w:r>
        <w:rPr>
          <w:lang w:val="ru-RU"/>
        </w:rPr>
        <w:t xml:space="preserve"> </w:t>
      </w:r>
      <w:r>
        <w:rPr>
          <w:lang w:val="ru-RU"/>
        </w:rPr>
        <w:t>Применяется, если не используется УПД.</w:t>
      </w:r>
    </w:p>
  </w:footnote>
  <w:footnote w:id="27">
    <w:p>
      <w:pPr>
        <w:pStyle w:val="FootnoteText"/>
        <w:rPr>
          <w:lang w:val="ru-RU"/>
        </w:rPr>
      </w:pPr>
      <w:r>
        <w:rPr>
          <w:rStyle w:val="Style6"/>
        </w:rPr>
        <w:footnoteRef/>
      </w:r>
      <w:r>
        <w:rPr>
          <w:lang w:val="ru-RU" w:eastAsia="ru-RU"/>
        </w:rPr>
        <w:t xml:space="preserve"> </w:t>
      </w:r>
      <w:r>
        <w:rPr>
          <w:lang w:val="ru-RU" w:eastAsia="ru-RU"/>
        </w:rPr>
        <w:t>Включается в Договор, включающий выполнение работ / оказание услуг по:</w:t>
      </w:r>
    </w:p>
    <w:p>
      <w:pPr>
        <w:pStyle w:val="FootnoteText"/>
        <w:jc w:val="both"/>
        <w:rPr>
          <w:lang w:val="ru-RU"/>
        </w:rPr>
      </w:pPr>
      <w:r>
        <w:rPr>
          <w:lang w:val="ru-RU"/>
        </w:rPr>
        <w:t xml:space="preserve">- очистке, техническому обслуживанию, обследованию, ремонту, техническому перевооружению и реконструкции сороудерживающих </w:t>
      </w:r>
      <w:r>
        <w:rPr>
          <w:lang w:val="ru-RU" w:eastAsia="ru-RU"/>
        </w:rPr>
        <w:t>решеток</w:t>
      </w:r>
      <w:r>
        <w:rPr>
          <w:lang w:val="ru-RU"/>
        </w:rPr>
        <w:t xml:space="preserve"> / сооружений, порогов пазов ремонтных затворов, </w:t>
      </w:r>
      <w:r>
        <w:rPr>
          <w:lang w:val="ru-RU" w:eastAsia="ru-RU"/>
        </w:rPr>
        <w:t>проводящего</w:t>
      </w:r>
      <w:r>
        <w:rPr>
          <w:lang w:val="ru-RU"/>
        </w:rPr>
        <w:t xml:space="preserve"> и отводящего </w:t>
      </w:r>
      <w:r>
        <w:rPr>
          <w:lang w:val="ru-RU" w:eastAsia="ru-RU"/>
        </w:rPr>
        <w:t>каналов</w:t>
      </w:r>
      <w:r>
        <w:rPr>
          <w:lang w:val="ru-RU"/>
        </w:rPr>
        <w:t xml:space="preserve"> и </w:t>
      </w:r>
      <w:r>
        <w:rPr>
          <w:lang w:val="ru-RU" w:eastAsia="ru-RU"/>
        </w:rPr>
        <w:t>т.п.;</w:t>
      </w:r>
    </w:p>
    <w:p>
      <w:pPr>
        <w:pStyle w:val="FootnoteText"/>
        <w:jc w:val="both"/>
        <w:rPr>
          <w:lang w:val="ru-RU"/>
        </w:rPr>
      </w:pPr>
      <w:r>
        <w:rPr>
          <w:lang w:val="ru-RU" w:eastAsia="ru-RU"/>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lang w:val="ru-RU"/>
        </w:rPr>
      </w:pPr>
      <w:r>
        <w:rPr>
          <w:lang w:val="ru-RU" w:eastAsia="ru-RU"/>
        </w:rPr>
        <w:t>- техническому обслуживанию оборудования, зданий, сооружений Заказчика;</w:t>
      </w:r>
    </w:p>
    <w:p>
      <w:pPr>
        <w:pStyle w:val="FootnoteText"/>
        <w:rPr>
          <w:lang w:val="ru-RU"/>
        </w:rPr>
      </w:pPr>
      <w:r>
        <w:rPr>
          <w:lang w:val="ru-RU" w:eastAsia="ru-RU"/>
        </w:rPr>
        <w:t xml:space="preserve">- утилизации плавмусора. </w:t>
      </w:r>
    </w:p>
  </w:footnote>
  <w:footnote w:id="28">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w:t>
    </w:r>
    <w:r>
      <w:rPr>
        <w:sz w:val="20"/>
        <w:szCs w:val="20"/>
        <w:lang w:val="en-US"/>
      </w:rPr>
      <w:t>2</w:t>
    </w:r>
    <w:r>
      <w:rPr>
        <w:sz w:val="20"/>
        <w:szCs w:val="20"/>
        <w:lang w:val="ru-RU"/>
      </w:rPr>
      <w:t>.</w:t>
    </w:r>
    <w:r>
      <w:rPr>
        <w:sz w:val="20"/>
        <w:szCs w:val="20"/>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w:t>
    </w:r>
    <w:r>
      <w:rPr>
        <w:sz w:val="20"/>
        <w:szCs w:val="20"/>
        <w:lang w:val="en-US"/>
      </w:rPr>
      <w:t>2</w:t>
    </w:r>
    <w:r>
      <w:rPr>
        <w:sz w:val="20"/>
        <w:szCs w:val="20"/>
        <w:lang w:val="ru-RU"/>
      </w:rPr>
      <w: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w:t>
    </w:r>
    <w:r>
      <w:rPr>
        <w:sz w:val="20"/>
        <w:szCs w:val="20"/>
        <w:lang w:val="en-US"/>
      </w:rPr>
      <w:t>2</w:t>
    </w:r>
    <w:r>
      <w:rPr>
        <w:sz w:val="20"/>
        <w:szCs w:val="20"/>
        <w:lang w:val="ru-RU"/>
      </w:rPr>
      <w:t>.</w:t>
    </w:r>
    <w:r>
      <w:rPr>
        <w:sz w:val="20"/>
        <w:szCs w:val="20"/>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w:t>
    </w:r>
    <w:r>
      <w:rPr>
        <w:sz w:val="20"/>
        <w:szCs w:val="20"/>
        <w:lang w:val="en-US"/>
      </w:rPr>
      <w:t>2</w:t>
    </w:r>
    <w:r>
      <w:rPr>
        <w:sz w:val="20"/>
        <w:szCs w:val="20"/>
        <w:lang w:val="ru-RU"/>
      </w:rPr>
      <w:t>.</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lang w:val="ru-RU"/>
      </w:rPr>
      <w:t>ТФД 5.1.2.</w:t>
    </w:r>
    <w:r>
      <w:rPr>
        <w:sz w:val="20"/>
        <w:szCs w:val="20"/>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2490"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3"/>
      <w:numFmt w:val="decimal"/>
      <w:lvlText w:val="%1."/>
      <w:lvlJc w:val="left"/>
      <w:pPr>
        <w:tabs>
          <w:tab w:val="num" w:pos="0"/>
        </w:tabs>
        <w:ind w:left="360" w:hanging="360"/>
      </w:pPr>
      <w:rPr/>
    </w:lvl>
    <w:lvl w:ilvl="1">
      <w:start w:val="4"/>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6">
    <w:lvl w:ilvl="0">
      <w:start w:val="2"/>
      <w:numFmt w:val="decimal"/>
      <w:lvlText w:val="%1."/>
      <w:lvlJc w:val="left"/>
      <w:pPr>
        <w:tabs>
          <w:tab w:val="num" w:pos="0"/>
        </w:tabs>
        <w:ind w:left="660" w:hanging="660"/>
      </w:pPr>
      <w:rPr/>
    </w:lvl>
    <w:lvl w:ilvl="1">
      <w:start w:val="3"/>
      <w:numFmt w:val="decimal"/>
      <w:lvlText w:val="%1.%2."/>
      <w:lvlJc w:val="left"/>
      <w:pPr>
        <w:tabs>
          <w:tab w:val="num" w:pos="0"/>
        </w:tabs>
        <w:ind w:left="1015" w:hanging="660"/>
      </w:pPr>
      <w:rPr/>
    </w:lvl>
    <w:lvl w:ilvl="2">
      <w:start w:val="19"/>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7">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5"/>
      <w:numFmt w:val="decimal"/>
      <w:lvlText w:val="%1."/>
      <w:lvlJc w:val="left"/>
      <w:pPr>
        <w:tabs>
          <w:tab w:val="num" w:pos="0"/>
        </w:tabs>
        <w:ind w:left="540" w:hanging="540"/>
      </w:pPr>
      <w:rPr/>
    </w:lvl>
    <w:lvl w:ilvl="1">
      <w:start w:val="1"/>
      <w:numFmt w:val="decimal"/>
      <w:lvlText w:val="%1.%2."/>
      <w:lvlJc w:val="left"/>
      <w:pPr>
        <w:tabs>
          <w:tab w:val="num" w:pos="0"/>
        </w:tabs>
        <w:ind w:left="1680" w:hanging="540"/>
      </w:pPr>
      <w:rPr>
        <w:b w:val="false"/>
      </w:rPr>
    </w:lvl>
    <w:lvl w:ilvl="2">
      <w:start w:val="4"/>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0">
    <w:lvl w:ilvl="0">
      <w:start w:val="6"/>
      <w:numFmt w:val="decimal"/>
      <w:lvlText w:val="%1."/>
      <w:lvlJc w:val="left"/>
      <w:pPr>
        <w:tabs>
          <w:tab w:val="num" w:pos="0"/>
        </w:tabs>
        <w:ind w:left="360" w:hanging="360"/>
      </w:pPr>
      <w:rPr/>
    </w:lvl>
    <w:lvl w:ilvl="1">
      <w:start w:val="2"/>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1">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6">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7">
    <w:lvl w:ilvl="0">
      <w:start w:val="6"/>
      <w:numFmt w:val="decimal"/>
      <w:lvlText w:val="%1."/>
      <w:lvlJc w:val="left"/>
      <w:pPr>
        <w:tabs>
          <w:tab w:val="num" w:pos="0"/>
        </w:tabs>
        <w:ind w:left="360" w:hanging="360"/>
      </w:pPr>
      <w:rPr/>
    </w:lvl>
    <w:lvl w:ilvl="1">
      <w:start w:val="1"/>
      <w:numFmt w:val="decimal"/>
      <w:lvlText w:val="%1.%2."/>
      <w:lvlJc w:val="left"/>
      <w:pPr>
        <w:tabs>
          <w:tab w:val="num" w:pos="0"/>
        </w:tabs>
        <w:ind w:left="2640" w:hanging="360"/>
      </w:pPr>
      <w:rPr>
        <w:b w:val="false"/>
      </w:rPr>
    </w:lvl>
    <w:lvl w:ilvl="2">
      <w:start w:val="1"/>
      <w:numFmt w:val="decimal"/>
      <w:lvlText w:val="%1.%2.%3."/>
      <w:lvlJc w:val="left"/>
      <w:pPr>
        <w:tabs>
          <w:tab w:val="num" w:pos="0"/>
        </w:tabs>
        <w:ind w:left="5280" w:hanging="720"/>
      </w:pPr>
      <w:rPr/>
    </w:lvl>
    <w:lvl w:ilvl="3">
      <w:start w:val="1"/>
      <w:numFmt w:val="decimal"/>
      <w:lvlText w:val="%1.%2.%3.%4."/>
      <w:lvlJc w:val="left"/>
      <w:pPr>
        <w:tabs>
          <w:tab w:val="num" w:pos="0"/>
        </w:tabs>
        <w:ind w:left="7560" w:hanging="720"/>
      </w:pPr>
      <w:rPr/>
    </w:lvl>
    <w:lvl w:ilvl="4">
      <w:start w:val="1"/>
      <w:numFmt w:val="decimal"/>
      <w:lvlText w:val="%1.%2.%3.%4.%5."/>
      <w:lvlJc w:val="left"/>
      <w:pPr>
        <w:tabs>
          <w:tab w:val="num" w:pos="0"/>
        </w:tabs>
        <w:ind w:left="10200" w:hanging="1080"/>
      </w:pPr>
      <w:rPr/>
    </w:lvl>
    <w:lvl w:ilvl="5">
      <w:start w:val="1"/>
      <w:numFmt w:val="decimal"/>
      <w:lvlText w:val="%1.%2.%3.%4.%5.%6."/>
      <w:lvlJc w:val="left"/>
      <w:pPr>
        <w:tabs>
          <w:tab w:val="num" w:pos="0"/>
        </w:tabs>
        <w:ind w:left="12480" w:hanging="1080"/>
      </w:pPr>
      <w:rPr/>
    </w:lvl>
    <w:lvl w:ilvl="6">
      <w:start w:val="1"/>
      <w:numFmt w:val="decimal"/>
      <w:lvlText w:val="%1.%2.%3.%4.%5.%6.%7."/>
      <w:lvlJc w:val="left"/>
      <w:pPr>
        <w:tabs>
          <w:tab w:val="num" w:pos="0"/>
        </w:tabs>
        <w:ind w:left="15120" w:hanging="1440"/>
      </w:pPr>
      <w:rPr/>
    </w:lvl>
    <w:lvl w:ilvl="7">
      <w:start w:val="1"/>
      <w:numFmt w:val="decimal"/>
      <w:lvlText w:val="%1.%2.%3.%4.%5.%6.%7.%8."/>
      <w:lvlJc w:val="left"/>
      <w:pPr>
        <w:tabs>
          <w:tab w:val="num" w:pos="0"/>
        </w:tabs>
        <w:ind w:left="17400" w:hanging="1440"/>
      </w:pPr>
      <w:rPr/>
    </w:lvl>
    <w:lvl w:ilvl="8">
      <w:start w:val="1"/>
      <w:numFmt w:val="decimal"/>
      <w:lvlText w:val="%1.%2.%3.%4.%5.%6.%7.%8.%9."/>
      <w:lvlJc w:val="left"/>
      <w:pPr>
        <w:tabs>
          <w:tab w:val="num" w:pos="0"/>
        </w:tabs>
        <w:ind w:left="200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link w:val="12"/>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Linenumber">
    <w:name w:val="line number"/>
    <w:qFormat/>
    <w:rPr/>
  </w:style>
  <w:style w:type="character" w:styleId="Style17" w:customStyle="1">
    <w:name w:val="Символ концевой сноски"/>
    <w:qFormat/>
    <w:rPr>
      <w:vertAlign w:val="superscript"/>
    </w:rPr>
  </w:style>
  <w:style w:type="character" w:styleId="EndnoteReference">
    <w:name w:val="Endnote Reference"/>
    <w:rPr>
      <w:vertAlign w:val="superscript"/>
    </w:rPr>
  </w:style>
  <w:style w:type="character" w:styleId="Style18" w:customStyle="1">
    <w:name w:val="Маркеры"/>
    <w:qFormat/>
    <w:rPr>
      <w:rFonts w:ascii="OpenSymbol" w:hAnsi="OpenSymbol" w:eastAsia="OpenSymbol" w:cs="OpenSymbol"/>
    </w:rPr>
  </w:style>
  <w:style w:type="character" w:styleId="Style19" w:customStyle="1">
    <w:name w:val="Символ нумерации"/>
    <w:qFormat/>
    <w:rPr/>
  </w:style>
  <w:style w:type="paragraph" w:styleId="Style20">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1">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rPr>
  </w:style>
  <w:style w:type="paragraph" w:styleId="Indexheading">
    <w:name w:val="index heading"/>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2"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3" w:customStyle="1">
    <w:name w:val="Пункт"/>
    <w:basedOn w:val="Normal"/>
    <w:qFormat/>
    <w:rsid w:val="005f1e81"/>
    <w:pPr>
      <w:numPr>
        <w:ilvl w:val="2"/>
        <w:numId w:val="2"/>
      </w:numPr>
      <w:jc w:val="both"/>
    </w:pPr>
    <w:rPr>
      <w:sz w:val="28"/>
      <w:lang w:val="ru-RU"/>
    </w:rPr>
  </w:style>
  <w:style w:type="paragraph" w:styleId="Style24" w:customStyle="1">
    <w:name w:val="Подпункт"/>
    <w:basedOn w:val="Style23"/>
    <w:qFormat/>
    <w:rsid w:val="005f1e81"/>
    <w:pPr>
      <w:numPr>
        <w:ilvl w:val="3"/>
      </w:numPr>
    </w:pPr>
    <w:rPr/>
  </w:style>
  <w:style w:type="paragraph" w:styleId="Style25" w:customStyle="1">
    <w:name w:val="Подподпункт"/>
    <w:basedOn w:val="Style24"/>
    <w:qFormat/>
    <w:rsid w:val="005f1e81"/>
    <w:pPr>
      <w:numPr>
        <w:ilvl w:val="4"/>
      </w:numPr>
    </w:pPr>
    <w:rPr/>
  </w:style>
  <w:style w:type="paragraph" w:styleId="Style26" w:customStyle="1">
    <w:name w:val="Пункт договора"/>
    <w:basedOn w:val="Normal"/>
    <w:qFormat/>
    <w:rsid w:val="005f1e81"/>
    <w:pPr>
      <w:widowControl w:val="false"/>
      <w:jc w:val="both"/>
    </w:pPr>
    <w:rPr>
      <w:rFonts w:ascii="Arial" w:hAnsi="Arial"/>
      <w:sz w:val="20"/>
      <w:szCs w:val="20"/>
      <w:lang w:val="ru-RU"/>
    </w:rPr>
  </w:style>
  <w:style w:type="paragraph" w:styleId="Style27"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8" w:customStyle="1">
    <w:name w:val="Раздел договора"/>
    <w:basedOn w:val="Normal"/>
    <w:next w:val="Style26"/>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9"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2" w:customStyle="1">
    <w:name w:val="Заголовок1"/>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30" w:customStyle="1">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1" w:customStyle="1">
    <w:name w:val="caption11"/>
    <w:basedOn w:val="Normal"/>
    <w:next w:val="Normal"/>
    <w:qFormat/>
    <w:rsid w:val="006375b6"/>
    <w:pPr>
      <w:widowControl w:val="false"/>
      <w:overflowPunct w:val="false"/>
      <w:spacing w:before="120" w:after="120"/>
      <w:jc w:val="both"/>
      <w:textAlignment w:val="baseline"/>
    </w:pPr>
    <w:rPr>
      <w:b/>
      <w:bCs/>
      <w:lang w:val="ru-RU"/>
    </w:rPr>
  </w:style>
  <w:style w:type="paragraph" w:styleId="13"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Style31" w:customStyle="1">
    <w:name w:val="Содержимое таблицы"/>
    <w:basedOn w:val="Normal"/>
    <w:qFormat/>
    <w:pPr>
      <w:widowControl w:val="false"/>
      <w:suppressLineNumbers/>
    </w:pPr>
    <w:rPr/>
  </w:style>
  <w:style w:type="paragraph" w:styleId="Style32" w:customStyle="1">
    <w:name w:val="Заголовок таблицы"/>
    <w:basedOn w:val="Style31"/>
    <w:qFormat/>
    <w:pPr>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fff2">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wmf"/><Relationship Id="rId14" Type="http://schemas.openxmlformats.org/officeDocument/2006/relationships/image" Target="media/image3.wmf"/><Relationship Id="rId15" Type="http://schemas.openxmlformats.org/officeDocument/2006/relationships/image" Target="media/image4.wmf"/><Relationship Id="rId16" Type="http://schemas.openxmlformats.org/officeDocument/2006/relationships/image" Target="media/image5.wmf"/><Relationship Id="rId17" Type="http://schemas.openxmlformats.org/officeDocument/2006/relationships/image" Target="media/image6.wmf"/><Relationship Id="rId18" Type="http://schemas.openxmlformats.org/officeDocument/2006/relationships/image" Target="media/image7.wmf"/><Relationship Id="rId19" Type="http://schemas.openxmlformats.org/officeDocument/2006/relationships/image" Target="media/image8.wmf"/><Relationship Id="rId20" Type="http://schemas.openxmlformats.org/officeDocument/2006/relationships/image" Target="media/image9.wmf"/><Relationship Id="rId21" Type="http://schemas.openxmlformats.org/officeDocument/2006/relationships/image" Target="media/image10.wmf"/><Relationship Id="rId22" Type="http://schemas.openxmlformats.org/officeDocument/2006/relationships/image" Target="media/image11.wmf"/><Relationship Id="rId23" Type="http://schemas.openxmlformats.org/officeDocument/2006/relationships/image" Target="media/image12.wmf"/><Relationship Id="rId24" Type="http://schemas.openxmlformats.org/officeDocument/2006/relationships/image" Target="media/image13.wmf"/><Relationship Id="rId25" Type="http://schemas.openxmlformats.org/officeDocument/2006/relationships/image" Target="media/image14.wmf"/><Relationship Id="rId26" Type="http://schemas.openxmlformats.org/officeDocument/2006/relationships/image" Target="media/image15.wmf"/><Relationship Id="rId27" Type="http://schemas.openxmlformats.org/officeDocument/2006/relationships/image" Target="media/image16.wmf"/><Relationship Id="rId28" Type="http://schemas.openxmlformats.org/officeDocument/2006/relationships/image" Target="media/image17.wmf"/><Relationship Id="rId29" Type="http://schemas.openxmlformats.org/officeDocument/2006/relationships/image" Target="media/image18.wmf"/><Relationship Id="rId30" Type="http://schemas.openxmlformats.org/officeDocument/2006/relationships/image" Target="media/image19.wmf"/><Relationship Id="rId31" Type="http://schemas.openxmlformats.org/officeDocument/2006/relationships/image" Target="media/image20.wmf"/><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image" Target="media/image21.wmf"/><Relationship Id="rId35" Type="http://schemas.openxmlformats.org/officeDocument/2006/relationships/image" Target="media/image22.wmf"/><Relationship Id="rId36" Type="http://schemas.openxmlformats.org/officeDocument/2006/relationships/header" Target="header5.xml"/><Relationship Id="rId37" Type="http://schemas.openxmlformats.org/officeDocument/2006/relationships/header" Target="header6.xml"/><Relationship Id="rId38" Type="http://schemas.openxmlformats.org/officeDocument/2006/relationships/footer" Target="footer4.xml"/><Relationship Id="rId39" Type="http://schemas.openxmlformats.org/officeDocument/2006/relationships/footer" Target="footer5.xml"/><Relationship Id="rId40" Type="http://schemas.openxmlformats.org/officeDocument/2006/relationships/footnotes" Target="footnotes.xml"/><Relationship Id="rId41" Type="http://schemas.openxmlformats.org/officeDocument/2006/relationships/numbering" Target="numbering.xml"/><Relationship Id="rId42" Type="http://schemas.openxmlformats.org/officeDocument/2006/relationships/fontTable" Target="fontTable.xml"/><Relationship Id="rId43" Type="http://schemas.openxmlformats.org/officeDocument/2006/relationships/settings" Target="settings.xml"/><Relationship Id="rId44" Type="http://schemas.openxmlformats.org/officeDocument/2006/relationships/theme" Target="theme/theme1.xml"/><Relationship Id="rId45" Type="http://schemas.openxmlformats.org/officeDocument/2006/relationships/customXml" Target="../customXml/item1.xml"/><Relationship Id="rId46" Type="http://schemas.openxmlformats.org/officeDocument/2006/relationships/customXml" Target="../customXml/item2.xml"/><Relationship Id="rId47" Type="http://schemas.openxmlformats.org/officeDocument/2006/relationships/customXml" Target="../customXml/item3.xml"/><Relationship Id="rId48" Type="http://schemas.openxmlformats.org/officeDocument/2006/relationships/customXml" Target="../customXml/item4.xml"/><Relationship Id="rId49" Type="http://schemas.openxmlformats.org/officeDocument/2006/relationships/customXml" Target="../customXml/item5.xml"/><Relationship Id="rId50" Type="http://schemas.openxmlformats.org/officeDocument/2006/relationships/customXml" Target="../customXml/item6.xml"/><Relationship Id="rId51"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E7DDC-4AA1-46F4-BC99-D3A7A2B980D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93526D44-DCE4-460D-A23E-ECF861351C52}">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30875DE2-141E-4FFA-BE88-46B621142021}">
  <ds:schemaRefs>
    <ds:schemaRef ds:uri="http://schemas.openxmlformats.org/officeDocument/2006/bibliography"/>
  </ds:schemaRefs>
</ds:datastoreItem>
</file>

<file path=customXml/itemProps6.xml><?xml version="1.0" encoding="utf-8"?>
<ds:datastoreItem xmlns:ds="http://schemas.openxmlformats.org/officeDocument/2006/customXml" ds:itemID="{41117708-6B5C-4C58-9AF7-2A45B21A1F1D}">
  <ds:schemaRefs>
    <ds:schemaRef ds:uri="http://schemas.openxmlformats.org/officeDocument/2006/bibliography"/>
  </ds:schemaRefs>
</ds:datastoreItem>
</file>

<file path=customXml/itemProps7.xml><?xml version="1.0" encoding="utf-8"?>
<ds:datastoreItem xmlns:ds="http://schemas.openxmlformats.org/officeDocument/2006/customXml" ds:itemID="{FA6D074A-B231-4773-B37E-B9840FBB3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AlterOffice/3.4.0.9$Linux_X86_64 LibreOffice_project/b8daf9e823b1a5463a2f48435ddc2e8696e7d4fc</Application>
  <AppVersion>15.0000</AppVersion>
  <Pages>30</Pages>
  <Words>13134</Words>
  <Characters>94379</Characters>
  <CharactersWithSpaces>100462</CharactersWithSpaces>
  <Paragraphs>689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2026-08-12T05:50:00Z</dcterms:created>
  <dc:creator>UK VoHEC</dc:creator>
  <dc:description/>
  <dc:language>ru-RU</dc:language>
  <cp:lastModifiedBy>Наталья Николаевна Новокрещенова</cp:lastModifiedBy>
  <cp:lastPrinted>2016-12-15T13:00:00Z</cp:lastPrinted>
  <dcterms:modified xsi:type="dcterms:W3CDTF">2026-08-12T16:34:06Z</dcterms:modified>
  <cp:revision>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