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keepLines/>
        <w:numPr>
          <w:ilvl w:val="0"/>
          <w:numId w:val="0"/>
        </w:numPr>
        <w:spacing w:lineRule="auto" w:line="360" w:before="120" w:after="0"/>
        <w:ind w:left="0" w:hanging="0"/>
        <w:contextualSpacing/>
        <w:jc w:val="center"/>
        <w:outlineLvl w:val="0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  <w:bookmarkStart w:id="0" w:name="undefined_Копия_1"/>
      <w:r>
        <w:rPr>
          <w:rFonts w:ascii="Times New Roman" w:hAnsi="Times New Roman"/>
          <w:b/>
          <w:caps/>
          <w:color w:val="000000" w:themeColor="text1"/>
          <w:sz w:val="28"/>
          <w:szCs w:val="28"/>
        </w:rPr>
        <w:t xml:space="preserve">Приложение № 1.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Техническое</w:t>
      </w:r>
      <w:r>
        <w:rPr>
          <w:rFonts w:ascii="Times New Roman" w:hAnsi="Times New Roman"/>
          <w:b/>
          <w:cap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задание</w:t>
      </w:r>
      <w:bookmarkEnd w:id="0"/>
    </w:p>
    <w:p>
      <w:pPr>
        <w:pStyle w:val="Normal"/>
        <w:numPr>
          <w:ilvl w:val="0"/>
          <w:numId w:val="0"/>
        </w:numPr>
        <w:spacing w:before="60" w:after="0"/>
        <w:ind w:left="0" w:firstLine="567"/>
        <w:jc w:val="center"/>
        <w:outlineLvl w:val="2"/>
        <w:rPr>
          <w:caps/>
          <w:color w:val="000000" w:themeColor="text1"/>
        </w:rPr>
      </w:pPr>
      <w:r>
        <w:rPr>
          <w:caps/>
          <w:color w:val="000000" w:themeColor="text1"/>
        </w:rPr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Приложение №1 к Извещению и Документации</w:t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для проведения процедуры попозиционной реализации невостребованных  </w:t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2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товарно-материальных ценностей</w:t>
      </w:r>
    </w:p>
    <w:tbl>
      <w:tblPr>
        <w:tblW w:w="10860" w:type="dxa"/>
        <w:jc w:val="left"/>
        <w:tblInd w:w="-2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10860"/>
      </w:tblGrid>
      <w:tr>
        <w:trPr/>
        <w:tc>
          <w:tcPr>
            <w:tcW w:w="1086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2"/>
              <w:rPr/>
            </w:pPr>
            <w:r>
              <w:rPr/>
            </w:r>
          </w:p>
        </w:tc>
      </w:tr>
    </w:tbl>
    <w:p>
      <w:pPr>
        <w:pStyle w:val="Normal"/>
        <w:numPr>
          <w:ilvl w:val="0"/>
          <w:numId w:val="0"/>
        </w:numPr>
        <w:ind w:left="0" w:hanging="0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</w:rPr>
      </w:pPr>
      <w:r>
        <w:rPr>
          <w:b/>
        </w:rPr>
        <w:t>Техническое задание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color w:val="000000" w:themeColor="text1"/>
        </w:rPr>
      </w:pPr>
      <w:bookmarkStart w:id="1" w:name="undefined"/>
      <w:r>
        <w:rPr/>
        <w:t xml:space="preserve">для проведения процедуры </w:t>
      </w:r>
      <w:r>
        <w:rPr>
          <w:color w:val="000000" w:themeColor="text1"/>
        </w:rPr>
        <w:t xml:space="preserve">попозиционной </w:t>
      </w:r>
      <w:r>
        <w:rPr/>
        <w:t xml:space="preserve">реализации </w:t>
      </w:r>
      <w:bookmarkEnd w:id="1"/>
      <w:r>
        <w:rPr>
          <w:color w:val="000000" w:themeColor="text1"/>
        </w:rPr>
        <w:t xml:space="preserve">невостребованных                  товарно-материальных ценностей 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  <w:t>АО «ДРСК» «Приморские электрические сети»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left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left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left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left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left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left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left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left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left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left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2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</w:t>
      </w:r>
      <w:r>
        <w:rPr/>
        <w:t>г.Владивосток</w:t>
      </w:r>
    </w:p>
    <w:p>
      <w:pPr>
        <w:pStyle w:val="Normal"/>
        <w:jc w:val="center"/>
        <w:rPr/>
      </w:pPr>
      <w:r>
        <w:rPr/>
        <w:tab/>
        <w:tab/>
        <w:tab/>
        <w:tab/>
        <w:tab/>
        <w:tab/>
        <w:t xml:space="preserve">2026г.  </w:t>
      </w:r>
    </w:p>
    <w:p>
      <w:pPr>
        <w:pStyle w:val="Normal"/>
        <w:jc w:val="center"/>
        <w:rPr/>
      </w:pPr>
      <w:r>
        <w:rPr/>
        <w:t xml:space="preserve">                     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57"/>
          <w:tab w:val="left" w:pos="567" w:leader="none"/>
        </w:tabs>
        <w:ind w:left="0" w:hanging="0"/>
        <w:outlineLvl w:val="2"/>
        <w:rPr>
          <w:b/>
          <w:bCs/>
          <w:color w:val="000000" w:themeColor="text1"/>
        </w:rPr>
      </w:pPr>
      <w:bookmarkStart w:id="2" w:name="_Toc20150083"/>
      <w:bookmarkStart w:id="3" w:name="_Toc21536931"/>
      <w:bookmarkStart w:id="4" w:name="_Toc20150261"/>
      <w:r>
        <w:rPr>
          <w:b/>
          <w:bCs/>
          <w:color w:val="000000" w:themeColor="text1"/>
        </w:rPr>
        <w:t>Общие сведения.</w:t>
      </w:r>
      <w:bookmarkEnd w:id="2"/>
      <w:bookmarkEnd w:id="3"/>
      <w:bookmarkEnd w:id="4"/>
    </w:p>
    <w:p>
      <w:pPr>
        <w:pStyle w:val="Normal"/>
        <w:ind w:firstLine="709"/>
        <w:rPr/>
      </w:pPr>
      <w:r>
        <w:rPr>
          <w:rFonts w:eastAsia="Times New Roman"/>
          <w:bCs/>
          <w:color w:val="000000" w:themeColor="text1"/>
        </w:rPr>
        <w:t xml:space="preserve">Невостребованные товарно-материальные ценности, образовались в процессе производственно-хозяйственной деятельности в </w:t>
      </w:r>
      <w:r>
        <w:rPr>
          <w:color w:val="000000" w:themeColor="text1"/>
        </w:rPr>
        <w:t>структурном подразделении «Приморские электрические сети» АО «ДРСК»</w:t>
      </w:r>
      <w:r>
        <w:rPr>
          <w:bCs/>
          <w:color w:val="000000" w:themeColor="text1"/>
        </w:rPr>
        <w:t xml:space="preserve">. Количество невостребованных товарно-материальных ценностей указано в Спецификации (Приложение № 1 к настоящему Техническому заданию). </w:t>
      </w:r>
    </w:p>
    <w:p>
      <w:pPr>
        <w:pStyle w:val="Normal"/>
        <w:ind w:firstLine="850"/>
        <w:rPr>
          <w:bCs/>
          <w:color w:val="000000" w:themeColor="text1"/>
        </w:rPr>
      </w:pPr>
      <w:r>
        <w:rPr>
          <w:bCs/>
          <w:color w:val="000000" w:themeColor="text1"/>
        </w:rPr>
      </w:r>
    </w:p>
    <w:p>
      <w:pPr>
        <w:pStyle w:val="Normal"/>
        <w:widowControl w:val="false"/>
        <w:numPr>
          <w:ilvl w:val="0"/>
          <w:numId w:val="7"/>
        </w:numPr>
        <w:tabs>
          <w:tab w:val="clear" w:pos="57"/>
          <w:tab w:val="left" w:pos="567" w:leader="none"/>
        </w:tabs>
        <w:ind w:left="0" w:hanging="0"/>
        <w:jc w:val="left"/>
        <w:outlineLvl w:val="2"/>
        <w:rPr>
          <w:b/>
          <w:bCs/>
          <w:color w:val="000000" w:themeColor="text1"/>
        </w:rPr>
      </w:pPr>
      <w:bookmarkStart w:id="5" w:name="_Toc21536932"/>
      <w:bookmarkStart w:id="6" w:name="_Ref20220400"/>
      <w:bookmarkStart w:id="7" w:name="_Toc20150262"/>
      <w:bookmarkStart w:id="8" w:name="_Toc20150084"/>
      <w:r>
        <w:rPr>
          <w:b/>
          <w:bCs/>
          <w:color w:val="000000" w:themeColor="text1"/>
        </w:rPr>
        <w:t>Место реализации Невостребованных товарно-материальных ценностей.</w:t>
      </w:r>
      <w:bookmarkEnd w:id="5"/>
      <w:bookmarkEnd w:id="6"/>
      <w:bookmarkEnd w:id="7"/>
      <w:bookmarkEnd w:id="8"/>
    </w:p>
    <w:p>
      <w:pPr>
        <w:pStyle w:val="Normal"/>
        <w:numPr>
          <w:ilvl w:val="0"/>
          <w:numId w:val="0"/>
        </w:numPr>
        <w:tabs>
          <w:tab w:val="clear" w:pos="57"/>
          <w:tab w:val="left" w:pos="1701" w:leader="none"/>
          <w:tab w:val="left" w:pos="1843" w:leader="none"/>
        </w:tabs>
        <w:ind w:left="0" w:firstLine="709"/>
        <w:outlineLvl w:val="2"/>
        <w:rPr>
          <w:highlight w:val="white"/>
        </w:rPr>
      </w:pPr>
      <w:r>
        <w:rPr>
          <w:bCs/>
          <w:highlight w:val="white"/>
        </w:rPr>
        <w:t xml:space="preserve">Территория </w:t>
      </w:r>
      <w:r>
        <w:rPr>
          <w:bCs/>
          <w:color w:val="000000" w:themeColor="text1"/>
          <w:highlight w:val="white"/>
        </w:rPr>
        <w:t>структурного подразделения «Приморские электрические сети», р</w:t>
      </w:r>
      <w:r>
        <w:rPr>
          <w:bCs/>
          <w:highlight w:val="white"/>
        </w:rPr>
        <w:t xml:space="preserve">асположенная по адресу: </w:t>
      </w:r>
    </w:p>
    <w:p>
      <w:pPr>
        <w:pStyle w:val="Normal"/>
        <w:numPr>
          <w:ilvl w:val="0"/>
          <w:numId w:val="0"/>
        </w:numPr>
        <w:tabs>
          <w:tab w:val="clear" w:pos="57"/>
          <w:tab w:val="left" w:pos="709" w:leader="none"/>
          <w:tab w:val="left" w:pos="1701" w:leader="none"/>
          <w:tab w:val="left" w:pos="1843" w:leader="none"/>
        </w:tabs>
        <w:ind w:left="0" w:firstLine="709"/>
        <w:outlineLvl w:val="2"/>
        <w:rPr>
          <w:highlight w:val="white"/>
        </w:rPr>
      </w:pPr>
      <w:r>
        <w:rPr>
          <w:highlight w:val="white"/>
          <w:shd w:fill="FFFF99" w:val="clear"/>
        </w:rPr>
        <w:t>- РФ, Приморский край, г.  Уссурийск,  ул, Резервная,  22 А</w:t>
      </w:r>
    </w:p>
    <w:p>
      <w:pPr>
        <w:pStyle w:val="Normal"/>
        <w:numPr>
          <w:ilvl w:val="0"/>
          <w:numId w:val="0"/>
        </w:numPr>
        <w:tabs>
          <w:tab w:val="clear" w:pos="57"/>
          <w:tab w:val="left" w:pos="1701" w:leader="none"/>
          <w:tab w:val="left" w:pos="1843" w:leader="none"/>
        </w:tabs>
        <w:ind w:left="0" w:hanging="0"/>
        <w:outlineLvl w:val="2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keepNext w:val="true"/>
        <w:numPr>
          <w:ilvl w:val="0"/>
          <w:numId w:val="7"/>
        </w:numPr>
        <w:ind w:left="567" w:hanging="567"/>
        <w:jc w:val="left"/>
        <w:outlineLvl w:val="2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Т</w:t>
      </w:r>
      <w:bookmarkStart w:id="9" w:name="_Toc21536933"/>
      <w:bookmarkStart w:id="10" w:name="_Toc20150263"/>
      <w:bookmarkStart w:id="11" w:name="_Toc20150085"/>
      <w:r>
        <w:rPr>
          <w:b/>
          <w:bCs/>
          <w:color w:val="000000" w:themeColor="text1"/>
        </w:rPr>
        <w:t>ребования к Покупателю.</w:t>
      </w:r>
      <w:bookmarkEnd w:id="9"/>
      <w:bookmarkEnd w:id="10"/>
      <w:bookmarkEnd w:id="11"/>
    </w:p>
    <w:p>
      <w:pPr>
        <w:pStyle w:val="Normal"/>
        <w:widowControl w:val="false"/>
        <w:numPr>
          <w:ilvl w:val="1"/>
          <w:numId w:val="7"/>
        </w:numPr>
        <w:tabs>
          <w:tab w:val="clear" w:pos="57"/>
          <w:tab w:val="left" w:pos="0" w:leader="none"/>
        </w:tabs>
        <w:ind w:left="0" w:firstLine="709"/>
        <w:outlineLvl w:val="2"/>
        <w:rPr>
          <w:color w:val="000000" w:themeColor="text1"/>
        </w:rPr>
      </w:pPr>
      <w:bookmarkStart w:id="12" w:name="_Toc20150264"/>
      <w:bookmarkStart w:id="13" w:name="_Toc21536934"/>
      <w:bookmarkStart w:id="14" w:name="_Toc20150086"/>
      <w:r>
        <w:rPr>
          <w:bCs/>
          <w:color w:val="000000" w:themeColor="text1"/>
        </w:rPr>
        <w:t>Требования к Покупателю Невостребованных товарно-материальных ценностей сформулированы в пункте 2.1.2 Документации</w:t>
      </w:r>
      <w:bookmarkEnd w:id="12"/>
      <w:bookmarkEnd w:id="13"/>
      <w:bookmarkEnd w:id="14"/>
    </w:p>
    <w:p>
      <w:pPr>
        <w:pStyle w:val="Normal"/>
        <w:widowControl w:val="false"/>
        <w:numPr>
          <w:ilvl w:val="0"/>
          <w:numId w:val="7"/>
        </w:numPr>
        <w:ind w:left="567" w:hanging="567"/>
        <w:jc w:val="left"/>
        <w:outlineLvl w:val="2"/>
        <w:rPr/>
      </w:pPr>
      <w:r>
        <w:rPr>
          <w:b/>
          <w:bCs/>
          <w:color w:val="000000" w:themeColor="text1"/>
        </w:rPr>
        <w:t>Условия реализации</w:t>
      </w:r>
      <w:bookmarkStart w:id="15" w:name="_Toc21536940"/>
      <w:bookmarkStart w:id="16" w:name="_Toc20150270"/>
      <w:bookmarkStart w:id="17" w:name="_Toc20150092"/>
      <w:r>
        <w:rPr>
          <w:b/>
          <w:bCs/>
          <w:color w:val="000000" w:themeColor="text1"/>
        </w:rPr>
        <w:t>.</w:t>
      </w:r>
      <w:bookmarkEnd w:id="15"/>
      <w:bookmarkEnd w:id="16"/>
      <w:bookmarkEnd w:id="17"/>
    </w:p>
    <w:p>
      <w:pPr>
        <w:pStyle w:val="Normal"/>
        <w:widowControl w:val="false"/>
        <w:numPr>
          <w:ilvl w:val="1"/>
          <w:numId w:val="7"/>
        </w:numPr>
        <w:tabs>
          <w:tab w:val="clear" w:pos="57"/>
          <w:tab w:val="left" w:pos="1134" w:leader="none"/>
        </w:tabs>
        <w:ind w:left="0" w:firstLine="709"/>
        <w:outlineLvl w:val="2"/>
        <w:rPr/>
      </w:pPr>
      <w:bookmarkStart w:id="18" w:name="_Ref20147251"/>
      <w:bookmarkStart w:id="19" w:name="_Toc20150093"/>
      <w:bookmarkStart w:id="20" w:name="_Toc20150271"/>
      <w:bookmarkStart w:id="21" w:name="_Toc21536941"/>
      <w:r>
        <w:rPr>
          <w:bCs/>
          <w:color w:val="000000" w:themeColor="text1"/>
        </w:rPr>
        <w:t>Вывоз Невостребованных товарно-материальных ценностей (НТМЦ) должен быть произведен в течение 50 (пятидесяти) календарных дней с даты заключения договора, согласно графику реализации Невостребованных товарно-материальных ценностей (Приложение № 2 к настоящему Техническому заданию), с учетом исполнения в полном объеме обязательств по договору купли-продажи.</w:t>
      </w:r>
      <w:bookmarkEnd w:id="18"/>
      <w:bookmarkEnd w:id="19"/>
      <w:bookmarkEnd w:id="20"/>
      <w:bookmarkEnd w:id="21"/>
    </w:p>
    <w:p>
      <w:pPr>
        <w:pStyle w:val="Normal"/>
        <w:widowControl w:val="false"/>
        <w:numPr>
          <w:ilvl w:val="1"/>
          <w:numId w:val="7"/>
        </w:numPr>
        <w:tabs>
          <w:tab w:val="clear" w:pos="57"/>
          <w:tab w:val="left" w:pos="1134" w:leader="none"/>
        </w:tabs>
        <w:ind w:left="0" w:firstLine="709"/>
        <w:outlineLvl w:val="2"/>
        <w:rPr/>
      </w:pPr>
      <w:bookmarkStart w:id="22" w:name="_Toc20150094"/>
      <w:bookmarkStart w:id="23" w:name="_Toc20150272"/>
      <w:bookmarkStart w:id="24" w:name="_Toc21536942"/>
      <w:r>
        <w:rPr>
          <w:bCs/>
          <w:color w:val="000000" w:themeColor="text1"/>
        </w:rPr>
        <w:t>Реализация Невостребованных товарно-материальных ценностей производится на условиях предварительной 100% оплаты Невостребованных товарно-материальных ценностей.</w:t>
      </w:r>
      <w:bookmarkEnd w:id="22"/>
      <w:bookmarkEnd w:id="23"/>
      <w:bookmarkEnd w:id="24"/>
    </w:p>
    <w:p>
      <w:pPr>
        <w:pStyle w:val="Normal"/>
        <w:widowControl w:val="false"/>
        <w:numPr>
          <w:ilvl w:val="1"/>
          <w:numId w:val="7"/>
        </w:numPr>
        <w:tabs>
          <w:tab w:val="clear" w:pos="57"/>
          <w:tab w:val="left" w:pos="1134" w:leader="none"/>
        </w:tabs>
        <w:ind w:left="0" w:firstLine="709"/>
        <w:outlineLvl w:val="2"/>
        <w:rPr/>
      </w:pPr>
      <w:r>
        <w:rPr>
          <w:bCs/>
          <w:color w:val="000000" w:themeColor="text1"/>
        </w:rPr>
        <w:t>Покупатель организует своими силами и средствами погрузку в транспортное средство, приемку, и вывоз НТМЦ с территории Продавца.</w:t>
      </w:r>
    </w:p>
    <w:p>
      <w:pPr>
        <w:pStyle w:val="Normal"/>
        <w:widowControl w:val="false"/>
        <w:numPr>
          <w:ilvl w:val="1"/>
          <w:numId w:val="7"/>
        </w:numPr>
        <w:tabs>
          <w:tab w:val="clear" w:pos="57"/>
          <w:tab w:val="left" w:pos="1134" w:leader="none"/>
        </w:tabs>
        <w:ind w:left="0" w:firstLine="709"/>
        <w:outlineLvl w:val="2"/>
        <w:rPr/>
      </w:pPr>
      <w:r>
        <w:rPr>
          <w:bCs/>
          <w:color w:val="000000" w:themeColor="text1"/>
        </w:rPr>
        <w:t>При выполнении Покупателем работ на территории Продавца: погрузка в транспортное средство, должны быть начаты после согласования с Продавцом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57"/>
          <w:tab w:val="left" w:pos="0" w:leader="none"/>
        </w:tabs>
        <w:ind w:left="0" w:firstLine="709"/>
        <w:outlineLvl w:val="2"/>
        <w:rPr/>
      </w:pPr>
      <w:r>
        <w:rPr>
          <w:bCs/>
        </w:rPr>
        <w:t xml:space="preserve"> </w:t>
      </w:r>
      <w:r>
        <w:rPr>
          <w:bCs/>
        </w:rPr>
        <w:t>4.5. Перед началом работ Покупатель в обязательном порядке предоставляет Продавцу ППР на</w:t>
      </w:r>
      <w:r>
        <w:rPr>
          <w:bCs/>
          <w:color w:val="000000" w:themeColor="text1"/>
        </w:rPr>
        <w:t xml:space="preserve"> погрузку в транспортное средство, транспортировку</w:t>
      </w:r>
      <w:r>
        <w:rPr>
          <w:bCs/>
        </w:rPr>
        <w:t xml:space="preserve"> по территории объекта «Приморских ЭС» с места хранения до места последующего назначения.   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57"/>
          <w:tab w:val="left" w:pos="1134" w:leader="none"/>
        </w:tabs>
        <w:ind w:left="0" w:firstLine="709"/>
        <w:outlineLvl w:val="2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4.6. </w:t>
      </w:r>
      <w:bookmarkStart w:id="25" w:name="_Toc20150098"/>
      <w:bookmarkStart w:id="26" w:name="_Toc21536946"/>
      <w:bookmarkStart w:id="27" w:name="_Toc20150276"/>
      <w:r>
        <w:rPr>
          <w:bCs/>
          <w:color w:val="000000" w:themeColor="text1"/>
        </w:rPr>
        <w:t xml:space="preserve">Реализация </w:t>
      </w:r>
      <w:r>
        <w:rPr>
          <w:bCs/>
          <w:color w:val="000000"/>
        </w:rPr>
        <w:t>НТМЦ</w:t>
      </w:r>
      <w:r>
        <w:rPr>
          <w:bCs/>
          <w:color w:val="000000" w:themeColor="text1"/>
        </w:rPr>
        <w:t xml:space="preserve"> производится в соответствии с графиком (Приложение № 2 к настоящему Техническому заданию).</w:t>
      </w:r>
      <w:bookmarkEnd w:id="25"/>
      <w:bookmarkEnd w:id="26"/>
      <w:bookmarkEnd w:id="27"/>
    </w:p>
    <w:p>
      <w:pPr>
        <w:pStyle w:val="Normal"/>
        <w:widowControl w:val="false"/>
        <w:numPr>
          <w:ilvl w:val="0"/>
          <w:numId w:val="0"/>
        </w:numPr>
        <w:tabs>
          <w:tab w:val="clear" w:pos="57"/>
          <w:tab w:val="left" w:pos="1134" w:leader="none"/>
        </w:tabs>
        <w:ind w:left="0" w:firstLine="709"/>
        <w:outlineLvl w:val="2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4.7. </w:t>
      </w:r>
      <w:bookmarkStart w:id="28" w:name="_Toc21536947"/>
      <w:bookmarkStart w:id="29" w:name="_Toc20150277"/>
      <w:bookmarkStart w:id="30" w:name="_Toc20150099"/>
      <w:r>
        <w:rPr>
          <w:bCs/>
          <w:color w:val="000000" w:themeColor="text1"/>
        </w:rPr>
        <w:t xml:space="preserve">При выполнении работ Покупателем на территории Продавца: погрузка в транспортное средство и перевозка деталей осуществляется Покупателем собственными силами. </w:t>
      </w:r>
      <w:bookmarkEnd w:id="28"/>
      <w:bookmarkEnd w:id="29"/>
      <w:bookmarkEnd w:id="30"/>
    </w:p>
    <w:p>
      <w:pPr>
        <w:pStyle w:val="Normal"/>
        <w:widowControl w:val="false"/>
        <w:numPr>
          <w:ilvl w:val="0"/>
          <w:numId w:val="0"/>
        </w:numPr>
        <w:tabs>
          <w:tab w:val="clear" w:pos="57"/>
          <w:tab w:val="left" w:pos="1134" w:leader="none"/>
        </w:tabs>
        <w:ind w:left="0" w:firstLine="709"/>
        <w:outlineLvl w:val="2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4.8. Выполнение работ по  погрузке в транспортное средство и перевозки  Невостребованных товарно-материальных ценностей должно выполняться с соблюдением требований охраны труда, пожарной безопасности, с соблюдением требований пропускного и внутриобъектового режимов квалифицированным персоналом, имеющим необходимые допуски и разрешения. </w:t>
      </w:r>
      <w:bookmarkStart w:id="31" w:name="_Toc21536948"/>
      <w:bookmarkStart w:id="32" w:name="_Toc20150278"/>
      <w:bookmarkStart w:id="33" w:name="_Toc20150100"/>
      <w:bookmarkEnd w:id="31"/>
      <w:bookmarkEnd w:id="32"/>
      <w:bookmarkEnd w:id="33"/>
    </w:p>
    <w:p>
      <w:pPr>
        <w:pStyle w:val="Normal"/>
        <w:widowControl w:val="false"/>
        <w:numPr>
          <w:ilvl w:val="0"/>
          <w:numId w:val="0"/>
        </w:numPr>
        <w:tabs>
          <w:tab w:val="clear" w:pos="57"/>
          <w:tab w:val="left" w:pos="1134" w:leader="none"/>
        </w:tabs>
        <w:ind w:left="0" w:firstLine="709"/>
        <w:outlineLvl w:val="2"/>
        <w:rPr>
          <w:color w:val="000000" w:themeColor="text1"/>
        </w:rPr>
      </w:pPr>
      <w:r>
        <w:rPr>
          <w:bCs/>
          <w:color w:val="000000" w:themeColor="text1"/>
        </w:rPr>
        <w:t xml:space="preserve">4.9. </w:t>
      </w:r>
      <w:bookmarkStart w:id="34" w:name="_Toc20150097"/>
      <w:bookmarkStart w:id="35" w:name="_Toc20150275"/>
      <w:bookmarkStart w:id="36" w:name="_Toc21536945"/>
      <w:r>
        <w:rPr>
          <w:bCs/>
          <w:color w:val="000000" w:themeColor="text1"/>
        </w:rPr>
        <w:t>Количество передаваемых Покупателю Невостребованных товарно-материальных ценностей определяется поштучно. Приемка Невостребованных товарно-материальных ценностей по количеству и качеству производится на территории Продавца в присутствии уполномоченных представителей Продавца и Покупателя.</w:t>
      </w:r>
      <w:bookmarkEnd w:id="34"/>
      <w:bookmarkEnd w:id="35"/>
      <w:bookmarkEnd w:id="36"/>
      <w:r>
        <w:rPr>
          <w:bCs/>
          <w:color w:val="000000" w:themeColor="text1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57"/>
          <w:tab w:val="left" w:pos="1134" w:leader="none"/>
        </w:tabs>
        <w:ind w:left="0" w:firstLine="709"/>
        <w:outlineLvl w:val="2"/>
        <w:rPr>
          <w:color w:val="000000" w:themeColor="text1"/>
        </w:rPr>
      </w:pPr>
      <w:r>
        <w:rPr/>
        <w:t>4.15.</w:t>
      </w:r>
      <w:bookmarkStart w:id="37" w:name="_Toc20150100_Копия_1"/>
      <w:bookmarkStart w:id="38" w:name="_Toc20150278_Копия_1"/>
      <w:bookmarkStart w:id="39" w:name="_Toc21536948_Копия_1"/>
      <w:r>
        <w:rPr/>
        <w:t xml:space="preserve"> </w:t>
      </w:r>
      <w:bookmarkStart w:id="40" w:name="_Toc20150279"/>
      <w:bookmarkStart w:id="41" w:name="_Toc21536949"/>
      <w:bookmarkStart w:id="42" w:name="_Toc20150101"/>
      <w:bookmarkEnd w:id="37"/>
      <w:bookmarkEnd w:id="38"/>
      <w:bookmarkEnd w:id="39"/>
      <w:r>
        <w:rPr/>
        <w:t>Покупатель при необходимости, за свой счет и в установленном в соответствии с пунктом 1.1.6 Документации порядке, организует собственными силами осмотр, испытания, для установления качества Невостребованных товарно-матери</w:t>
      </w:r>
      <w:r>
        <w:rPr>
          <w:highlight w:val="white"/>
        </w:rPr>
        <w:t>альных ценностей.</w:t>
      </w:r>
      <w:bookmarkEnd w:id="40"/>
      <w:bookmarkEnd w:id="41"/>
      <w:bookmarkEnd w:id="42"/>
    </w:p>
    <w:p>
      <w:pPr>
        <w:pStyle w:val="Normal"/>
        <w:widowControl w:val="false"/>
        <w:numPr>
          <w:ilvl w:val="0"/>
          <w:numId w:val="0"/>
        </w:numPr>
        <w:tabs>
          <w:tab w:val="clear" w:pos="57"/>
          <w:tab w:val="left" w:pos="0" w:leader="none"/>
        </w:tabs>
        <w:ind w:left="0" w:firstLine="709"/>
        <w:outlineLvl w:val="2"/>
        <w:rPr>
          <w:highlight w:val="white"/>
        </w:rPr>
      </w:pPr>
      <w:r>
        <w:rPr>
          <w:highlight w:val="white"/>
        </w:rPr>
        <w:t xml:space="preserve">4.16. Покупатель при необходимости, за свой счет осуществляет дополнительное размещение Невостребованных товарно-материальных ценностей на паллеты либо в транспортировочную тару, обрешетку, соответствующую условиям транспортировки.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57"/>
          <w:tab w:val="left" w:pos="1134" w:leader="none"/>
        </w:tabs>
        <w:suppressAutoHyphens w:val="true"/>
        <w:ind w:left="0" w:right="-87" w:firstLine="709"/>
        <w:outlineLvl w:val="2"/>
        <w:rPr>
          <w:bCs/>
          <w:kern w:val="2"/>
        </w:rPr>
      </w:pPr>
      <w:r>
        <w:rPr>
          <w:highlight w:val="white"/>
        </w:rPr>
        <w:t xml:space="preserve">4.17. </w:t>
      </w:r>
      <w:r>
        <w:rPr>
          <w:lang w:eastAsia="x-none"/>
        </w:rPr>
        <w:t>Покупатель должен осуществить уборку мусора, образовавшегося после выполнения погрузочных работ</w:t>
      </w:r>
      <w:r>
        <w:rPr>
          <w:lang w:val="x-none" w:eastAsia="x-none"/>
        </w:rPr>
        <w:t xml:space="preserve"> в течение 3 (тр</w:t>
      </w:r>
      <w:r>
        <w:rPr/>
        <w:t>ё</w:t>
      </w:r>
      <w:r>
        <w:rPr>
          <w:lang w:val="x-none" w:eastAsia="x-none"/>
        </w:rPr>
        <w:t>х) рабочих дней с даты</w:t>
      </w:r>
      <w:r>
        <w:rPr>
          <w:lang w:eastAsia="x-none"/>
        </w:rPr>
        <w:t xml:space="preserve"> вывоза соответствующей партии Невостребованных товарно-материальных ценностей</w:t>
      </w:r>
      <w:r>
        <w:rPr>
          <w:lang w:val="x-none" w:eastAsia="x-none"/>
        </w:rPr>
        <w:t xml:space="preserve"> с территории </w:t>
      </w:r>
      <w:r>
        <w:rPr>
          <w:lang w:eastAsia="x-none"/>
        </w:rPr>
        <w:t>Продавца</w:t>
      </w:r>
      <w:r>
        <w:rPr>
          <w:lang w:val="x-none" w:eastAsia="x-none"/>
        </w:rPr>
        <w:t>.</w:t>
      </w:r>
    </w:p>
    <w:p>
      <w:pPr>
        <w:pStyle w:val="Standard"/>
        <w:numPr>
          <w:ilvl w:val="0"/>
          <w:numId w:val="0"/>
        </w:numPr>
        <w:tabs>
          <w:tab w:val="clear" w:pos="57"/>
          <w:tab w:val="left" w:pos="1701" w:leader="none"/>
          <w:tab w:val="left" w:pos="1843" w:leader="none"/>
        </w:tabs>
        <w:ind w:left="0" w:firstLine="709"/>
        <w:outlineLvl w:val="2"/>
        <w:rPr>
          <w:bCs/>
        </w:rPr>
      </w:pPr>
      <w:r>
        <w:rPr>
          <w:bCs/>
        </w:rPr>
      </w:r>
      <w:bookmarkStart w:id="43" w:name="_GoBack"/>
      <w:bookmarkStart w:id="44" w:name="_GoBack"/>
      <w:bookmarkEnd w:id="44"/>
    </w:p>
    <w:p>
      <w:pPr>
        <w:pStyle w:val="Normal"/>
        <w:widowControl w:val="false"/>
        <w:numPr>
          <w:ilvl w:val="0"/>
          <w:numId w:val="7"/>
        </w:numPr>
        <w:ind w:left="0" w:hanging="0"/>
        <w:jc w:val="left"/>
        <w:outlineLvl w:val="2"/>
        <w:rPr>
          <w:b/>
          <w:bCs/>
          <w:color w:val="000000" w:themeColor="text1"/>
        </w:rPr>
      </w:pP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Требования к Покупателю по охране труда</w:t>
      </w:r>
    </w:p>
    <w:p>
      <w:pPr>
        <w:pStyle w:val="Normal"/>
        <w:widowControl w:val="false"/>
        <w:numPr>
          <w:ilvl w:val="1"/>
          <w:numId w:val="7"/>
        </w:numPr>
        <w:tabs>
          <w:tab w:val="clear" w:pos="57"/>
          <w:tab w:val="left" w:pos="1134" w:leader="none"/>
        </w:tabs>
        <w:ind w:left="0" w:firstLine="709"/>
        <w:outlineLvl w:val="2"/>
        <w:rPr>
          <w:bCs/>
          <w:color w:val="000000" w:themeColor="text1"/>
        </w:rPr>
      </w:pPr>
      <w:bookmarkStart w:id="45" w:name="_Toc20150103"/>
      <w:bookmarkStart w:id="46" w:name="_Toc20150281"/>
      <w:bookmarkStart w:id="47" w:name="_Toc21536951"/>
      <w:r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Покупатель может привлечь к исполнению работ персонал для погрузки и выполнения сопутствующих работ на территории Продавца, только после выполнения следующих условий:</w:t>
      </w:r>
      <w:bookmarkEnd w:id="45"/>
      <w:bookmarkEnd w:id="46"/>
      <w:bookmarkEnd w:id="47"/>
    </w:p>
    <w:p>
      <w:pPr>
        <w:pStyle w:val="Normal"/>
        <w:widowControl w:val="false"/>
        <w:numPr>
          <w:ilvl w:val="2"/>
          <w:numId w:val="7"/>
        </w:numPr>
        <w:tabs>
          <w:tab w:val="clear" w:pos="57"/>
          <w:tab w:val="left" w:pos="1418" w:leader="none"/>
        </w:tabs>
        <w:ind w:left="0" w:firstLine="709"/>
        <w:outlineLvl w:val="2"/>
        <w:rPr>
          <w:bCs/>
          <w:color w:val="000000" w:themeColor="text1"/>
        </w:rPr>
      </w:pPr>
      <w:bookmarkStart w:id="48" w:name="_Toc20150104"/>
      <w:bookmarkStart w:id="49" w:name="_Toc20150282"/>
      <w:bookmarkStart w:id="50" w:name="_Toc21536952"/>
      <w:r>
        <w:rPr>
          <w:bCs/>
          <w:color w:val="000000" w:themeColor="text1"/>
        </w:rPr>
        <w:t>Проведения персоналу вводного и первичного инструктажей с учетом особенностей объекта, на котором предстоит работать, а также с целью изучения рисков и влияния опасных факторов от действующего оборудования, находящегося вблизи рабочего места.</w:t>
      </w:r>
      <w:bookmarkEnd w:id="48"/>
      <w:bookmarkEnd w:id="49"/>
      <w:bookmarkEnd w:id="50"/>
      <w:r>
        <w:rPr>
          <w:bCs/>
          <w:color w:val="000000" w:themeColor="text1"/>
        </w:rPr>
        <w:t xml:space="preserve"> </w:t>
      </w:r>
    </w:p>
    <w:p>
      <w:pPr>
        <w:pStyle w:val="Normal"/>
        <w:widowControl w:val="false"/>
        <w:numPr>
          <w:ilvl w:val="2"/>
          <w:numId w:val="7"/>
        </w:numPr>
        <w:tabs>
          <w:tab w:val="clear" w:pos="57"/>
          <w:tab w:val="left" w:pos="1418" w:leader="none"/>
        </w:tabs>
        <w:ind w:left="0" w:firstLine="709"/>
        <w:outlineLvl w:val="2"/>
        <w:rPr>
          <w:bCs/>
          <w:color w:val="000000" w:themeColor="text1"/>
        </w:rPr>
      </w:pPr>
      <w:bookmarkStart w:id="51" w:name="_Toc20150105"/>
      <w:bookmarkStart w:id="52" w:name="_Toc20150283"/>
      <w:bookmarkStart w:id="53" w:name="_Toc21536953"/>
      <w:r>
        <w:rPr>
          <w:bCs/>
          <w:color w:val="000000" w:themeColor="text1"/>
        </w:rPr>
        <w:t>Предъявления квалификационных удостоверений с записями результатов проверки знаний правил охраны труда, инструкций по охране труда и правил производства специальных работ, выданных организацией (Покупателем).</w:t>
      </w:r>
      <w:bookmarkEnd w:id="51"/>
      <w:bookmarkEnd w:id="52"/>
      <w:bookmarkEnd w:id="53"/>
    </w:p>
    <w:p>
      <w:pPr>
        <w:pStyle w:val="Normal"/>
        <w:widowControl w:val="false"/>
        <w:numPr>
          <w:ilvl w:val="2"/>
          <w:numId w:val="7"/>
        </w:numPr>
        <w:tabs>
          <w:tab w:val="clear" w:pos="57"/>
          <w:tab w:val="left" w:pos="0" w:leader="none"/>
        </w:tabs>
        <w:ind w:left="0" w:firstLine="709"/>
        <w:outlineLvl w:val="2"/>
        <w:rPr>
          <w:bCs/>
          <w:color w:val="000000" w:themeColor="text1"/>
        </w:rPr>
      </w:pPr>
      <w:bookmarkStart w:id="54" w:name="_Toc20150107"/>
      <w:bookmarkStart w:id="55" w:name="_Toc20150285"/>
      <w:bookmarkStart w:id="56" w:name="_Toc21536955"/>
      <w:r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Направления письма с указанием работников, имеющих право быть ответственными лицами за безопасное производство работ, оформленного согласно Положению о допуске персонала подрядных организаций к выполнению работ на объектах АО «ДГК» (Приложение № 3 к настоящему ТЗ).</w:t>
      </w:r>
    </w:p>
    <w:p>
      <w:pPr>
        <w:pStyle w:val="Normal"/>
        <w:widowControl w:val="false"/>
        <w:numPr>
          <w:ilvl w:val="2"/>
          <w:numId w:val="7"/>
        </w:numPr>
        <w:tabs>
          <w:tab w:val="clear" w:pos="57"/>
          <w:tab w:val="left" w:pos="0" w:leader="none"/>
        </w:tabs>
        <w:ind w:left="0" w:firstLine="709"/>
        <w:outlineLvl w:val="2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Наличия средств индивидуальной защиты (спецодежды, спецобуви, средств защиты лица и головы, средств защиты рук, средств защиты органов дыхания и других средств</w:t>
      </w:r>
      <w:bookmarkEnd w:id="54"/>
      <w:bookmarkEnd w:id="55"/>
      <w:bookmarkEnd w:id="56"/>
      <w:r>
        <w:rPr>
          <w:bCs/>
          <w:color w:val="000000" w:themeColor="text1"/>
        </w:rPr>
        <w:t>.</w:t>
      </w:r>
    </w:p>
    <w:sectPr>
      <w:type w:val="nextPage"/>
      <w:pgSz w:w="11906" w:h="16838"/>
      <w:pgMar w:left="1080" w:right="707" w:gutter="0" w:header="0" w:top="851" w:footer="0" w:bottom="6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mbria">
    <w:charset w:val="01"/>
    <w:family w:val="roman"/>
    <w:pitch w:val="variable"/>
  </w:font>
  <w:font w:name="NewsGothic_A.Z_PS">
    <w:charset w:val="01"/>
    <w:family w:val="roman"/>
    <w:pitch w:val="variable"/>
  </w:font>
  <w:font w:name="Times New Roman CYR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b w:val="false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lvl w:ilvl="0">
      <w:start w:val="2"/>
      <w:numFmt w:val="decimal"/>
      <w:lvlText w:val="%1"/>
      <w:lvlJc w:val="left"/>
      <w:pPr>
        <w:tabs>
          <w:tab w:val="num" w:pos="0"/>
        </w:tabs>
        <w:ind w:left="600" w:hanging="600"/>
      </w:pPr>
      <w:rPr/>
    </w:lvl>
    <w:lvl w:ilvl="1">
      <w:start w:val="5"/>
      <w:numFmt w:val="decimal"/>
      <w:lvlText w:val="%1.%2"/>
      <w:lvlJc w:val="left"/>
      <w:pPr>
        <w:tabs>
          <w:tab w:val="num" w:pos="0"/>
        </w:tabs>
        <w:ind w:left="883" w:hanging="60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6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29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2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5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38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81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424" w:hanging="21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1851" w:hanging="432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46" w:hanging="504"/>
      </w:pPr>
      <w:rPr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5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89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93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97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01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77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8"/>
        <w:b w:val="false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46" w:hanging="504"/>
      </w:pPr>
      <w:rPr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5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89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93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97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01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77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3"/>
  <w:defaultTabStop w:val="57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2"/>
      </w:numPr>
      <w:spacing w:before="120" w:after="0"/>
      <w:jc w:val="center"/>
      <w:outlineLvl w:val="0"/>
    </w:pPr>
    <w:rPr>
      <w:b/>
      <w:bCs/>
      <w:lang w:eastAsia="en-US"/>
    </w:rPr>
  </w:style>
  <w:style w:type="paragraph" w:styleId="Heading2">
    <w:name w:val="Heading 2"/>
    <w:basedOn w:val="Heading1"/>
    <w:next w:val="Normal"/>
    <w:link w:val="21"/>
    <w:qFormat/>
    <w:pPr>
      <w:numPr>
        <w:ilvl w:val="1"/>
        <w:numId w:val="6"/>
      </w:numPr>
      <w:tabs>
        <w:tab w:val="clear" w:pos="57"/>
        <w:tab w:val="left" w:pos="1701" w:leader="none"/>
      </w:tabs>
      <w:jc w:val="both"/>
      <w:outlineLvl w:val="1"/>
    </w:pPr>
    <w:rPr>
      <w:b w:val="false"/>
    </w:rPr>
  </w:style>
  <w:style w:type="paragraph" w:styleId="Heading3">
    <w:name w:val="Heading 3"/>
    <w:basedOn w:val="Normal"/>
    <w:next w:val="Normal"/>
    <w:link w:val="3"/>
    <w:qFormat/>
    <w:pPr>
      <w:ind w:firstLine="709"/>
      <w:jc w:val="right"/>
      <w:outlineLvl w:val="2"/>
    </w:pPr>
    <w:rPr>
      <w:b/>
      <w:lang w:eastAsia="en-US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spacing w:before="240" w:after="60"/>
      <w:outlineLvl w:val="3"/>
    </w:pPr>
    <w:rPr>
      <w:rFonts w:ascii="Calibri" w:hAnsi="Calibri" w:eastAsia="Times New Roman"/>
      <w:b/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qFormat/>
    <w:pPr>
      <w:spacing w:before="240" w:after="60"/>
      <w:jc w:val="left"/>
      <w:outlineLvl w:val="5"/>
    </w:pPr>
    <w:rPr>
      <w:rFonts w:eastAsia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ptionChar" w:customStyle="1">
    <w:name w:val="Caption Char"/>
    <w:basedOn w:val="DefaultParagraphFont"/>
    <w:uiPriority w:val="35"/>
    <w:qFormat/>
    <w:rPr>
      <w:b/>
      <w:bCs/>
      <w:color w:val="5B9BD5" w:themeColor="accent1"/>
      <w:sz w:val="18"/>
      <w:szCs w:val="18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tyle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" w:customStyle="1">
    <w:name w:val="Цитата 2 Знак"/>
    <w:link w:val="Quote"/>
    <w:uiPriority w:val="29"/>
    <w:qFormat/>
    <w:rPr>
      <w:i/>
    </w:rPr>
  </w:style>
  <w:style w:type="character" w:styleId="Style1" w:customStyle="1">
    <w:name w:val="Выделенная цитата Знак"/>
    <w:link w:val="IntenseQuote"/>
    <w:uiPriority w:val="30"/>
    <w:qFormat/>
    <w:rPr>
      <w:i/>
    </w:rPr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2" w:customStyle="1">
    <w:name w:val="Название объекта Знак"/>
    <w:link w:val="Caption1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Style3" w:customStyle="1">
    <w:name w:val="Текст концевой сноски Знак"/>
    <w:uiPriority w:val="99"/>
    <w:qFormat/>
    <w:rPr>
      <w:sz w:val="20"/>
    </w:rPr>
  </w:style>
  <w:style w:type="character" w:styleId="Style4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5" w:customStyle="1">
    <w:name w:val="Верхний колонтитул Знак"/>
    <w:uiPriority w:val="99"/>
    <w:qFormat/>
    <w:rPr>
      <w:rFonts w:ascii="Times New Roman" w:hAnsi="Times New Roman" w:cs="Times New Roman"/>
      <w:sz w:val="28"/>
      <w:szCs w:val="28"/>
    </w:rPr>
  </w:style>
  <w:style w:type="character" w:styleId="Style6" w:customStyle="1">
    <w:name w:val="Нижний колонтитул Знак"/>
    <w:uiPriority w:val="99"/>
    <w:qFormat/>
    <w:rPr>
      <w:rFonts w:ascii="Times New Roman" w:hAnsi="Times New Roman" w:cs="Times New Roman"/>
      <w:sz w:val="28"/>
      <w:szCs w:val="28"/>
    </w:rPr>
  </w:style>
  <w:style w:type="character" w:styleId="Pagenumber">
    <w:name w:val="page number"/>
    <w:qFormat/>
    <w:rPr>
      <w:rFonts w:cs="Times New Roman"/>
    </w:rPr>
  </w:style>
  <w:style w:type="character" w:styleId="Style7" w:customStyle="1">
    <w:name w:val="!осн Знак"/>
    <w:link w:val="Style22"/>
    <w:qFormat/>
    <w:rPr>
      <w:rFonts w:ascii="Times New Roman" w:hAnsi="Times New Roman" w:cs="Times New Roman"/>
    </w:rPr>
  </w:style>
  <w:style w:type="character" w:styleId="1" w:customStyle="1">
    <w:name w:val="Заголовок 1 Знак"/>
    <w:qFormat/>
    <w:rPr>
      <w:b/>
      <w:bCs/>
      <w:sz w:val="28"/>
      <w:szCs w:val="28"/>
      <w:lang w:eastAsia="en-US"/>
    </w:rPr>
  </w:style>
  <w:style w:type="character" w:styleId="21" w:customStyle="1">
    <w:name w:val="Заголовок 2 Знак"/>
    <w:qFormat/>
    <w:rPr>
      <w:bCs/>
      <w:sz w:val="28"/>
      <w:szCs w:val="28"/>
      <w:lang w:eastAsia="en-US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styleId="Style8" w:customStyle="1">
    <w:name w:val="Текст выноски Знак"/>
    <w:link w:val="BalloonText"/>
    <w:qFormat/>
    <w:rPr>
      <w:rFonts w:ascii="Tahoma" w:hAnsi="Tahoma" w:cs="Tahoma"/>
      <w:sz w:val="16"/>
      <w:szCs w:val="16"/>
    </w:rPr>
  </w:style>
  <w:style w:type="character" w:styleId="3" w:customStyle="1">
    <w:name w:val="Заголовок 3 Знак"/>
    <w:qFormat/>
    <w:rPr>
      <w:rFonts w:ascii="Times New Roman" w:hAnsi="Times New Roman"/>
      <w:b/>
      <w:sz w:val="28"/>
      <w:szCs w:val="28"/>
      <w:lang w:eastAsia="en-US"/>
    </w:rPr>
  </w:style>
  <w:style w:type="character" w:styleId="Style9" w:customStyle="1">
    <w:name w:val="Основной текст Знак"/>
    <w:qFormat/>
    <w:rPr>
      <w:bCs/>
      <w:spacing w:val="-1"/>
      <w:sz w:val="28"/>
      <w:szCs w:val="28"/>
      <w:lang w:eastAsia="en-US"/>
    </w:rPr>
  </w:style>
  <w:style w:type="character" w:styleId="11" w:customStyle="1">
    <w:name w:val="Список1 Знак"/>
    <w:link w:val="18"/>
    <w:qFormat/>
    <w:rPr>
      <w:sz w:val="28"/>
      <w:szCs w:val="28"/>
      <w:lang w:eastAsia="en-US"/>
    </w:rPr>
  </w:style>
  <w:style w:type="character" w:styleId="Annotationreference">
    <w:name w:val="annotation reference"/>
    <w:semiHidden/>
    <w:qFormat/>
    <w:rPr>
      <w:sz w:val="16"/>
    </w:rPr>
  </w:style>
  <w:style w:type="character" w:styleId="Style10" w:customStyle="1">
    <w:name w:val="Текст примечания Знак"/>
    <w:link w:val="Annotationtext"/>
    <w:uiPriority w:val="99"/>
    <w:qFormat/>
    <w:rPr>
      <w:rFonts w:ascii="Times New Roman" w:hAnsi="Times New Roman" w:cs="Times New Roman"/>
      <w:sz w:val="20"/>
      <w:szCs w:val="20"/>
    </w:rPr>
  </w:style>
  <w:style w:type="character" w:styleId="Style11" w:customStyle="1">
    <w:name w:val="Тема примечания Знак"/>
    <w:link w:val="Annotationsubject"/>
    <w:semiHidden/>
    <w:qFormat/>
    <w:rPr>
      <w:rFonts w:ascii="Times New Roman" w:hAnsi="Times New Roman" w:cs="Times New Roman"/>
      <w:b/>
      <w:bCs/>
      <w:sz w:val="20"/>
      <w:szCs w:val="20"/>
    </w:rPr>
  </w:style>
  <w:style w:type="character" w:styleId="5" w:customStyle="1">
    <w:name w:val="Заголовок 5 Знак"/>
    <w:qFormat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31" w:customStyle="1">
    <w:name w:val="Основной текст с отступом 3 Знак"/>
    <w:link w:val="BodyTextIndent3"/>
    <w:qFormat/>
    <w:rPr>
      <w:rFonts w:ascii="Times New Roman" w:hAnsi="Times New Roman" w:cs="Times New Roman"/>
      <w:sz w:val="16"/>
      <w:szCs w:val="16"/>
      <w:lang w:eastAsia="ru-RU"/>
    </w:rPr>
  </w:style>
  <w:style w:type="character" w:styleId="HTML" w:customStyle="1">
    <w:name w:val="Стандартный HTML Знак"/>
    <w:link w:val="HTMLPreformatted"/>
    <w:qFormat/>
    <w:rPr>
      <w:rFonts w:ascii="Arial Unicode MS" w:hAnsi="Arial Unicode MS" w:eastAsia="Arial Unicode MS" w:cs="Arial Unicode MS"/>
      <w:sz w:val="20"/>
      <w:szCs w:val="20"/>
      <w:lang w:eastAsia="ru-RU"/>
    </w:rPr>
  </w:style>
  <w:style w:type="character" w:styleId="22" w:customStyle="1">
    <w:name w:val="Основной текст с отступом 2 Знак"/>
    <w:link w:val="BodyTextIndent2"/>
    <w:qFormat/>
    <w:rPr>
      <w:rFonts w:ascii="Times New Roman" w:hAnsi="Times New Roman" w:cs="Times New Roman"/>
      <w:sz w:val="24"/>
      <w:szCs w:val="24"/>
      <w:lang w:eastAsia="ru-RU"/>
    </w:rPr>
  </w:style>
  <w:style w:type="character" w:styleId="Style12" w:customStyle="1">
    <w:name w:val="Основной текст с отступом Знак"/>
    <w:qFormat/>
    <w:rPr>
      <w:rFonts w:ascii="Times New Roman" w:hAnsi="Times New Roman" w:cs="Times New Roman"/>
      <w:sz w:val="24"/>
      <w:szCs w:val="24"/>
      <w:lang w:eastAsia="ru-RU"/>
    </w:rPr>
  </w:style>
  <w:style w:type="character" w:styleId="32" w:customStyle="1">
    <w:name w:val="Основной текст 3 Знак"/>
    <w:link w:val="BodyText3"/>
    <w:uiPriority w:val="99"/>
    <w:qFormat/>
    <w:rPr>
      <w:rFonts w:ascii="Times New Roman" w:hAnsi="Times New Roman" w:cs="Times New Roman"/>
      <w:sz w:val="16"/>
      <w:szCs w:val="16"/>
      <w:lang w:eastAsia="ru-RU"/>
    </w:rPr>
  </w:style>
  <w:style w:type="character" w:styleId="Style13" w:customStyle="1">
    <w:name w:val="Текст Знак"/>
    <w:link w:val="PlainText"/>
    <w:qFormat/>
    <w:rPr>
      <w:rFonts w:ascii="Courier New" w:hAnsi="Courier New" w:cs="Times New Roman"/>
      <w:sz w:val="20"/>
      <w:szCs w:val="20"/>
      <w:lang w:eastAsia="ru-RU"/>
    </w:rPr>
  </w:style>
  <w:style w:type="character" w:styleId="HTML1" w:customStyle="1">
    <w:name w:val="Адрес HTML Знак"/>
    <w:link w:val="HTMLAddress"/>
    <w:qFormat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styleId="Paddingleft181" w:customStyle="1">
    <w:name w:val="padding_left181"/>
    <w:qFormat/>
    <w:rPr>
      <w:rFonts w:cs="Times New Roman"/>
    </w:rPr>
  </w:style>
  <w:style w:type="character" w:styleId="FollowedHyperlink">
    <w:name w:val="FollowedHyperlink"/>
    <w:uiPriority w:val="99"/>
    <w:rPr>
      <w:rFonts w:cs="Times New Roman"/>
      <w:color w:val="800080"/>
      <w:u w:val="single"/>
    </w:rPr>
  </w:style>
  <w:style w:type="character" w:styleId="Da" w:customStyle="1">
    <w:name w:val="da"/>
    <w:qFormat/>
    <w:rPr>
      <w:rFonts w:cs="Times New Roman"/>
    </w:rPr>
  </w:style>
  <w:style w:type="character" w:styleId="Style14" w:customStyle="1">
    <w:name w:val="Заголовок Знак"/>
    <w:qFormat/>
    <w:rPr>
      <w:rFonts w:ascii="Arial" w:hAnsi="Arial" w:cs="Arial"/>
      <w:b/>
      <w:bCs/>
      <w:sz w:val="32"/>
      <w:szCs w:val="32"/>
      <w:lang w:val="en-GB" w:eastAsia="ru-RU"/>
    </w:rPr>
  </w:style>
  <w:style w:type="character" w:styleId="23" w:customStyle="1">
    <w:name w:val="Основной текст 2 Знак"/>
    <w:link w:val="BodyText2"/>
    <w:qFormat/>
    <w:rPr>
      <w:rFonts w:ascii="Times New Roman" w:hAnsi="Times New Roman" w:cs="Times New Roman"/>
      <w:sz w:val="20"/>
      <w:szCs w:val="20"/>
      <w:lang w:eastAsia="ru-RU"/>
    </w:rPr>
  </w:style>
  <w:style w:type="character" w:styleId="Apple-converted-space" w:customStyle="1">
    <w:name w:val="apple-converted-space"/>
    <w:qFormat/>
    <w:rPr/>
  </w:style>
  <w:style w:type="character" w:styleId="Style15" w:customStyle="1">
    <w:name w:val="Схема документа Знак"/>
    <w:link w:val="DocumentMap"/>
    <w:uiPriority w:val="99"/>
    <w:qFormat/>
    <w:rPr>
      <w:rFonts w:ascii="Tahoma" w:hAnsi="Tahoma" w:cs="Times New Roman"/>
      <w:sz w:val="20"/>
      <w:szCs w:val="20"/>
      <w:shd w:fill="000080" w:val="clear"/>
      <w:lang w:eastAsia="ru-RU"/>
    </w:rPr>
  </w:style>
  <w:style w:type="character" w:styleId="Style16" w:customStyle="1">
    <w:name w:val="Текст сноски Знак"/>
    <w:uiPriority w:val="99"/>
    <w:semiHidden/>
    <w:qFormat/>
    <w:rPr>
      <w:rFonts w:ascii="Times New Roman" w:hAnsi="Times New Roman" w:cs="Times New Roman"/>
      <w:sz w:val="20"/>
      <w:szCs w:val="20"/>
    </w:rPr>
  </w:style>
  <w:style w:type="character" w:styleId="Style17" w:customStyle="1">
    <w:name w:val="Символ сноски"/>
    <w:uiPriority w:val="99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FontStyle13" w:customStyle="1">
    <w:name w:val="Font Style13"/>
    <w:qFormat/>
    <w:rPr>
      <w:rFonts w:ascii="Times New Roman" w:hAnsi="Times New Roman"/>
      <w:sz w:val="24"/>
    </w:rPr>
  </w:style>
  <w:style w:type="character" w:styleId="Emphasis">
    <w:name w:val="Emphasis"/>
    <w:qFormat/>
    <w:rPr>
      <w:i/>
      <w:iCs/>
    </w:rPr>
  </w:style>
  <w:style w:type="character" w:styleId="Style18" w:customStyle="1">
    <w:name w:val="Обычный нумерованный текст Знак"/>
    <w:link w:val="Style30"/>
    <w:qFormat/>
    <w:rPr>
      <w:bCs/>
      <w:spacing w:val="-1"/>
      <w:sz w:val="28"/>
      <w:szCs w:val="28"/>
      <w:lang w:eastAsia="en-US"/>
    </w:rPr>
  </w:style>
  <w:style w:type="character" w:styleId="Strong">
    <w:name w:val="Strong"/>
    <w:uiPriority w:val="22"/>
    <w:qFormat/>
    <w:rPr>
      <w:b/>
      <w:bCs/>
    </w:rPr>
  </w:style>
  <w:style w:type="character" w:styleId="6" w:customStyle="1">
    <w:name w:val="Заголовок 6 Знак"/>
    <w:qFormat/>
    <w:rPr>
      <w:rFonts w:eastAsia="Times New Roman"/>
      <w:b/>
      <w:bCs/>
      <w:sz w:val="22"/>
      <w:szCs w:val="22"/>
    </w:rPr>
  </w:style>
  <w:style w:type="character" w:styleId="NoSpacingChar" w:customStyle="1">
    <w:name w:val="No Spacing Char"/>
    <w:link w:val="113"/>
    <w:uiPriority w:val="99"/>
    <w:qFormat/>
    <w:rPr>
      <w:rFonts w:ascii="Calibri" w:hAnsi="Calibri"/>
      <w:sz w:val="22"/>
      <w:szCs w:val="22"/>
      <w:lang w:val="ru-RU" w:eastAsia="en-US" w:bidi="ar-SA"/>
    </w:rPr>
  </w:style>
  <w:style w:type="character" w:styleId="HeaderChar" w:customStyle="1">
    <w:name w:val="Header Char"/>
    <w:qFormat/>
    <w:rPr>
      <w:rFonts w:ascii="Times New Roman" w:hAnsi="Times New Roman" w:cs="Times New Roman"/>
      <w:sz w:val="24"/>
      <w:szCs w:val="24"/>
      <w:lang w:eastAsia="ru-RU"/>
    </w:rPr>
  </w:style>
  <w:style w:type="character" w:styleId="BodyTextIndentChar" w:customStyle="1">
    <w:name w:val="Body Text Indent Char"/>
    <w:qFormat/>
    <w:rPr>
      <w:rFonts w:ascii="Times New Roman" w:hAnsi="Times New Roman" w:cs="Times New Roman"/>
      <w:sz w:val="24"/>
      <w:szCs w:val="24"/>
      <w:lang w:eastAsia="ru-RU"/>
    </w:rPr>
  </w:style>
  <w:style w:type="character" w:styleId="24" w:customStyle="1">
    <w:name w:val="Основной текст (2) + Не полужирный"/>
    <w:qFormat/>
    <w:rPr>
      <w:b/>
      <w:bCs/>
      <w:sz w:val="24"/>
      <w:szCs w:val="24"/>
      <w:shd w:fill="FFFFFF" w:val="clear"/>
    </w:rPr>
  </w:style>
  <w:style w:type="character" w:styleId="PlaceholderText">
    <w:name w:val="Placeholder Text"/>
    <w:uiPriority w:val="99"/>
    <w:semiHidden/>
    <w:qFormat/>
    <w:rPr>
      <w:color w:val="808080"/>
    </w:rPr>
  </w:style>
  <w:style w:type="character" w:styleId="25" w:customStyle="1">
    <w:name w:val="Пункт Знак2"/>
    <w:link w:val="Style29"/>
    <w:qFormat/>
    <w:rPr>
      <w:sz w:val="28"/>
      <w:szCs w:val="28"/>
    </w:rPr>
  </w:style>
  <w:style w:type="character" w:styleId="12" w:customStyle="1">
    <w:name w:val="Неразрешенное упоминание1"/>
    <w:uiPriority w:val="99"/>
    <w:semiHidden/>
    <w:unhideWhenUsed/>
    <w:qFormat/>
    <w:rPr>
      <w:color w:val="605E5C"/>
      <w:shd w:fill="E1DFDD" w:val="clear"/>
    </w:rPr>
  </w:style>
  <w:style w:type="character" w:styleId="13" w:customStyle="1">
    <w:name w:val="Подпункт Знак1"/>
    <w:link w:val="Style33"/>
    <w:qFormat/>
    <w:rPr>
      <w:rFonts w:eastAsia="Times New Roman"/>
      <w:sz w:val="28"/>
    </w:rPr>
  </w:style>
  <w:style w:type="character" w:styleId="4" w:customStyle="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14" w:customStyle="1">
    <w:name w:val="Стиль1 Знак"/>
    <w:link w:val="115"/>
    <w:qFormat/>
    <w:rPr>
      <w:sz w:val="28"/>
      <w:szCs w:val="28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Heading2"/>
    <w:link w:val="Style9"/>
    <w:qFormat/>
    <w:pPr>
      <w:spacing w:before="0" w:after="0"/>
    </w:pPr>
    <w:rPr>
      <w:spacing w:val="-1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15" w:customStyle="1">
    <w:name w:val="Заголовок1"/>
    <w:next w:val="BodyTex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Times New Roman"/>
      <w:b/>
      <w:color w:val="auto"/>
      <w:kern w:val="0"/>
      <w:sz w:val="22"/>
      <w:szCs w:val="28"/>
      <w:lang w:val="ru-RU" w:eastAsia="ru-RU" w:bidi="ar-SA"/>
    </w:rPr>
  </w:style>
  <w:style w:type="paragraph" w:styleId="Caption1">
    <w:name w:val="caption1"/>
    <w:basedOn w:val="Normal"/>
    <w:next w:val="Normal"/>
    <w:link w:val="Style2"/>
    <w:qFormat/>
    <w:pPr>
      <w:ind w:firstLine="567"/>
      <w:jc w:val="center"/>
    </w:pPr>
    <w:rPr>
      <w:b/>
      <w:bCs/>
      <w:sz w:val="24"/>
      <w:szCs w:val="24"/>
    </w:rPr>
  </w:style>
  <w:style w:type="paragraph" w:styleId="Indexheading1">
    <w:name w:val="index heading1"/>
    <w:basedOn w:val="15"/>
    <w:qFormat/>
    <w:pPr/>
    <w:rPr/>
  </w:style>
  <w:style w:type="paragraph" w:styleId="Subtitle">
    <w:name w:val="Subtitle"/>
    <w:basedOn w:val="Normal"/>
    <w:next w:val="Normal"/>
    <w:link w:val="Style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EndnoteText">
    <w:name w:val="Endnote Text"/>
    <w:basedOn w:val="Normal"/>
    <w:link w:val="Style3"/>
    <w:uiPriority w:val="99"/>
    <w:semiHidden/>
    <w:unhideWhenUsed/>
    <w:pPr/>
    <w:rPr>
      <w:sz w:val="20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pPr>
      <w:tabs>
        <w:tab w:val="clear" w:pos="57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pPr>
      <w:tabs>
        <w:tab w:val="clear" w:pos="57"/>
        <w:tab w:val="center" w:pos="4677" w:leader="none"/>
        <w:tab w:val="right" w:pos="9355" w:leader="none"/>
      </w:tabs>
    </w:pPr>
    <w:rPr/>
  </w:style>
  <w:style w:type="paragraph" w:styleId="TOC1">
    <w:name w:val="TOC 1"/>
    <w:basedOn w:val="Normal"/>
    <w:next w:val="Normal"/>
    <w:uiPriority w:val="39"/>
    <w:pPr>
      <w:tabs>
        <w:tab w:val="clear" w:pos="57"/>
        <w:tab w:val="left" w:pos="284" w:leader="none"/>
        <w:tab w:val="right" w:pos="9911" w:leader="dot"/>
      </w:tabs>
      <w:ind w:left="-284" w:right="709" w:hanging="0"/>
    </w:pPr>
    <w:rPr/>
  </w:style>
  <w:style w:type="paragraph" w:styleId="Style22" w:customStyle="1">
    <w:name w:val="!осн"/>
    <w:basedOn w:val="Normal"/>
    <w:link w:val="Style7"/>
    <w:qFormat/>
    <w:pPr>
      <w:ind w:firstLine="567"/>
      <w:jc w:val="left"/>
    </w:pPr>
    <w:rPr>
      <w:sz w:val="20"/>
      <w:szCs w:val="20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en-US" w:bidi="ar-SA"/>
    </w:rPr>
  </w:style>
  <w:style w:type="paragraph" w:styleId="16" w:customStyle="1">
    <w:name w:val="Абзац списка1"/>
    <w:basedOn w:val="Normal"/>
    <w:qFormat/>
    <w:pPr>
      <w:ind w:left="720" w:hanging="0"/>
    </w:pPr>
    <w:rPr/>
  </w:style>
  <w:style w:type="paragraph" w:styleId="17" w:customStyle="1">
    <w:name w:val="Заголовок оглавления1"/>
    <w:basedOn w:val="Heading1"/>
    <w:next w:val="Normal"/>
    <w:qFormat/>
    <w:pPr>
      <w:spacing w:lineRule="auto" w:line="276" w:before="480" w:after="0"/>
      <w:jc w:val="left"/>
      <w:outlineLvl w:val="9"/>
    </w:pPr>
    <w:rPr>
      <w:rFonts w:ascii="Cambria" w:hAnsi="Cambria"/>
      <w:color w:val="365F91"/>
    </w:rPr>
  </w:style>
  <w:style w:type="paragraph" w:styleId="TOC2">
    <w:name w:val="TOC 2"/>
    <w:basedOn w:val="Normal"/>
    <w:next w:val="Normal"/>
    <w:uiPriority w:val="39"/>
    <w:pPr>
      <w:tabs>
        <w:tab w:val="clear" w:pos="57"/>
        <w:tab w:val="left" w:pos="851" w:leader="none"/>
        <w:tab w:val="right" w:pos="9923" w:leader="dot"/>
      </w:tabs>
      <w:ind w:right="-2" w:hanging="0"/>
      <w:jc w:val="left"/>
    </w:pPr>
    <w:rPr>
      <w:rFonts w:ascii="Calibri" w:hAnsi="Calibri" w:cs="Calibri"/>
      <w:i/>
      <w:iCs/>
      <w:sz w:val="20"/>
      <w:szCs w:val="20"/>
    </w:rPr>
  </w:style>
  <w:style w:type="paragraph" w:styleId="BalloonText">
    <w:name w:val="Balloon Text"/>
    <w:basedOn w:val="Normal"/>
    <w:link w:val="Style8"/>
    <w:semiHidden/>
    <w:qFormat/>
    <w:pPr/>
    <w:rPr>
      <w:rFonts w:ascii="Tahoma" w:hAnsi="Tahoma"/>
      <w:sz w:val="16"/>
      <w:szCs w:val="16"/>
    </w:rPr>
  </w:style>
  <w:style w:type="paragraph" w:styleId="18" w:customStyle="1">
    <w:name w:val="Список1"/>
    <w:basedOn w:val="16"/>
    <w:link w:val="11"/>
    <w:qFormat/>
    <w:pPr>
      <w:numPr>
        <w:ilvl w:val="0"/>
        <w:numId w:val="1"/>
      </w:numPr>
      <w:spacing w:lineRule="auto" w:line="276" w:before="0" w:after="200"/>
    </w:pPr>
    <w:rPr>
      <w:lang w:eastAsia="en-US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sz w:val="24"/>
      <w:szCs w:val="24"/>
    </w:rPr>
  </w:style>
  <w:style w:type="paragraph" w:styleId="-3" w:customStyle="1">
    <w:name w:val="Пункт-3"/>
    <w:basedOn w:val="Normal"/>
    <w:qFormat/>
    <w:pPr>
      <w:tabs>
        <w:tab w:val="clear" w:pos="57"/>
        <w:tab w:val="left" w:pos="1985" w:leader="none"/>
      </w:tabs>
      <w:ind w:firstLine="709"/>
    </w:pPr>
    <w:rPr>
      <w:sz w:val="24"/>
      <w:szCs w:val="24"/>
    </w:rPr>
  </w:style>
  <w:style w:type="paragraph" w:styleId="-4" w:customStyle="1">
    <w:name w:val="Пункт-4"/>
    <w:basedOn w:val="Normal"/>
    <w:qFormat/>
    <w:pPr>
      <w:tabs>
        <w:tab w:val="clear" w:pos="57"/>
        <w:tab w:val="left" w:pos="1985" w:leader="none"/>
      </w:tabs>
      <w:ind w:firstLine="709"/>
    </w:pPr>
    <w:rPr>
      <w:sz w:val="24"/>
      <w:szCs w:val="24"/>
    </w:rPr>
  </w:style>
  <w:style w:type="paragraph" w:styleId="-5" w:customStyle="1">
    <w:name w:val="Пункт-5"/>
    <w:basedOn w:val="Normal"/>
    <w:qFormat/>
    <w:pPr>
      <w:tabs>
        <w:tab w:val="clear" w:pos="57"/>
        <w:tab w:val="left" w:pos="1985" w:leader="none"/>
      </w:tabs>
      <w:ind w:firstLine="709"/>
    </w:pPr>
    <w:rPr>
      <w:sz w:val="24"/>
      <w:szCs w:val="24"/>
    </w:rPr>
  </w:style>
  <w:style w:type="paragraph" w:styleId="-6" w:customStyle="1">
    <w:name w:val="Пункт-6"/>
    <w:basedOn w:val="Normal"/>
    <w:qFormat/>
    <w:pPr>
      <w:tabs>
        <w:tab w:val="clear" w:pos="57"/>
        <w:tab w:val="left" w:pos="1985" w:leader="none"/>
      </w:tabs>
      <w:ind w:firstLine="709"/>
    </w:pPr>
    <w:rPr>
      <w:sz w:val="24"/>
      <w:szCs w:val="24"/>
    </w:rPr>
  </w:style>
  <w:style w:type="paragraph" w:styleId="-7" w:customStyle="1">
    <w:name w:val="Пункт-7"/>
    <w:basedOn w:val="Normal"/>
    <w:qFormat/>
    <w:pPr>
      <w:tabs>
        <w:tab w:val="clear" w:pos="57"/>
        <w:tab w:val="left" w:pos="360" w:leader="none"/>
      </w:tabs>
      <w:ind w:firstLine="709"/>
    </w:pPr>
    <w:rPr>
      <w:sz w:val="24"/>
      <w:szCs w:val="24"/>
    </w:rPr>
  </w:style>
  <w:style w:type="paragraph" w:styleId="Annotationtext">
    <w:name w:val="annotation text"/>
    <w:basedOn w:val="Normal"/>
    <w:link w:val="Style10"/>
    <w:uiPriority w:val="99"/>
    <w:qFormat/>
    <w:pPr>
      <w:jc w:val="left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1"/>
    <w:semiHidden/>
    <w:qFormat/>
    <w:pPr>
      <w:jc w:val="both"/>
    </w:pPr>
    <w:rPr>
      <w:b/>
      <w:bCs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8"/>
      <w:szCs w:val="28"/>
      <w:lang w:val="ru-RU" w:eastAsia="ru-RU" w:bidi="ar-SA"/>
    </w:rPr>
  </w:style>
  <w:style w:type="paragraph" w:styleId="BodyTextIndent3">
    <w:name w:val="Body Text Indent 3"/>
    <w:basedOn w:val="Normal"/>
    <w:link w:val="31"/>
    <w:qFormat/>
    <w:pPr>
      <w:spacing w:before="0" w:after="120"/>
      <w:ind w:left="283" w:hanging="0"/>
      <w:jc w:val="left"/>
    </w:pPr>
    <w:rPr>
      <w:sz w:val="16"/>
      <w:szCs w:val="16"/>
    </w:rPr>
  </w:style>
  <w:style w:type="paragraph" w:styleId="Style23" w:customStyle="1">
    <w:name w:val="Словарная статья"/>
    <w:basedOn w:val="Normal"/>
    <w:next w:val="Normal"/>
    <w:qFormat/>
    <w:pPr>
      <w:ind w:right="118" w:hanging="0"/>
    </w:pPr>
    <w:rPr>
      <w:rFonts w:ascii="Arial" w:hAnsi="Arial"/>
      <w:sz w:val="20"/>
      <w:szCs w:val="20"/>
    </w:rPr>
  </w:style>
  <w:style w:type="paragraph" w:styleId="HTMLPreformatted">
    <w:name w:val="HTML Preformatted"/>
    <w:basedOn w:val="Normal"/>
    <w:link w:val="HTML"/>
    <w:qFormat/>
    <w:pPr>
      <w:tabs>
        <w:tab w:val="clear" w:pos="57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left"/>
    </w:pPr>
    <w:rPr>
      <w:rFonts w:ascii="Arial Unicode MS" w:hAnsi="Arial Unicode MS" w:eastAsia="Arial Unicode MS"/>
      <w:sz w:val="20"/>
      <w:szCs w:val="20"/>
    </w:rPr>
  </w:style>
  <w:style w:type="paragraph" w:styleId="Preformat" w:customStyle="1">
    <w:name w:val="Pre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ConsNormal" w:customStyle="1">
    <w:name w:val="Con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8"/>
      <w:szCs w:val="28"/>
      <w:lang w:val="ru-RU" w:eastAsia="ru-RU" w:bidi="ar-SA"/>
    </w:rPr>
  </w:style>
  <w:style w:type="paragraph" w:styleId="BodyTextIndent2">
    <w:name w:val="Body Text Indent 2"/>
    <w:basedOn w:val="Normal"/>
    <w:link w:val="22"/>
    <w:qFormat/>
    <w:pPr>
      <w:spacing w:lineRule="auto" w:line="480" w:before="0" w:after="120"/>
      <w:ind w:left="283" w:hanging="0"/>
      <w:jc w:val="left"/>
    </w:pPr>
    <w:rPr>
      <w:sz w:val="24"/>
      <w:szCs w:val="24"/>
    </w:rPr>
  </w:style>
  <w:style w:type="paragraph" w:styleId="BodyTextIndent">
    <w:name w:val="Body Text Indent"/>
    <w:basedOn w:val="Normal"/>
    <w:link w:val="Style12"/>
    <w:pPr>
      <w:spacing w:before="0" w:after="120"/>
      <w:ind w:left="283" w:hanging="0"/>
      <w:jc w:val="left"/>
    </w:pPr>
    <w:rPr>
      <w:sz w:val="24"/>
      <w:szCs w:val="24"/>
    </w:rPr>
  </w:style>
  <w:style w:type="paragraph" w:styleId="19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8"/>
      <w:lang w:val="ru-RU" w:eastAsia="ru-RU" w:bidi="ar-SA"/>
    </w:rPr>
  </w:style>
  <w:style w:type="paragraph" w:styleId="Oaenoniinee" w:customStyle="1">
    <w:name w:val="oaeno niinee"/>
    <w:basedOn w:val="Normal"/>
    <w:qFormat/>
    <w:pPr/>
    <w:rPr>
      <w:sz w:val="24"/>
      <w:szCs w:val="20"/>
    </w:rPr>
  </w:style>
  <w:style w:type="paragraph" w:styleId="BodyText3">
    <w:name w:val="Body Text 3"/>
    <w:basedOn w:val="Normal"/>
    <w:link w:val="32"/>
    <w:uiPriority w:val="99"/>
    <w:qFormat/>
    <w:pPr>
      <w:spacing w:before="0" w:after="120"/>
      <w:ind w:firstLine="567"/>
    </w:pPr>
    <w:rPr>
      <w:sz w:val="16"/>
      <w:szCs w:val="16"/>
    </w:rPr>
  </w:style>
  <w:style w:type="paragraph" w:styleId="PlainText">
    <w:name w:val="Plain Text"/>
    <w:basedOn w:val="Normal"/>
    <w:link w:val="Style13"/>
    <w:qFormat/>
    <w:pPr>
      <w:jc w:val="left"/>
    </w:pPr>
    <w:rPr>
      <w:rFonts w:ascii="Courier New" w:hAnsi="Courier New"/>
      <w:sz w:val="20"/>
      <w:szCs w:val="20"/>
    </w:rPr>
  </w:style>
  <w:style w:type="paragraph" w:styleId="HTMLAddress">
    <w:name w:val="HTML Address"/>
    <w:basedOn w:val="Normal"/>
    <w:link w:val="HTML1"/>
    <w:qFormat/>
    <w:pPr>
      <w:jc w:val="left"/>
    </w:pPr>
    <w:rPr>
      <w:i/>
      <w:iCs/>
      <w:sz w:val="24"/>
      <w:szCs w:val="24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0"/>
      <w:sz w:val="28"/>
      <w:szCs w:val="28"/>
      <w:lang w:val="ru-RU" w:eastAsia="ru-RU" w:bidi="ar-SA"/>
    </w:rPr>
  </w:style>
  <w:style w:type="paragraph" w:styleId="HeadDoc" w:customStyle="1">
    <w:name w:val="HeadDoc"/>
    <w:qFormat/>
    <w:pPr>
      <w:keepLines/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ListBullet">
    <w:name w:val="List Bullet"/>
    <w:basedOn w:val="Normal"/>
    <w:qFormat/>
    <w:pPr>
      <w:widowControl w:val="false"/>
    </w:pPr>
    <w:rPr>
      <w:sz w:val="22"/>
      <w:szCs w:val="22"/>
    </w:rPr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8"/>
      <w:szCs w:val="28"/>
      <w:lang w:val="ru-RU" w:eastAsia="ru-RU" w:bidi="ar-SA"/>
    </w:rPr>
  </w:style>
  <w:style w:type="paragraph" w:styleId="121" w:customStyle="1">
    <w:name w:val="Абзац списка12"/>
    <w:basedOn w:val="Normal"/>
    <w:qFormat/>
    <w:pPr>
      <w:spacing w:lineRule="auto" w:line="276" w:before="0" w:after="200"/>
      <w:ind w:left="720" w:hanging="0"/>
      <w:jc w:val="left"/>
    </w:pPr>
    <w:rPr>
      <w:rFonts w:ascii="Calibri" w:hAnsi="Calibri"/>
      <w:sz w:val="22"/>
      <w:szCs w:val="22"/>
    </w:rPr>
  </w:style>
  <w:style w:type="paragraph" w:styleId="110" w:customStyle="1">
    <w:name w:val="Текст1"/>
    <w:basedOn w:val="Normal"/>
    <w:qFormat/>
    <w:pPr>
      <w:jc w:val="left"/>
    </w:pPr>
    <w:rPr>
      <w:rFonts w:ascii="Courier New" w:hAnsi="Courier New"/>
      <w:sz w:val="20"/>
      <w:szCs w:val="20"/>
    </w:rPr>
  </w:style>
  <w:style w:type="paragraph" w:styleId="111" w:customStyle="1">
    <w:name w:val="Абзац списка11"/>
    <w:basedOn w:val="Normal"/>
    <w:qFormat/>
    <w:pPr>
      <w:spacing w:lineRule="auto" w:line="276" w:before="0" w:after="200"/>
      <w:ind w:left="720" w:hanging="0"/>
      <w:jc w:val="left"/>
    </w:pPr>
    <w:rPr>
      <w:rFonts w:ascii="Calibri" w:hAnsi="Calibri"/>
      <w:sz w:val="22"/>
      <w:szCs w:val="22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8"/>
      <w:szCs w:val="28"/>
      <w:lang w:val="ru-RU" w:eastAsia="ru-RU" w:bidi="ar-SA"/>
    </w:rPr>
  </w:style>
  <w:style w:type="paragraph" w:styleId="Style24" w:customStyle="1">
    <w:name w:val="готик текст"/>
    <w:qFormat/>
    <w:pPr>
      <w:widowControl/>
      <w:tabs>
        <w:tab w:val="clear" w:pos="57"/>
        <w:tab w:val="right" w:pos="4762" w:leader="dot"/>
      </w:tabs>
      <w:suppressAutoHyphens w:val="true"/>
      <w:bidi w:val="0"/>
      <w:spacing w:lineRule="atLeast" w:line="240" w:before="0" w:after="0"/>
      <w:ind w:firstLine="283"/>
      <w:jc w:val="both"/>
    </w:pPr>
    <w:rPr>
      <w:rFonts w:ascii="NewsGothic_A.Z_PS" w:hAnsi="NewsGothic_A.Z_PS" w:eastAsia="Calibri" w:cs="NewsGothic_A.Z_PS"/>
      <w:color w:val="000000"/>
      <w:kern w:val="0"/>
      <w:sz w:val="28"/>
      <w:szCs w:val="28"/>
      <w:lang w:val="ru-RU" w:eastAsia="ru-RU" w:bidi="ar-SA"/>
    </w:rPr>
  </w:style>
  <w:style w:type="paragraph" w:styleId="Title">
    <w:name w:val="Title"/>
    <w:basedOn w:val="Normal"/>
    <w:link w:val="Style14"/>
    <w:qFormat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  <w:lang w:val="en-GB"/>
    </w:rPr>
  </w:style>
  <w:style w:type="paragraph" w:styleId="BodyText2">
    <w:name w:val="Body Text 2"/>
    <w:basedOn w:val="Normal"/>
    <w:link w:val="23"/>
    <w:qFormat/>
    <w:pPr>
      <w:widowControl w:val="false"/>
      <w:spacing w:lineRule="auto" w:line="480" w:before="0" w:after="120"/>
      <w:jc w:val="left"/>
    </w:pPr>
    <w:rPr>
      <w:sz w:val="20"/>
      <w:szCs w:val="20"/>
    </w:rPr>
  </w:style>
  <w:style w:type="paragraph" w:styleId="Style25" w:customStyle="1">
    <w:name w:val="Таблицы (моноширинный)"/>
    <w:basedOn w:val="Normal"/>
    <w:next w:val="Normal"/>
    <w:qFormat/>
    <w:pPr>
      <w:widowControl w:val="false"/>
    </w:pPr>
    <w:rPr>
      <w:rFonts w:ascii="Courier New" w:hAnsi="Courier New" w:cs="Courier New"/>
      <w:sz w:val="20"/>
      <w:szCs w:val="20"/>
    </w:rPr>
  </w:style>
  <w:style w:type="paragraph" w:styleId="Iauiue" w:customStyle="1">
    <w:name w:val="Iau?iue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26" w:customStyle="1">
    <w:name w:val="Абзац списка2"/>
    <w:basedOn w:val="Normal"/>
    <w:qFormat/>
    <w:pPr>
      <w:widowControl w:val="false"/>
      <w:ind w:left="720" w:hanging="0"/>
      <w:jc w:val="left"/>
    </w:pPr>
    <w:rPr>
      <w:sz w:val="20"/>
      <w:szCs w:val="20"/>
    </w:rPr>
  </w:style>
  <w:style w:type="paragraph" w:styleId="Style26" w:customStyle="1">
    <w:name w:val="Содержимое таблицы"/>
    <w:basedOn w:val="Normal"/>
    <w:qFormat/>
    <w:pPr>
      <w:widowControl w:val="false"/>
      <w:suppressLineNumbers/>
      <w:jc w:val="left"/>
    </w:pPr>
    <w:rPr>
      <w:rFonts w:eastAsia="Arial Unicode MS"/>
      <w:sz w:val="24"/>
      <w:szCs w:val="24"/>
    </w:rPr>
  </w:style>
  <w:style w:type="paragraph" w:styleId="Style27" w:customStyle="1">
    <w:name w:val="Комментарий"/>
    <w:basedOn w:val="Normal"/>
    <w:next w:val="Normal"/>
    <w:qFormat/>
    <w:pPr>
      <w:widowControl w:val="false"/>
      <w:ind w:left="170" w:hanging="0"/>
    </w:pPr>
    <w:rPr>
      <w:rFonts w:ascii="Arial" w:hAnsi="Arial"/>
      <w:i/>
      <w:iCs/>
      <w:color w:val="800080"/>
      <w:sz w:val="20"/>
      <w:szCs w:val="20"/>
    </w:rPr>
  </w:style>
  <w:style w:type="paragraph" w:styleId="DocumentMap">
    <w:name w:val="Document Map"/>
    <w:basedOn w:val="Normal"/>
    <w:link w:val="Style15"/>
    <w:uiPriority w:val="99"/>
    <w:semiHidden/>
    <w:qFormat/>
    <w:pPr>
      <w:widowControl w:val="false"/>
      <w:shd w:val="clear" w:color="auto" w:fill="000080"/>
      <w:jc w:val="left"/>
    </w:pPr>
    <w:rPr>
      <w:rFonts w:ascii="Tahoma" w:hAnsi="Tahoma"/>
      <w:sz w:val="20"/>
      <w:szCs w:val="20"/>
    </w:rPr>
  </w:style>
  <w:style w:type="paragraph" w:styleId="112" w:customStyle="1">
    <w:name w:val="Рецензия1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27" w:customStyle="1">
    <w:name w:val="Рецензия2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FootnoteText">
    <w:name w:val="Footnote Text"/>
    <w:basedOn w:val="Normal"/>
    <w:link w:val="Style16"/>
    <w:uiPriority w:val="99"/>
    <w:semiHidden/>
    <w:pPr/>
    <w:rPr>
      <w:sz w:val="20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en-US" w:bidi="ar-SA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  <w:contextualSpacing/>
      <w:jc w:val="left"/>
    </w:pPr>
    <w:rPr>
      <w:rFonts w:ascii="Calibri" w:hAnsi="Calibri"/>
      <w:sz w:val="22"/>
      <w:szCs w:val="22"/>
    </w:rPr>
  </w:style>
  <w:style w:type="paragraph" w:styleId="Times12" w:customStyle="1">
    <w:name w:val="Times 12"/>
    <w:basedOn w:val="Normal"/>
    <w:qFormat/>
    <w:pPr>
      <w:ind w:firstLine="567"/>
    </w:pPr>
    <w:rPr>
      <w:rFonts w:eastAsia="Times New Roman"/>
      <w:bCs/>
      <w:sz w:val="24"/>
      <w:szCs w:val="22"/>
    </w:rPr>
  </w:style>
  <w:style w:type="paragraph" w:styleId="Style28" w:customStyle="1">
    <w:name w:val="Пункт б/н"/>
    <w:basedOn w:val="Normal"/>
    <w:qFormat/>
    <w:pPr>
      <w:tabs>
        <w:tab w:val="clear" w:pos="57"/>
        <w:tab w:val="left" w:pos="1134" w:leader="none"/>
      </w:tabs>
      <w:spacing w:lineRule="auto" w:line="360"/>
      <w:ind w:firstLine="567"/>
    </w:pPr>
    <w:rPr>
      <w:rFonts w:eastAsia="Times New Roman"/>
      <w:bCs/>
      <w:sz w:val="22"/>
      <w:szCs w:val="22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unhideWhenUsed/>
    <w:qFormat/>
    <w:pPr>
      <w:spacing w:lineRule="auto" w:line="276" w:before="480" w:after="0"/>
      <w:jc w:val="left"/>
      <w:outlineLvl w:val="9"/>
    </w:pPr>
    <w:rPr>
      <w:rFonts w:ascii="Cambria" w:hAnsi="Cambria" w:eastAsia="Times New Roman"/>
      <w:color w:val="365F91"/>
    </w:rPr>
  </w:style>
  <w:style w:type="paragraph" w:styleId="TOC3">
    <w:name w:val="TOC 3"/>
    <w:basedOn w:val="Normal"/>
    <w:next w:val="Normal"/>
    <w:uiPriority w:val="39"/>
    <w:pPr>
      <w:ind w:left="560" w:hanging="0"/>
      <w:jc w:val="left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uiPriority w:val="39"/>
    <w:pPr>
      <w:ind w:left="840" w:hanging="0"/>
      <w:jc w:val="left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uiPriority w:val="39"/>
    <w:pPr>
      <w:ind w:left="1120" w:hanging="0"/>
      <w:jc w:val="left"/>
    </w:pPr>
    <w:rPr>
      <w:rFonts w:ascii="Calibri" w:hAnsi="Calibri" w:cs="Calibri"/>
      <w:sz w:val="20"/>
      <w:szCs w:val="20"/>
    </w:rPr>
  </w:style>
  <w:style w:type="paragraph" w:styleId="TOC6">
    <w:name w:val="TOC 6"/>
    <w:basedOn w:val="Normal"/>
    <w:next w:val="Normal"/>
    <w:uiPriority w:val="39"/>
    <w:pPr>
      <w:ind w:left="1400" w:hanging="0"/>
      <w:jc w:val="left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uiPriority w:val="39"/>
    <w:pPr>
      <w:ind w:left="1680" w:hanging="0"/>
      <w:jc w:val="left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uiPriority w:val="39"/>
    <w:pPr>
      <w:ind w:left="1960" w:hanging="0"/>
      <w:jc w:val="left"/>
    </w:pPr>
    <w:rPr>
      <w:rFonts w:ascii="Calibri" w:hAnsi="Calibri" w:cs="Calibri"/>
      <w:sz w:val="20"/>
      <w:szCs w:val="20"/>
    </w:rPr>
  </w:style>
  <w:style w:type="paragraph" w:styleId="TOC9">
    <w:name w:val="TOC 9"/>
    <w:basedOn w:val="Normal"/>
    <w:next w:val="Normal"/>
    <w:uiPriority w:val="39"/>
    <w:pPr>
      <w:ind w:left="2240" w:hanging="0"/>
      <w:jc w:val="left"/>
    </w:pPr>
    <w:rPr>
      <w:rFonts w:ascii="Calibri" w:hAnsi="Calibri" w:cs="Calibri"/>
      <w:sz w:val="20"/>
      <w:szCs w:val="20"/>
    </w:rPr>
  </w:style>
  <w:style w:type="paragraph" w:styleId="Style29" w:customStyle="1">
    <w:name w:val="Пункт"/>
    <w:basedOn w:val="Normal"/>
    <w:link w:val="25"/>
    <w:qFormat/>
    <w:pPr>
      <w:numPr>
        <w:ilvl w:val="2"/>
        <w:numId w:val="2"/>
      </w:numPr>
    </w:pPr>
    <w:rPr/>
  </w:style>
  <w:style w:type="paragraph" w:styleId="Style30" w:customStyle="1">
    <w:name w:val="Обычный нумерованный текст"/>
    <w:basedOn w:val="BodyText"/>
    <w:link w:val="Style18"/>
    <w:qFormat/>
    <w:pPr>
      <w:keepNext w:val="false"/>
      <w:keepLines w:val="false"/>
      <w:widowControl w:val="false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en-US" w:bidi="ar-SA"/>
    </w:rPr>
  </w:style>
  <w:style w:type="paragraph" w:styleId="311" w:customStyle="1">
    <w:name w:val="Основной текст с отступом 31"/>
    <w:basedOn w:val="Normal"/>
    <w:uiPriority w:val="99"/>
    <w:qFormat/>
    <w:pPr>
      <w:ind w:firstLine="720"/>
    </w:pPr>
    <w:rPr>
      <w:rFonts w:eastAsia="Times New Roman"/>
      <w:sz w:val="20"/>
      <w:szCs w:val="20"/>
    </w:rPr>
  </w:style>
  <w:style w:type="paragraph" w:styleId="TimesNewRomanCYR13121" w:customStyle="1">
    <w:name w:val="Стиль Times New Roman CYR 13 пт полужирный По центру Перед:  12...1"/>
    <w:basedOn w:val="Normal"/>
    <w:uiPriority w:val="99"/>
    <w:qFormat/>
    <w:pPr>
      <w:keepNext w:val="true"/>
      <w:spacing w:before="240" w:after="0"/>
      <w:jc w:val="center"/>
    </w:pPr>
    <w:rPr>
      <w:rFonts w:ascii="Times New Roman CYR" w:hAnsi="Times New Roman CYR" w:eastAsia="Times New Roman"/>
      <w:b/>
      <w:bCs/>
      <w:sz w:val="26"/>
      <w:szCs w:val="20"/>
    </w:rPr>
  </w:style>
  <w:style w:type="paragraph" w:styleId="BodyText23" w:customStyle="1">
    <w:name w:val="Body Text 23"/>
    <w:basedOn w:val="Normal"/>
    <w:qFormat/>
    <w:pPr>
      <w:ind w:left="284" w:hanging="0"/>
    </w:pPr>
    <w:rPr>
      <w:rFonts w:ascii="Arial" w:hAnsi="Arial" w:eastAsia="Times New Roman" w:cs="Arial"/>
      <w:sz w:val="22"/>
      <w:szCs w:val="22"/>
    </w:rPr>
  </w:style>
  <w:style w:type="paragraph" w:styleId="BodyText24" w:customStyle="1">
    <w:name w:val="Body Text 24"/>
    <w:basedOn w:val="Normal"/>
    <w:qFormat/>
    <w:pPr>
      <w:ind w:left="284" w:hanging="0"/>
    </w:pPr>
    <w:rPr>
      <w:rFonts w:ascii="Arial" w:hAnsi="Arial" w:eastAsia="Times New Roman" w:cs="Arial"/>
      <w:sz w:val="22"/>
      <w:szCs w:val="22"/>
    </w:rPr>
  </w:style>
  <w:style w:type="paragraph" w:styleId="113" w:customStyle="1">
    <w:name w:val="Без интервала1"/>
    <w:link w:val="NoSpacingChar"/>
    <w:uiPriority w:val="99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31" w:customStyle="1">
    <w:name w:val="Знак"/>
    <w:basedOn w:val="Normal"/>
    <w:qFormat/>
    <w:pPr>
      <w:spacing w:lineRule="exact" w:line="240" w:before="0" w:after="160"/>
      <w:jc w:val="left"/>
    </w:pPr>
    <w:rPr>
      <w:rFonts w:ascii="Verdana" w:hAnsi="Verdana" w:eastAsia="Times New Roman"/>
      <w:sz w:val="20"/>
      <w:szCs w:val="20"/>
      <w:lang w:val="en-US" w:eastAsia="en-US"/>
    </w:rPr>
  </w:style>
  <w:style w:type="paragraph" w:styleId="Xl25" w:customStyle="1">
    <w:name w:val="xl2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26" w:customStyle="1">
    <w:name w:val="xl2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24"/>
      <w:szCs w:val="24"/>
    </w:rPr>
  </w:style>
  <w:style w:type="paragraph" w:styleId="Xl27" w:customStyle="1">
    <w:name w:val="xl2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28" w:customStyle="1">
    <w:name w:val="xl2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bCs/>
      <w:sz w:val="24"/>
      <w:szCs w:val="24"/>
    </w:rPr>
  </w:style>
  <w:style w:type="paragraph" w:styleId="Xl29" w:customStyle="1">
    <w:name w:val="xl2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30" w:customStyle="1">
    <w:name w:val="xl3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24"/>
      <w:szCs w:val="24"/>
    </w:rPr>
  </w:style>
  <w:style w:type="paragraph" w:styleId="Xl31" w:customStyle="1">
    <w:name w:val="xl3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32" w:customStyle="1">
    <w:name w:val="xl3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styleId="Xl33" w:customStyle="1">
    <w:name w:val="xl3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styleId="Xl34" w:customStyle="1">
    <w:name w:val="xl3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styleId="Xl35" w:customStyle="1">
    <w:name w:val="xl3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styleId="Xl36" w:customStyle="1">
    <w:name w:val="xl3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24"/>
      <w:szCs w:val="24"/>
    </w:rPr>
  </w:style>
  <w:style w:type="paragraph" w:styleId="Xl37" w:customStyle="1">
    <w:name w:val="xl3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bCs/>
      <w:sz w:val="24"/>
      <w:szCs w:val="24"/>
    </w:rPr>
  </w:style>
  <w:style w:type="paragraph" w:styleId="Xl38" w:customStyle="1">
    <w:name w:val="xl3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b/>
      <w:bCs/>
      <w:sz w:val="24"/>
      <w:szCs w:val="24"/>
    </w:rPr>
  </w:style>
  <w:style w:type="paragraph" w:styleId="Xl39" w:customStyle="1">
    <w:name w:val="xl3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40" w:customStyle="1">
    <w:name w:val="xl40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41" w:customStyle="1">
    <w:name w:val="xl4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left"/>
    </w:pPr>
    <w:rPr>
      <w:sz w:val="24"/>
      <w:szCs w:val="24"/>
    </w:rPr>
  </w:style>
  <w:style w:type="paragraph" w:styleId="Xl89" w:customStyle="1">
    <w:name w:val="xl89"/>
    <w:basedOn w:val="Normal"/>
    <w:qFormat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hd w:val="clear" w:color="000000" w:fill="FFFFFF"/>
      <w:spacing w:beforeAutospacing="1" w:afterAutospacing="1"/>
      <w:jc w:val="left"/>
    </w:pPr>
    <w:rPr>
      <w:rFonts w:ascii="Arial" w:hAnsi="Arial" w:cs="Arial"/>
      <w:b/>
      <w:bCs/>
      <w:color w:val="333300"/>
      <w:sz w:val="16"/>
      <w:szCs w:val="16"/>
    </w:rPr>
  </w:style>
  <w:style w:type="paragraph" w:styleId="Xl90" w:customStyle="1">
    <w:name w:val="xl90"/>
    <w:basedOn w:val="Normal"/>
    <w:qFormat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hd w:val="clear" w:color="000000" w:fill="FFFFFF"/>
      <w:spacing w:beforeAutospacing="1" w:afterAutospacing="1"/>
      <w:jc w:val="center"/>
    </w:pPr>
    <w:rPr>
      <w:rFonts w:ascii="Arial" w:hAnsi="Arial" w:cs="Arial"/>
      <w:b/>
      <w:bCs/>
      <w:color w:val="333300"/>
      <w:sz w:val="16"/>
      <w:szCs w:val="16"/>
    </w:rPr>
  </w:style>
  <w:style w:type="paragraph" w:styleId="Xl91" w:customStyle="1">
    <w:name w:val="xl91"/>
    <w:basedOn w:val="Normal"/>
    <w:qFormat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hd w:val="clear" w:color="000000" w:fill="FFFFFF"/>
      <w:spacing w:beforeAutospacing="1" w:afterAutospacing="1"/>
      <w:jc w:val="left"/>
    </w:pPr>
    <w:rPr>
      <w:rFonts w:ascii="Arial" w:hAnsi="Arial" w:cs="Arial"/>
      <w:color w:val="000000"/>
      <w:sz w:val="16"/>
      <w:szCs w:val="16"/>
    </w:rPr>
  </w:style>
  <w:style w:type="paragraph" w:styleId="Xl92" w:customStyle="1">
    <w:name w:val="xl92"/>
    <w:basedOn w:val="Normal"/>
    <w:qFormat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hd w:val="clear" w:color="000000" w:fill="FFFFFF"/>
      <w:spacing w:beforeAutospacing="1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styleId="Xl93" w:customStyle="1">
    <w:name w:val="xl93"/>
    <w:basedOn w:val="Normal"/>
    <w:qFormat/>
    <w:pPr>
      <w:pBdr>
        <w:top w:val="single" w:sz="4" w:space="0" w:color="993300"/>
        <w:left w:val="single" w:sz="4" w:space="0" w:color="993300"/>
        <w:bottom w:val="single" w:sz="4" w:space="0" w:color="993300"/>
        <w:right w:val="single" w:sz="4" w:space="0" w:color="993300"/>
      </w:pBdr>
      <w:shd w:val="clear" w:color="000000" w:fill="FFFFFF"/>
      <w:spacing w:beforeAutospacing="1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styleId="Style32" w:customStyle="1">
    <w:name w:val="Нумерованный Список"/>
    <w:qFormat/>
    <w:pPr>
      <w:widowControl/>
      <w:numPr>
        <w:ilvl w:val="0"/>
        <w:numId w:val="3"/>
      </w:numPr>
      <w:suppressAutoHyphens w:val="true"/>
      <w:bidi w:val="0"/>
      <w:spacing w:before="0" w:after="60"/>
      <w:jc w:val="both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4" w:customStyle="1">
    <w:name w:val="Знак1"/>
    <w:basedOn w:val="Normal"/>
    <w:next w:val="Normal"/>
    <w:qFormat/>
    <w:pPr>
      <w:spacing w:lineRule="exact" w:line="240" w:before="0" w:after="160"/>
      <w:jc w:val="left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28" w:customStyle="1">
    <w:name w:val="заголовок 2"/>
    <w:basedOn w:val="Normal"/>
    <w:next w:val="Normal"/>
    <w:qFormat/>
    <w:pPr>
      <w:jc w:val="center"/>
    </w:pPr>
    <w:rPr>
      <w:rFonts w:eastAsia="Times New Roman"/>
      <w:sz w:val="24"/>
      <w:szCs w:val="24"/>
    </w:rPr>
  </w:style>
  <w:style w:type="paragraph" w:styleId="140" w:customStyle="1">
    <w:name w:val="Стиль Абзац списка + 14 пт По ширине После:  0 пт Междустр.интер..."/>
    <w:basedOn w:val="ListParagraph"/>
    <w:qFormat/>
    <w:pPr>
      <w:spacing w:lineRule="auto" w:line="240" w:before="0" w:after="0"/>
      <w:contextualSpacing/>
      <w:jc w:val="both"/>
    </w:pPr>
    <w:rPr>
      <w:rFonts w:ascii="Times New Roman" w:hAnsi="Times New Roman" w:eastAsia="Times New Roman"/>
      <w:sz w:val="28"/>
      <w:szCs w:val="20"/>
    </w:rPr>
  </w:style>
  <w:style w:type="paragraph" w:styleId="Style33" w:customStyle="1">
    <w:name w:val="Подпункт"/>
    <w:basedOn w:val="Style29"/>
    <w:link w:val="13"/>
    <w:qFormat/>
    <w:pPr>
      <w:numPr>
        <w:ilvl w:val="0"/>
        <w:numId w:val="0"/>
      </w:numPr>
      <w:tabs>
        <w:tab w:val="clear" w:pos="57"/>
        <w:tab w:val="left" w:pos="1134" w:leader="none"/>
      </w:tabs>
      <w:spacing w:lineRule="auto" w:line="360"/>
      <w:ind w:left="1134" w:hanging="1134"/>
    </w:pPr>
    <w:rPr>
      <w:rFonts w:eastAsia="Times New Roman"/>
      <w:sz w:val="20"/>
      <w:szCs w:val="20"/>
    </w:rPr>
  </w:style>
  <w:style w:type="paragraph" w:styleId="Style34" w:customStyle="1">
    <w:name w:val="Подподпункт"/>
    <w:basedOn w:val="Style33"/>
    <w:qFormat/>
    <w:pPr>
      <w:tabs>
        <w:tab w:val="clear" w:pos="1134"/>
        <w:tab w:val="left" w:pos="1844" w:leader="none"/>
      </w:tabs>
      <w:ind w:left="1844" w:hanging="567"/>
    </w:pPr>
    <w:rPr/>
  </w:style>
  <w:style w:type="paragraph" w:styleId="Style35" w:customStyle="1">
    <w:name w:val="Таблица шапка"/>
    <w:basedOn w:val="Normal"/>
    <w:qFormat/>
    <w:pPr>
      <w:keepNext w:val="true"/>
      <w:spacing w:before="40" w:after="40"/>
      <w:ind w:left="57" w:right="57" w:hanging="0"/>
      <w:jc w:val="left"/>
    </w:pPr>
    <w:rPr>
      <w:rFonts w:eastAsia="Times New Roman"/>
      <w:sz w:val="22"/>
      <w:szCs w:val="20"/>
    </w:rPr>
  </w:style>
  <w:style w:type="paragraph" w:styleId="Style36" w:customStyle="1">
    <w:name w:val="Таблица текст"/>
    <w:basedOn w:val="Normal"/>
    <w:qFormat/>
    <w:pPr>
      <w:spacing w:before="40" w:after="40"/>
      <w:ind w:left="57" w:right="57" w:hanging="0"/>
      <w:jc w:val="left"/>
    </w:pPr>
    <w:rPr>
      <w:rFonts w:eastAsia="Times New Roman"/>
      <w:sz w:val="24"/>
      <w:szCs w:val="20"/>
    </w:rPr>
  </w:style>
  <w:style w:type="paragraph" w:styleId="Style37" w:customStyle="1">
    <w:name w:val="Подподпункт Знак Знак"/>
    <w:basedOn w:val="Style33"/>
    <w:qFormat/>
    <w:pPr>
      <w:tabs>
        <w:tab w:val="clear" w:pos="1134"/>
        <w:tab w:val="left" w:pos="927" w:leader="none"/>
        <w:tab w:val="left" w:pos="1701" w:leader="none"/>
      </w:tabs>
      <w:ind w:left="1701" w:hanging="567"/>
    </w:pPr>
    <w:rPr>
      <w:sz w:val="28"/>
      <w:szCs w:val="28"/>
    </w:rPr>
  </w:style>
  <w:style w:type="paragraph" w:styleId="115" w:customStyle="1">
    <w:name w:val="Стиль1"/>
    <w:basedOn w:val="Normal"/>
    <w:link w:val="14"/>
    <w:qFormat/>
    <w:pPr>
      <w:numPr>
        <w:ilvl w:val="2"/>
        <w:numId w:val="4"/>
      </w:numPr>
      <w:tabs>
        <w:tab w:val="clear" w:pos="57"/>
        <w:tab w:val="left" w:pos="1276" w:leader="none"/>
      </w:tabs>
      <w:ind w:left="0" w:firstLine="566"/>
    </w:pPr>
    <w:rPr/>
  </w:style>
  <w:style w:type="paragraph" w:styleId="A" w:customStyle="1">
    <w:name w:val="a"/>
    <w:basedOn w:val="Normal"/>
    <w:qFormat/>
    <w:pPr>
      <w:numPr>
        <w:ilvl w:val="0"/>
        <w:numId w:val="5"/>
      </w:numPr>
      <w:spacing w:lineRule="auto" w:line="360"/>
    </w:pPr>
    <w:rPr>
      <w:rFonts w:eastAsia="Times New Roman"/>
    </w:rPr>
  </w:style>
  <w:style w:type="paragraph" w:styleId="Pboth" w:customStyle="1">
    <w:name w:val="pboth"/>
    <w:basedOn w:val="Normal"/>
    <w:qFormat/>
    <w:pPr>
      <w:spacing w:beforeAutospacing="1" w:afterAutospacing="1"/>
      <w:jc w:val="left"/>
    </w:pPr>
    <w:rPr>
      <w:rFonts w:eastAsia="Times New Roman"/>
      <w:sz w:val="24"/>
      <w:szCs w:val="24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/>
      <w:color w:val="00000A"/>
      <w:kern w:val="0"/>
      <w:sz w:val="28"/>
      <w:szCs w:val="28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f0">
    <w:name w:val="Plain Table 1"/>
    <w:basedOn w:val="a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styleId="2d">
    <w:name w:val="Plain Table 2"/>
    <w:basedOn w:val="a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6">
    <w:name w:val="Plain Table 3"/>
    <w:basedOn w:val="a5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styleId="42">
    <w:name w:val="Plain Table 4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styleId="52">
    <w:name w:val="Plain Table 5"/>
    <w:basedOn w:val="a5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styleId="-1">
    <w:name w:val="Grid Table 1 Light"/>
    <w:basedOn w:val="a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-2">
    <w:name w:val="Grid Table 2"/>
    <w:basedOn w:val="a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30">
    <w:name w:val="Grid Table 3"/>
    <w:basedOn w:val="a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40">
    <w:name w:val="Grid Table 4"/>
    <w:basedOn w:val="a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-50">
    <w:name w:val="Grid Table 5 Dark"/>
    <w:basedOn w:val="a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0">
    <w:name w:val="Grid Table 6 Colorful"/>
    <w:basedOn w:val="a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b/>
        <w:color w:val="ACCCEA" w:themeColor="accent1" w:themeTint="80" w:themeShade="95"/>
      </w:rPr>
      <w:tblPr/>
    </w:tblStylePr>
    <w:tblStylePr w:type="firstCol">
      <w:rPr>
        <w:b/>
        <w:color w:val="ACCCEA" w:themeColor="accent1" w:themeTint="80" w:themeShade="95"/>
      </w:rPr>
      <w:tblPr/>
    </w:tblStylePr>
    <w:tblStylePr w:type="lastCol">
      <w:rPr>
        <w:b/>
        <w:color w:val="ACCCEA"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styleId="-70">
    <w:name w:val="Grid Table 7 Colorful"/>
    <w:basedOn w:val="a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styleId="-10">
    <w:name w:val="List Table 1 Light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-31">
    <w:name w:val="List Table 3"/>
    <w:basedOn w:val="a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styleId="-41">
    <w:name w:val="List Table 4"/>
    <w:basedOn w:val="a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-51">
    <w:name w:val="List Table 5 Dark"/>
    <w:basedOn w:val="a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1">
    <w:name w:val="List Table 6 Colorful"/>
    <w:basedOn w:val="a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  <w:tblPr/>
    </w:tblStylePr>
    <w:tblStylePr w:type="lastCol">
      <w:rPr>
        <w:b/>
        <w:color w:val="245A8D"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color="4472C4" w:themeColor="accent5" w:sz="4" w:space="0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8DA9DB" w:themeColor="accent5" w:themeTint="9a" w:themeShade="95"/>
      </w:rPr>
      <w:tblPr/>
    </w:tblStylePr>
    <w:tblStylePr w:type="lastCol">
      <w:rPr>
        <w:b/>
        <w:color w:val="8DA9DB"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styleId="-71">
    <w:name w:val="List Table 7 Colorful"/>
    <w:basedOn w:val="a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</w:r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</w:r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9">
    <w:name w:val="Table Grid"/>
    <w:basedOn w:val="a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f1">
    <w:name w:val="Сетка таблицы1"/>
    <w:rPr>
      <w:sz w:val="28"/>
      <w:szCs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AlterOffice/3.3.0.4$Linux_X86_64 LibreOffice_project/fa736b558560ebea8f92088bfd7720f4b3918f3f</Application>
  <AppVersion>15.0000</AppVersion>
  <Pages>3</Pages>
  <Words>555</Words>
  <Characters>4317</Characters>
  <CharactersWithSpaces>4958</CharactersWithSpaces>
  <Paragraphs>36</Paragraphs>
  <Company>Balaes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2024-07-23T09:15:00Z</dcterms:created>
  <dc:creator>ss</dc:creator>
  <dc:description/>
  <dc:language>ru-RU</dc:language>
  <cp:lastModifiedBy>batrishin_av</cp:lastModifiedBy>
  <dcterms:modified xsi:type="dcterms:W3CDTF">2026-09-02T13:37:43Z</dcterms:modified>
  <cp:revision>43</cp:revision>
  <dc:subject/>
  <dc:title>Приложение к приказу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