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1.png" ContentType="image/png"/>
  <Override PartName="/word/media/image6.wmf" ContentType="image/x-wmf"/>
  <Override PartName="/word/media/image5.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left="4395" w:firstLine="1134"/>
        <w:rPr>
          <w:szCs w:val="28"/>
        </w:rPr>
      </w:pPr>
      <w:r>
        <w:rPr>
          <w:szCs w:val="28"/>
        </w:rPr>
      </w:r>
    </w:p>
    <w:p>
      <w:pPr>
        <w:pStyle w:val="Normal"/>
        <w:ind w:left="5529" w:hanging="0"/>
        <w:rPr/>
      </w:pPr>
      <w:r>
        <w:rPr/>
        <w:t>«УТВЕРЖДАЮ»</w:t>
      </w:r>
    </w:p>
    <w:p>
      <w:pPr>
        <w:pStyle w:val="Normal"/>
        <w:ind w:left="5529" w:hanging="0"/>
        <w:rPr/>
      </w:pPr>
      <w:r>
        <w:rPr/>
        <w:t>Председатель закупочной комиссии</w:t>
      </w:r>
    </w:p>
    <w:p>
      <w:pPr>
        <w:pStyle w:val="Normal"/>
        <w:ind w:left="5529" w:hanging="0"/>
        <w:rPr/>
      </w:pPr>
      <w:r>
        <w:rPr/>
      </w:r>
    </w:p>
    <w:p>
      <w:pPr>
        <w:pStyle w:val="Normal"/>
        <w:ind w:left="5529" w:hanging="0"/>
        <w:rPr/>
      </w:pPr>
      <w:r>
        <w:rPr/>
        <w:t>_______________</w:t>
      </w:r>
    </w:p>
    <w:p>
      <w:pPr>
        <w:pStyle w:val="Normal"/>
        <w:ind w:left="5529" w:hanging="0"/>
        <w:rPr/>
      </w:pPr>
      <w:r>
        <w:rPr>
          <w:b/>
          <w:bCs/>
          <w:caps/>
        </w:rPr>
        <w:t>02.09.2026</w:t>
      </w:r>
    </w:p>
    <w:p>
      <w:pPr>
        <w:pStyle w:val="Style30"/>
        <w:keepNext w:val="true"/>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w:t>
      </w:r>
      <w:r>
        <w:rPr>
          <w:sz w:val="26"/>
          <w:szCs w:val="26"/>
        </w:rPr>
        <w:t>огут быть только субъекты МСП,</w:t>
        <w:br/>
        <w:t>на право заключения договора на </w:t>
      </w:r>
      <w:r>
        <w:rPr>
          <w:rStyle w:val="Style8"/>
          <w:b/>
          <w:bCs/>
          <w:caps w:val="false"/>
          <w:smallCaps w:val="false"/>
          <w:strike w:val="false"/>
          <w:dstrike w:val="false"/>
          <w:color w:val="222222"/>
          <w:spacing w:val="0"/>
          <w:sz w:val="26"/>
          <w:szCs w:val="26"/>
          <w:u w:val="none"/>
          <w:effect w:val="none"/>
          <w:shd w:fill="auto" w:val="clear"/>
        </w:rPr>
        <w:tab/>
        <w:t>ОКПД2 33.14.11.000 Выполнение работ по ремонту на объектах: ПС 35 кВ №2, ПС 35 кВ №11 структурного подразделения "Восточные электрические сети" для нужд филиала "Амурские электрические сети"</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pPr>
      <w:r>
        <w:rPr>
          <w:rStyle w:val="Style8"/>
          <w:i w:val="false"/>
          <w:iCs w:val="false"/>
          <w:sz w:val="26"/>
          <w:szCs w:val="26"/>
          <w:shd w:fill="auto" w:val="clear"/>
        </w:rPr>
        <w:t>312901-РЕМ ПРОД-2026-ДРСК-АЭС</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"УРОВЕНЬ_-,5,[РГ] Подпункт,4,[РГ] Пункт,3,[РГ] Подраздел,2,[РГ]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Пункт,3,[РГ] Пункт,3,[РГ] Пункт,3,[РГ] Пункт,3,[РГ] Пункт,3,[РГ] Пункт,3,[РГ] Подпункт,4,[РГ] Подпункт,4,[РГ] Подпункт,4,[РГ] Подпункт,4,[РГ] Подпункт,4,[РГ] Подпункт,4,УРОВЕНЬ_-,5,УРОВЕНЬ_-,5,УРОВЕНЬ_-,5,УРОВЕНЬ_-,5,УРОВЕНЬ_-,5,УРОВЕНЬ_-,5"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Ref125359988"/>
      <w:bookmarkStart w:id="4" w:name="_Toc228877670"/>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rPr/>
      </w:pPr>
      <w:r>
        <w:rPr/>
        <w:t>В настоящем разделе содержатся основные сведения о предмете, способе и иных ключевых условиях проводимой закупки.</w:t>
      </w:r>
    </w:p>
    <w:p>
      <w:pPr>
        <w:pStyle w:val="Style26"/>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Ref125359973"/>
      <w:bookmarkStart w:id="7" w:name="_Ref127270076"/>
      <w:bookmarkStart w:id="8" w:name="_Ref132876309"/>
      <w:bookmarkStart w:id="9" w:name="_Toc228877672"/>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891"/>
        <w:gridCol w:w="5895"/>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891"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89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891" w:type="dxa"/>
            <w:tcBorders/>
          </w:tcPr>
          <w:p>
            <w:pPr>
              <w:pStyle w:val="Style30"/>
              <w:widowControl w:val="false"/>
              <w:suppressAutoHyphens w:val="true"/>
              <w:spacing w:before="60" w:after="60"/>
              <w:jc w:val="left"/>
              <w:rPr>
                <w:b w:val="false"/>
                <w:bCs w:val="false"/>
                <w:i w:val="false"/>
                <w:i w:val="false"/>
                <w:iCs w:val="false"/>
              </w:rPr>
            </w:pPr>
            <w:r>
              <w:rPr>
                <w:rFonts w:eastAsia="Calibri" w:cs=""/>
                <w:b w:val="false"/>
                <w:bCs w:val="false"/>
                <w:i w:val="false"/>
                <w:iCs w:val="false"/>
                <w:kern w:val="0"/>
                <w:sz w:val="24"/>
                <w:szCs w:val="24"/>
                <w:lang w:val="ru-RU" w:eastAsia="en-US" w:bidi="ar-SA"/>
              </w:rPr>
              <w:t>Предмет Договора</w:t>
              <w:br/>
              <w:t>(в том числе номер лота):</w:t>
            </w:r>
          </w:p>
        </w:tc>
        <w:tc>
          <w:tcPr>
            <w:tcW w:w="5895" w:type="dxa"/>
            <w:tcBorders/>
          </w:tcPr>
          <w:p>
            <w:pPr>
              <w:pStyle w:val="Normal"/>
              <w:keepNext w:val="true"/>
              <w:widowControl w:val="false"/>
              <w:spacing w:before="240" w:after="0"/>
              <w:jc w:val="left"/>
              <w:rPr/>
            </w:pPr>
            <w:r>
              <w:rPr>
                <w:rStyle w:val="Style8"/>
                <w:b/>
                <w:bCs/>
                <w:i w:val="false"/>
                <w:iCs w:val="false"/>
                <w:caps w:val="false"/>
                <w:smallCaps w:val="false"/>
                <w:strike w:val="false"/>
                <w:dstrike w:val="false"/>
                <w:color w:val="222222"/>
                <w:spacing w:val="0"/>
                <w:sz w:val="26"/>
                <w:szCs w:val="26"/>
                <w:u w:val="none"/>
                <w:effect w:val="none"/>
                <w:shd w:fill="auto" w:val="clear"/>
              </w:rPr>
              <w:t xml:space="preserve">ОКПД2 33.14.11.000 Выполнение работ по ремонту на объектах: ПС 35 кВ №2, ПС 35 кВ №11 структурного подразделения "Восточные электрические сети" для нужд филиала "Амурские электрические сети" </w:t>
            </w:r>
            <w:r>
              <w:rPr>
                <w:rStyle w:val="Style8"/>
                <w:rFonts w:eastAsia="Calibri" w:cs=""/>
                <w:b/>
                <w:bCs/>
                <w:i w:val="false"/>
                <w:iCs w:val="false"/>
                <w:caps w:val="false"/>
                <w:smallCaps w:val="false"/>
                <w:strike w:val="false"/>
                <w:dstrike w:val="false"/>
                <w:color w:val="222222"/>
                <w:spacing w:val="0"/>
                <w:kern w:val="0"/>
                <w:sz w:val="26"/>
                <w:szCs w:val="26"/>
                <w:u w:val="none"/>
                <w:effect w:val="none"/>
                <w:shd w:fill="auto" w:val="clear"/>
                <w:lang w:eastAsia="en-US" w:bidi="ar-SA"/>
              </w:rPr>
              <w:t>312901-РЕМ ПРОД-2026-ДРСК-АЭС</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895"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895"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02.09.26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 3 415 952,00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keepNext w:val="true"/>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p>
            <w:pPr>
              <w:pStyle w:val="Style30"/>
              <w:widowControl w:val="false"/>
              <w:suppressAutoHyphens w:val="true"/>
              <w:spacing w:before="60" w:after="60"/>
              <w:rPr/>
            </w:pPr>
            <w:r>
              <w:rPr>
                <w:rFonts w:eastAsia="Calibri" w:cs=""/>
                <w:kern w:val="0"/>
                <w:sz w:val="24"/>
                <w:szCs w:val="24"/>
                <w:lang w:val="ru-RU" w:eastAsia="en-US" w:bidi="ar-SA"/>
              </w:rPr>
              <w:t>Национальный режим не предоставляется. Заказчик исполняет нормы в части минимальной обязательной доли закупок товаров российского происхождения. Подробные требования к стране происхождения товара изложены в Технических требованиях (</w:t>
            </w:r>
            <w:hyperlink w:anchor="Прил01_ТехТребования">
              <w:r>
                <w:rPr>
                  <w:rStyle w:val="Style11"/>
                  <w:rFonts w:eastAsia="Calibri" w:cs=""/>
                  <w:kern w:val="0"/>
                  <w:sz w:val="24"/>
                  <w:szCs w:val="24"/>
                  <w:lang w:val="ru-RU" w:eastAsia="en-US" w:bidi="ar-SA"/>
                </w:rPr>
                <w:t>Приложение № 1</w:t>
              </w:r>
            </w:hyperlink>
            <w:r>
              <w:rPr>
                <w:rFonts w:eastAsia="Calibri" w:cs=""/>
                <w:kern w:val="0"/>
                <w:sz w:val="24"/>
                <w:szCs w:val="24"/>
                <w:lang w:val="ru-RU" w:eastAsia="en-US" w:bidi="ar-SA"/>
              </w:rPr>
              <w:t>), а также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в части указания сведений, которые подтверждают страну происхождения товара.</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895"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02.09.2026</w:t>
            </w:r>
          </w:p>
          <w:p>
            <w:pPr>
              <w:pStyle w:val="Style30"/>
              <w:widowControl w:val="false"/>
              <w:suppressAutoHyphens w:val="true"/>
              <w:spacing w:before="60" w:after="60"/>
              <w:rPr>
                <w:sz w:val="24"/>
                <w:szCs w:val="24"/>
              </w:rPr>
            </w:pPr>
            <w:r>
              <w:rPr>
                <w:sz w:val="24"/>
                <w:szCs w:val="24"/>
              </w:rPr>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14.09.2026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14.09.2026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2.17</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895"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21.09.2026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02.10.2026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0</w:t>
            </w:r>
            <w:r>
              <w:rPr>
                <w:rStyle w:val="Style8"/>
                <w:rFonts w:eastAsia="Calibri" w:cs=""/>
                <w:i w:val="false"/>
                <w:iCs w:val="false"/>
                <w:kern w:val="0"/>
                <w:sz w:val="24"/>
                <w:szCs w:val="24"/>
                <w:shd w:fill="auto" w:val="clear"/>
                <w:lang w:val="ru-RU" w:eastAsia="en-US" w:bidi="ar-SA"/>
              </w:rPr>
              <w:t>5</w:t>
            </w:r>
            <w:r>
              <w:rPr>
                <w:rStyle w:val="Style8"/>
                <w:rFonts w:eastAsia="Calibri" w:cs=""/>
                <w:i w:val="false"/>
                <w:iCs w:val="false"/>
                <w:kern w:val="0"/>
                <w:sz w:val="24"/>
                <w:szCs w:val="24"/>
                <w:shd w:fill="auto" w:val="clear"/>
                <w:lang w:val="ru-RU" w:eastAsia="en-US" w:bidi="ar-SA"/>
              </w:rPr>
              <w:t>.10.2026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sz w:val="24"/>
                <w:szCs w:val="24"/>
              </w:rPr>
            </w:pPr>
            <w:r>
              <w:rPr>
                <w:sz w:val="24"/>
                <w:szCs w:val="24"/>
              </w:rPr>
              <w:t>Корпоративный сайт ПАО</w:t>
            </w:r>
            <w:r>
              <w:rPr>
                <w:sz w:val="24"/>
                <w:szCs w:val="24"/>
                <w:lang w:val="en-US"/>
              </w:rPr>
              <w:t> </w:t>
            </w:r>
            <w:r>
              <w:rPr>
                <w:sz w:val="24"/>
                <w:szCs w:val="24"/>
              </w:rPr>
              <w:t>«РусГидро», через специально созданную учетную запись (подробный порядок содержится в разделе</w:t>
            </w:r>
            <w:r>
              <w:rPr>
                <w:sz w:val="24"/>
                <w:szCs w:val="24"/>
                <w:lang w:val="en-US"/>
              </w:rPr>
              <w:t> </w:t>
            </w:r>
            <w:r>
              <w:rPr>
                <w:sz w:val="24"/>
                <w:szCs w:val="24"/>
                <w:lang w:val="en-US"/>
              </w:rPr>
              <w:fldChar w:fldCharType="begin"/>
            </w:r>
            <w:r>
              <w:rPr>
                <w:sz w:val="24"/>
                <w:szCs w:val="24"/>
                <w:lang w:val="en-US"/>
              </w:rPr>
              <w:instrText xml:space="preserve"> REF _Ref126142429 \r \h </w:instrText>
            </w:r>
            <w:r>
              <w:rPr>
                <w:sz w:val="24"/>
                <w:szCs w:val="24"/>
                <w:lang w:val="en-US"/>
              </w:rPr>
              <w:fldChar w:fldCharType="separate"/>
            </w:r>
            <w:r>
              <w:rPr>
                <w:sz w:val="24"/>
                <w:szCs w:val="24"/>
                <w:lang w:val="en-US"/>
              </w:rPr>
            </w:r>
            <w:r>
              <w:rPr>
                <w:sz w:val="24"/>
                <w:szCs w:val="24"/>
                <w:lang w:val="en-US"/>
              </w:rPr>
              <w:fldChar w:fldCharType="end"/>
            </w:r>
            <w:r>
              <w:rPr>
                <w:sz w:val="24"/>
                <w:szCs w:val="24"/>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895"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Ref125360073"/>
      <w:bookmarkStart w:id="59" w:name="_Ref125360337"/>
      <w:bookmarkStart w:id="60" w:name="_Toc2288776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2.9</w:t>
      </w:r>
      <w:r>
        <w:rPr/>
        <w:fldChar w:fldCharType="end"/>
      </w:r>
      <w:bookmarkEnd w:id="63"/>
      <w:r>
        <w:rPr/>
        <w:t>.</w:t>
      </w:r>
    </w:p>
    <w:p>
      <w:pPr>
        <w:pStyle w:val="Style26"/>
        <w:rPr/>
      </w:pPr>
      <w:r>
        <w:rPr/>
        <w:t>Заключенный по результатам закупки Договор, в том числе, фиксирует все достигнутые сторонами договоренности.</w:t>
      </w:r>
    </w:p>
    <w:p>
      <w:pPr>
        <w:pStyle w:val="Style26"/>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pPr>
      <w:r>
        <w:rPr/>
        <w:t>Иные документы Организатора и Участников не определяют права и обязанности сторон в связи с данной закупкой.</w:t>
      </w:r>
    </w:p>
    <w:p>
      <w:pPr>
        <w:pStyle w:val="Style26"/>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Ref125363536"/>
      <w:bookmarkStart w:id="65" w:name="_Toc228877676"/>
      <w:r>
        <w:rPr/>
        <w:t>Обжалование</w:t>
      </w:r>
      <w:bookmarkEnd w:id="64"/>
      <w:bookmarkEnd w:id="65"/>
    </w:p>
    <w:p>
      <w:pPr>
        <w:pStyle w:val="Style26"/>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rPr/>
      </w:pPr>
      <w:r>
        <w:rPr/>
        <w:t>Правила проведения закупки в том числе определяются Регламентом ЭП.</w:t>
      </w:r>
    </w:p>
    <w:p>
      <w:pPr>
        <w:pStyle w:val="Style26"/>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Ref125361210"/>
      <w:bookmarkStart w:id="71" w:name="_Toc228877679"/>
      <w:r>
        <w:rPr/>
        <w:t>Требования к Участникам</w:t>
      </w:r>
      <w:bookmarkEnd w:id="70"/>
      <w:bookmarkEnd w:id="71"/>
    </w:p>
    <w:p>
      <w:pPr>
        <w:pStyle w:val="Style25"/>
        <w:rPr/>
      </w:pPr>
      <w:bookmarkStart w:id="72" w:name="_Ref127524530"/>
      <w:bookmarkStart w:id="73" w:name="_Toc228877680"/>
      <w:r>
        <w:rPr/>
        <w:t>Общие требования к Участникам</w:t>
      </w:r>
      <w:bookmarkEnd w:id="72"/>
      <w:bookmarkEnd w:id="73"/>
    </w:p>
    <w:p>
      <w:pPr>
        <w:pStyle w:val="Style26"/>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Ref125361702"/>
      <w:bookmarkStart w:id="79" w:name="_Toc228877681"/>
      <w:bookmarkStart w:id="80" w:name="_Toc224743781"/>
      <w:bookmarkStart w:id="81" w:name="_Toc224743782"/>
      <w:bookmarkStart w:id="82" w:name="_Toc224743783"/>
      <w:bookmarkStart w:id="83" w:name="_Toc224743784"/>
      <w:bookmarkStart w:id="84" w:name="_Toc224743785"/>
      <w:bookmarkStart w:id="85" w:name="_Toc224743786"/>
      <w:bookmarkStart w:id="86" w:name="_Toc224743787"/>
      <w:bookmarkStart w:id="87" w:name="_Toc224743788"/>
      <w:bookmarkStart w:id="88" w:name="_Toc224743789"/>
      <w:bookmarkStart w:id="89" w:name="_Toc224743790"/>
      <w:bookmarkStart w:id="90" w:name="_Toc224743791"/>
      <w:bookmarkStart w:id="91" w:name="_Toc224743792"/>
      <w:bookmarkStart w:id="92" w:name="_Toc224743793"/>
      <w:bookmarkStart w:id="93" w:name="_Toc224743794"/>
      <w:bookmarkStart w:id="94" w:name="_Toc224743795"/>
      <w:bookmarkStart w:id="95" w:name="_Toc224743796"/>
      <w:bookmarkStart w:id="96" w:name="_Toc224743797"/>
      <w:bookmarkStart w:id="97" w:name="_Toc224743798"/>
      <w:bookmarkStart w:id="98" w:name="_Toc224743799"/>
      <w:bookmarkStart w:id="99" w:name="_Toc224743800"/>
      <w:bookmarkStart w:id="100" w:name="_Toc224743801"/>
      <w:bookmarkStart w:id="101" w:name="_Ref125361969_Копия_1"/>
      <w:bookmarkStart w:id="102" w:name="_Ref125361976_Копия_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Ref125361211"/>
      <w:bookmarkStart w:id="106" w:name="_Ref125367098"/>
      <w:bookmarkStart w:id="107" w:name="_Ref125367107"/>
      <w:bookmarkStart w:id="108" w:name="_Ref125367974"/>
      <w:bookmarkStart w:id="109" w:name="_Toc228877682"/>
      <w:r>
        <w:rPr/>
        <w:t>Порядок проведения закупки</w:t>
      </w:r>
      <w:bookmarkEnd w:id="105"/>
      <w:bookmarkEnd w:id="106"/>
      <w:bookmarkEnd w:id="107"/>
      <w:bookmarkEnd w:id="108"/>
      <w:bookmarkEnd w:id="109"/>
    </w:p>
    <w:p>
      <w:pPr>
        <w:pStyle w:val="Style25"/>
        <w:rPr/>
      </w:pPr>
      <w:bookmarkStart w:id="110" w:name="_Ref126141932"/>
      <w:bookmarkStart w:id="111" w:name="_Toc228877683"/>
      <w:r>
        <w:rPr/>
        <w:t>Общий порядок проведения закупки</w:t>
      </w:r>
      <w:bookmarkEnd w:id="110"/>
      <w:bookmarkEnd w:id="111"/>
    </w:p>
    <w:p>
      <w:pPr>
        <w:pStyle w:val="Style26"/>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26"/>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Ref130281199"/>
      <w:bookmarkStart w:id="116" w:name="_Ref130394681"/>
      <w:bookmarkStart w:id="117" w:name="_Toc228877685"/>
      <w:r>
        <w:rPr/>
        <w:t>Подготовка заявки</w:t>
      </w:r>
      <w:bookmarkEnd w:id="115"/>
      <w:bookmarkEnd w:id="116"/>
      <w:bookmarkEnd w:id="117"/>
    </w:p>
    <w:p>
      <w:pPr>
        <w:pStyle w:val="Style26"/>
        <w:rPr/>
      </w:pPr>
      <w:r>
        <w:rPr/>
        <w:t>Участник должен подготовить заявку с учетом требований Документации о закупке.</w:t>
      </w:r>
    </w:p>
    <w:p>
      <w:pPr>
        <w:pStyle w:val="Style26"/>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30394205"/>
      <w:bookmarkStart w:id="126" w:name="_Ref130394785"/>
      <w:bookmarkStart w:id="127" w:name="_Ref130394802"/>
      <w:bookmarkStart w:id="128" w:name="_Toc228877686"/>
      <w:bookmarkStart w:id="129" w:name="_Ref125361260"/>
      <w:bookmarkStart w:id="130" w:name="_Ref125362071"/>
      <w:bookmarkStart w:id="131" w:name="_Ref125366672"/>
      <w:r>
        <w:rPr/>
        <w:t>Разъяснение Документации о закупке</w:t>
      </w:r>
      <w:bookmarkEnd w:id="125"/>
      <w:bookmarkEnd w:id="126"/>
      <w:bookmarkEnd w:id="127"/>
      <w:bookmarkEnd w:id="128"/>
      <w:bookmarkEnd w:id="129"/>
      <w:bookmarkEnd w:id="130"/>
      <w:bookmarkEnd w:id="131"/>
    </w:p>
    <w:p>
      <w:pPr>
        <w:pStyle w:val="Style26"/>
        <w:rPr/>
      </w:pPr>
      <w:r>
        <w:rPr/>
        <w:t>Участники вправе обратиться к Организатору за разъяснениями Документации о закупке.</w:t>
      </w:r>
    </w:p>
    <w:p>
      <w:pPr>
        <w:pStyle w:val="Style26"/>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26"/>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Ref125362119"/>
      <w:bookmarkStart w:id="138" w:name="_Toc228877688"/>
      <w:r>
        <w:rPr/>
        <w:t>Подача заявок и их прием</w:t>
      </w:r>
      <w:bookmarkEnd w:id="137"/>
      <w:bookmarkEnd w:id="138"/>
    </w:p>
    <w:p>
      <w:pPr>
        <w:pStyle w:val="Style26"/>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Ref125362130"/>
      <w:bookmarkStart w:id="141" w:name="_Ref125362192"/>
      <w:bookmarkStart w:id="142" w:name="_Ref125363819"/>
      <w:bookmarkStart w:id="143" w:name="_Ref125365136"/>
      <w:bookmarkStart w:id="144" w:name="_Toc228877689"/>
      <w:r>
        <w:rPr/>
        <w:t>Изменение и отзыв заявок</w:t>
      </w:r>
      <w:bookmarkEnd w:id="140"/>
      <w:bookmarkEnd w:id="141"/>
      <w:bookmarkEnd w:id="142"/>
      <w:bookmarkEnd w:id="143"/>
      <w:bookmarkEnd w:id="144"/>
    </w:p>
    <w:p>
      <w:pPr>
        <w:pStyle w:val="Style26"/>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Ref132816188"/>
      <w:bookmarkStart w:id="146" w:name="_Toc228877690"/>
      <w:r>
        <w:rPr/>
        <w:t>Открытие доступа к первым частям заявок</w:t>
      </w:r>
      <w:bookmarkEnd w:id="145"/>
      <w:bookmarkEnd w:id="146"/>
    </w:p>
    <w:p>
      <w:pPr>
        <w:pStyle w:val="Style26"/>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26"/>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26"/>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11.4</w:t>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Ref125362381"/>
      <w:bookmarkStart w:id="160" w:name="_Ref125362425"/>
      <w:bookmarkStart w:id="161" w:name="_Ref125362464"/>
      <w:bookmarkStart w:id="162" w:name="_Ref125362610"/>
      <w:bookmarkStart w:id="163" w:name="_Toc228877694"/>
      <w:r>
        <w:rPr/>
        <w:t>Дополнительные запросы разъяснений заявок</w:t>
      </w:r>
      <w:bookmarkEnd w:id="159"/>
      <w:bookmarkEnd w:id="160"/>
      <w:bookmarkEnd w:id="161"/>
      <w:bookmarkEnd w:id="162"/>
      <w:bookmarkEnd w:id="163"/>
    </w:p>
    <w:p>
      <w:pPr>
        <w:pStyle w:val="Style26"/>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12.1б)</w:t>
      </w:r>
      <w:r>
        <w:rPr/>
        <w:fldChar w:fldCharType="end"/>
      </w:r>
      <w:r>
        <w:rPr/>
        <w:t>).</w:t>
      </w:r>
    </w:p>
    <w:p>
      <w:pPr>
        <w:pStyle w:val="Style26"/>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9.4</w:t>
      </w:r>
      <w:r>
        <w:rPr/>
        <w:fldChar w:fldCharType="end"/>
      </w:r>
      <w:r>
        <w:rPr/>
        <w:t xml:space="preserve">, </w:t>
      </w:r>
      <w:r>
        <w:rPr/>
        <w:fldChar w:fldCharType="begin"/>
      </w:r>
      <w:r>
        <w:rPr/>
        <w:instrText xml:space="preserve"> REF _Ref132793926 \r \h </w:instrText>
      </w:r>
      <w:r>
        <w:rPr/>
        <w:fldChar w:fldCharType="separate"/>
      </w:r>
      <w:r>
        <w:rPr/>
        <w:t>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12.1</w:t>
      </w:r>
      <w:r>
        <w:rPr/>
        <w:fldChar w:fldCharType="end"/>
      </w:r>
      <w:r>
        <w:rPr/>
        <w:t>.</w:t>
      </w:r>
    </w:p>
    <w:p>
      <w:pPr>
        <w:pStyle w:val="Style26"/>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9.4</w:t>
      </w:r>
      <w:r>
        <w:rPr/>
        <w:fldChar w:fldCharType="end"/>
      </w:r>
      <w:r>
        <w:rPr/>
        <w:t xml:space="preserve">, </w:t>
      </w:r>
      <w:r>
        <w:rPr/>
        <w:fldChar w:fldCharType="begin"/>
      </w:r>
      <w:r>
        <w:rPr/>
        <w:instrText xml:space="preserve"> REF _Ref132793926 \r \h </w:instrText>
      </w:r>
      <w:r>
        <w:rPr/>
        <w:fldChar w:fldCharType="separate"/>
      </w:r>
      <w:r>
        <w:rPr/>
        <w:t>11.5</w:t>
      </w:r>
      <w:r>
        <w:rPr/>
        <w:fldChar w:fldCharType="end"/>
      </w:r>
      <w:r>
        <w:rPr/>
        <w:t>.</w:t>
      </w:r>
    </w:p>
    <w:p>
      <w:pPr>
        <w:pStyle w:val="Style25"/>
        <w:rPr/>
      </w:pPr>
      <w:bookmarkStart w:id="167" w:name="_Ref125362626"/>
      <w:bookmarkStart w:id="168" w:name="_Ref125365335"/>
      <w:bookmarkStart w:id="169" w:name="_Ref125365519"/>
      <w:bookmarkStart w:id="170" w:name="_Ref125366534"/>
      <w:bookmarkStart w:id="171" w:name="_Ref125369041"/>
      <w:bookmarkStart w:id="172" w:name="_Ref125369308"/>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26"/>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86219943"/>
      <w:bookmarkStart w:id="175" w:name="_Ref132816300"/>
      <w:bookmarkStart w:id="176" w:name="_Toc228877696"/>
      <w:bookmarkStart w:id="177" w:name="_Ref1309859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14.2</w:t>
      </w:r>
      <w:r>
        <w:rPr/>
        <w:fldChar w:fldCharType="end"/>
      </w:r>
      <w:r>
        <w:rPr/>
        <w:t> – </w:t>
      </w:r>
      <w:r>
        <w:rPr/>
        <w:fldChar w:fldCharType="begin"/>
      </w:r>
      <w:r>
        <w:rPr/>
        <w:instrText xml:space="preserve"> REF _Ref195007400 \r \h </w:instrText>
      </w:r>
      <w:r>
        <w:rPr/>
        <w:fldChar w:fldCharType="separate"/>
      </w:r>
      <w:r>
        <w:rPr/>
        <w:t>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26"/>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Ref125364149"/>
      <w:bookmarkStart w:id="190" w:name="_Ref125364187"/>
      <w:bookmarkStart w:id="191" w:name="_Ref125365305"/>
      <w:bookmarkStart w:id="192" w:name="_Ref125365570"/>
      <w:bookmarkStart w:id="193" w:name="_Ref125366631"/>
      <w:bookmarkStart w:id="194" w:name="_Ref125366796"/>
      <w:bookmarkStart w:id="195" w:name="_Toc228877699"/>
      <w:r>
        <w:rPr/>
        <w:t>Признание закупки несостоявшейся</w:t>
      </w:r>
      <w:bookmarkEnd w:id="189"/>
      <w:bookmarkEnd w:id="190"/>
      <w:bookmarkEnd w:id="191"/>
      <w:bookmarkEnd w:id="192"/>
      <w:bookmarkEnd w:id="193"/>
      <w:bookmarkEnd w:id="194"/>
      <w:bookmarkEnd w:id="195"/>
    </w:p>
    <w:p>
      <w:pPr>
        <w:pStyle w:val="Style26"/>
        <w:keepNext w:val="true"/>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Ref132816134"/>
      <w:bookmarkStart w:id="201" w:name="_Ref132816141"/>
      <w:bookmarkStart w:id="202" w:name="_Toc228877700"/>
      <w:bookmarkStart w:id="203" w:name="_Ref126141962"/>
      <w:bookmarkStart w:id="204" w:name="_Toc224743821"/>
      <w:bookmarkStart w:id="205" w:name="_Toc224743822"/>
      <w:bookmarkStart w:id="206" w:name="_Toc224743823"/>
      <w:bookmarkStart w:id="207" w:name="_Toc224743824"/>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Ref130455226"/>
      <w:bookmarkStart w:id="209" w:name="_Toc228877701"/>
      <w:r>
        <w:rPr/>
        <w:t>Особенности проведения закупки с необходимостью обеспечения заявки</w:t>
      </w:r>
      <w:bookmarkEnd w:id="208"/>
      <w:bookmarkEnd w:id="209"/>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18.8л)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18.14</w:t>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pPr>
      <w:r>
        <w:rPr/>
        <w:t>Подать заявку (принять участие в закупке) могут только Участники, предоставившие надлежащее обеспечение их заявок.</w:t>
      </w:r>
    </w:p>
    <w:p>
      <w:pPr>
        <w:pStyle w:val="Style26"/>
        <w:rPr/>
      </w:pPr>
      <w:r>
        <w:rPr/>
        <w:t>Требование об обеспечении заявки в равной мере распространяется на всех Участников.</w:t>
      </w:r>
    </w:p>
    <w:p>
      <w:pPr>
        <w:pStyle w:val="Style26"/>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6142429"/>
      <w:bookmarkStart w:id="216" w:name="_Ref130224037"/>
      <w:bookmarkStart w:id="217" w:name="_Toc228877704"/>
      <w:bookmarkStart w:id="218" w:name="_Ref125361212"/>
      <w:bookmarkStart w:id="219" w:name="_Ref125362671"/>
      <w:bookmarkStart w:id="220" w:name="_Ref125363439"/>
      <w:bookmarkStart w:id="221" w:name="_Ref125366769"/>
      <w:bookmarkStart w:id="222" w:name="_Ref125367083"/>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26"/>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rPr/>
      </w:pPr>
      <w:r>
        <w:rPr/>
        <w:t>Договор не может быть заключен, если это запрещено законодательством о национальном режиме.</w:t>
      </w:r>
    </w:p>
    <w:p>
      <w:pPr>
        <w:pStyle w:val="Style26"/>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rPr/>
      </w:pPr>
      <w:r>
        <w:rPr/>
        <w:t>В течение установленного в пункте </w:t>
      </w:r>
      <w:r>
        <w:rPr/>
        <w:fldChar w:fldCharType="begin"/>
      </w:r>
      <w:r>
        <w:rPr/>
        <w:instrText xml:space="preserve"> REF _Ref130293821 \r \h </w:instrText>
      </w:r>
      <w:r>
        <w:rPr/>
        <w:fldChar w:fldCharType="separate"/>
      </w:r>
      <w:r>
        <w:rPr/>
        <w:t>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Ref125367068"/>
      <w:bookmarkStart w:id="239" w:name="_Toc228877707"/>
      <w:r>
        <w:rPr/>
        <w:t>Уклонение Победителя от заключения Договора</w:t>
      </w:r>
      <w:bookmarkEnd w:id="238"/>
      <w:bookmarkEnd w:id="239"/>
    </w:p>
    <w:p>
      <w:pPr>
        <w:pStyle w:val="Style26"/>
        <w:keepNext w:val="true"/>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2.1</w:t>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2.9</w:t>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Ref125363016"/>
      <w:bookmarkStart w:id="241" w:name="_Ref125363023"/>
      <w:bookmarkStart w:id="242" w:name="_Ref125363034"/>
      <w:bookmarkStart w:id="243" w:name="_Ref125363600"/>
      <w:bookmarkStart w:id="244" w:name="_Ref125363752"/>
      <w:bookmarkStart w:id="245" w:name="_Ref125364088"/>
      <w:bookmarkStart w:id="246" w:name="_Ref125364201"/>
      <w:bookmarkStart w:id="247" w:name="_Ref125370732"/>
      <w:bookmarkStart w:id="248" w:name="_Ref125370741"/>
      <w:bookmarkStart w:id="249" w:name="_Ref125370746"/>
      <w:bookmarkStart w:id="250" w:name="_Ref125370750"/>
      <w:bookmarkStart w:id="251" w:name="_Ref125370843"/>
      <w:bookmarkStart w:id="252" w:name="Прил01_ТехТребования"/>
      <w:bookmarkStart w:id="253" w:name="_Toc228877708"/>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Ref125361746"/>
      <w:bookmarkStart w:id="256" w:name="_Ref125363040"/>
      <w:bookmarkStart w:id="257" w:name="_Ref125363605"/>
      <w:bookmarkStart w:id="258" w:name="_Ref125363759"/>
      <w:bookmarkStart w:id="259" w:name="_Ref125364081"/>
      <w:bookmarkStart w:id="260" w:name="_Ref125364206"/>
      <w:bookmarkStart w:id="261" w:name="_Ref125370754"/>
      <w:bookmarkStart w:id="262" w:name="Прил02_ПроектДоговора"/>
      <w:bookmarkStart w:id="263" w:name="_Toc228877710"/>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rPr/>
      </w:pPr>
      <w:r>
        <w:rPr/>
        <w:t>В соответствии с пунктом </w:t>
      </w:r>
      <w:r>
        <w:rPr/>
        <w:fldChar w:fldCharType="begin"/>
      </w:r>
      <w:r>
        <w:rPr/>
        <w:instrText xml:space="preserve"> REF _Ref49437111 \r \h </w:instrText>
      </w:r>
      <w:r>
        <w:rPr/>
        <w:fldChar w:fldCharType="separate"/>
      </w:r>
      <w:r>
        <w:rPr/>
        <w:t>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553277593" r:id="rId12"/>
        </w:object>
      </w:r>
    </w:p>
    <w:p>
      <w:pPr>
        <w:pStyle w:val="Style24"/>
        <w:rPr/>
      </w:pPr>
      <w:bookmarkStart w:id="266" w:name="_Ref125361494"/>
      <w:bookmarkStart w:id="267" w:name="_Ref125361908"/>
      <w:bookmarkStart w:id="268" w:name="_Ref125365476"/>
      <w:bookmarkStart w:id="269" w:name="_Ref125370013"/>
      <w:bookmarkStart w:id="270" w:name="Прил03_ТребованияУчастникам"/>
      <w:bookmarkStart w:id="271" w:name="_Toc228877712"/>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Ref125361435"/>
      <w:bookmarkStart w:id="275" w:name="_Ref125361590"/>
      <w:bookmarkStart w:id="276" w:name="_Ref125361617"/>
      <w:bookmarkStart w:id="277" w:name="_Ref125361832"/>
      <w:bookmarkStart w:id="278" w:name="_Ref125361846"/>
      <w:bookmarkStart w:id="279" w:name="_Ref125361926"/>
      <w:bookmarkStart w:id="280" w:name="_Ref125366879"/>
      <w:bookmarkStart w:id="281" w:name="_Ref125368812"/>
      <w:bookmarkStart w:id="282" w:name="_Ref125368895"/>
      <w:bookmarkStart w:id="283" w:name="_Ref125369088"/>
      <w:bookmarkStart w:id="284" w:name="_Ref125370058"/>
      <w:bookmarkStart w:id="285" w:name="_Ref125370064"/>
      <w:bookmarkStart w:id="286" w:name="_Ref125370071"/>
      <w:bookmarkStart w:id="287" w:name="_Toc228877714"/>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Ref125361442"/>
      <w:bookmarkStart w:id="299" w:name="_Ref125361633"/>
      <w:bookmarkStart w:id="300" w:name="_Ref125361671"/>
      <w:bookmarkStart w:id="301" w:name="_Ref125361869"/>
      <w:bookmarkStart w:id="302" w:name="_Ref125361937"/>
      <w:bookmarkStart w:id="303" w:name="_Ref125365459"/>
      <w:bookmarkStart w:id="304" w:name="_Ref125367521"/>
      <w:bookmarkStart w:id="305" w:name="_Ref125367539"/>
      <w:bookmarkStart w:id="306" w:name="_Ref125368818"/>
      <w:bookmarkStart w:id="307" w:name="_Ref125368901"/>
      <w:bookmarkStart w:id="308" w:name="_Ref125368916"/>
      <w:bookmarkStart w:id="309" w:name="_Ref125369099"/>
      <w:bookmarkStart w:id="310" w:name="_Ref125370079"/>
      <w:bookmarkStart w:id="311" w:name="_Ref125709153"/>
      <w:bookmarkStart w:id="312" w:name="_Ref125709250"/>
      <w:bookmarkStart w:id="313" w:name="_Ref125709401"/>
      <w:bookmarkStart w:id="314" w:name="_Ref125709888"/>
      <w:bookmarkStart w:id="315" w:name="_Toc228877715"/>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tabs>
                <w:tab w:val="clear" w:pos="708"/>
                <w:tab w:val="left" w:pos="426" w:leader="none"/>
              </w:tabs>
              <w:spacing w:before="120" w:after="0"/>
              <w:ind w:left="74" w:hanging="0"/>
              <w:jc w:val="both"/>
              <w:rPr>
                <w:rStyle w:val="Style18"/>
                <w:b w:val="false"/>
                <w:sz w:val="22"/>
                <w:szCs w:val="22"/>
              </w:rPr>
            </w:pPr>
            <w:r>
              <w:rPr>
                <w:rFonts w:eastAsia="Calibri"/>
                <w:i/>
                <w:sz w:val="22"/>
                <w:szCs w:val="22"/>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w:t>
            </w:r>
            <w:r>
              <w:rPr>
                <w:rFonts w:eastAsia="Calibri"/>
                <w:i/>
                <w:sz w:val="22"/>
                <w:szCs w:val="22"/>
                <w:shd w:fill="auto" w:val="clear"/>
              </w:rPr>
              <w:t>ве лиц:</w:t>
            </w:r>
          </w:p>
          <w:p>
            <w:pPr>
              <w:pStyle w:val="Normal"/>
              <w:widowControl w:val="false"/>
              <w:tabs>
                <w:tab w:val="clear" w:pos="708"/>
                <w:tab w:val="left" w:pos="426" w:leader="none"/>
              </w:tabs>
              <w:spacing w:before="120" w:after="0"/>
              <w:ind w:left="74" w:hanging="0"/>
              <w:jc w:val="both"/>
              <w:rPr/>
            </w:pPr>
            <w:r>
              <w:rPr>
                <w:rStyle w:val="Style18"/>
                <w:rFonts w:eastAsia="Calibri"/>
                <w:b w:val="false"/>
                <w:sz w:val="22"/>
                <w:szCs w:val="22"/>
                <w:shd w:fill="auto" w:val="clear"/>
              </w:rPr>
              <w:t xml:space="preserve">- </w:t>
            </w:r>
            <w:r>
              <w:rPr>
                <w:rStyle w:val="Style18"/>
                <w:rFonts w:eastAsia="Calibri"/>
                <w:b w:val="false"/>
                <w:i/>
                <w:sz w:val="22"/>
                <w:szCs w:val="22"/>
                <w:shd w:fill="auto" w:val="clear"/>
              </w:rPr>
              <w:t>выполняющих инженерные изыскания</w:t>
            </w:r>
            <w:r>
              <w:rPr>
                <w:rStyle w:val="FootnoteReference"/>
                <w:rFonts w:eastAsia="Calibri"/>
                <w:b w:val="false"/>
                <w:sz w:val="22"/>
                <w:szCs w:val="22"/>
                <w:shd w:fill="auto" w:val="clear"/>
                <w:vertAlign w:val="superscript"/>
              </w:rPr>
              <w:footnoteReference w:id="13"/>
            </w:r>
            <w:r>
              <w:rPr>
                <w:rStyle w:val="Style18"/>
                <w:rFonts w:eastAsia="Calibri"/>
                <w:b w:val="false"/>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shd w:fill="auto" w:val="clear"/>
              </w:rPr>
              <w:t>осуществляющих п</w:t>
            </w:r>
            <w:r>
              <w:rPr>
                <w:i/>
                <w:sz w:val="22"/>
                <w:szCs w:val="22"/>
              </w:rPr>
              <w:t>одготовку проектной документации</w:t>
            </w:r>
            <w:r>
              <w:rPr>
                <w:rStyle w:val="FootnoteReference"/>
                <w:i/>
                <w:sz w:val="22"/>
                <w:szCs w:val="22"/>
                <w:vertAlign w:val="superscript"/>
              </w:rPr>
              <w:footnoteReference w:id="14"/>
            </w:r>
            <w:r>
              <w:rPr>
                <w:i/>
                <w:sz w:val="22"/>
                <w:szCs w:val="22"/>
              </w:rPr>
              <w:t>,</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rFonts w:eastAsia="Calibri"/>
                <w:i/>
                <w:sz w:val="22"/>
                <w:szCs w:val="22"/>
              </w:rPr>
              <w:t xml:space="preserve">и иметь право выполнять работы в отношении объектов капитального строительства </w:t>
            </w:r>
            <w:r>
              <w:rPr>
                <w:i/>
                <w:sz w:val="22"/>
                <w:szCs w:val="22"/>
              </w:rPr>
              <w:t>(кроме особо опасных, технически сложных и уникальных объектов, объектов использования атомной энергии).</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i/>
                <w:sz w:val="22"/>
                <w:szCs w:val="22"/>
              </w:rPr>
              <w:t>При этом:</w:t>
            </w:r>
          </w:p>
          <w:p>
            <w:pPr>
              <w:pStyle w:val="Normal"/>
              <w:widowControl w:val="false"/>
              <w:tabs>
                <w:tab w:val="clear" w:pos="708"/>
                <w:tab w:val="left" w:pos="358" w:leader="none"/>
                <w:tab w:val="left" w:pos="426" w:leader="none"/>
              </w:tabs>
              <w:spacing w:before="60" w:after="60"/>
              <w:ind w:left="74" w:hanging="0"/>
              <w:jc w:val="both"/>
              <w:rPr>
                <w:u w:val="single"/>
              </w:rPr>
            </w:pPr>
            <w:r>
              <w:rPr>
                <w:i/>
                <w:sz w:val="22"/>
                <w:szCs w:val="22"/>
                <w:u w:val="single"/>
              </w:rPr>
              <w:t>в отношении выполнения инженерных изысканий:</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w:t>
            </w:r>
            <w:r>
              <w:rPr>
                <w:rStyle w:val="Style18"/>
                <w:rFonts w:eastAsia="Calibri"/>
                <w:b w:val="false"/>
                <w:iCs/>
                <w:sz w:val="20"/>
                <w:szCs w:val="20"/>
                <w:shd w:fill="auto" w:val="clear"/>
              </w:rPr>
              <w:t>инженерных изысканий</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i/>
                <w:sz w:val="22"/>
                <w:szCs w:val="22"/>
                <w:shd w:fill="auto" w:val="clear"/>
              </w:rPr>
              <w:t>уровень</w:t>
            </w:r>
            <w:r>
              <w:rPr>
                <w:rFonts w:eastAsia="Times New Roman"/>
                <w:i/>
                <w:sz w:val="22"/>
                <w:szCs w:val="22"/>
                <w:shd w:fill="auto" w:val="clear"/>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w:t>
            </w:r>
            <w:r>
              <w:rPr>
                <w:i/>
                <w:sz w:val="22"/>
                <w:szCs w:val="22"/>
                <w:shd w:fill="auto" w:val="clear"/>
              </w:rPr>
              <w:t>выполнения инженерных изысканий</w:t>
            </w:r>
            <w:r>
              <w:rPr>
                <w:rStyle w:val="Style18"/>
                <w:rFonts w:eastAsia="Times New Roman"/>
                <w:b w:val="false"/>
                <w:i/>
                <w:iCs/>
                <w:sz w:val="22"/>
                <w:szCs w:val="22"/>
                <w:shd w:fill="auto" w:val="clear"/>
              </w:rPr>
              <w:t>.</w:t>
            </w:r>
          </w:p>
          <w:p>
            <w:pPr>
              <w:pStyle w:val="Normal"/>
              <w:widowControl w:val="false"/>
              <w:numPr>
                <w:ilvl w:val="0"/>
                <w:numId w:val="0"/>
              </w:numPr>
              <w:tabs>
                <w:tab w:val="clear" w:pos="708"/>
                <w:tab w:val="left" w:pos="358" w:leader="none"/>
                <w:tab w:val="left" w:pos="426" w:leader="none"/>
              </w:tabs>
              <w:spacing w:before="60" w:after="60"/>
              <w:ind w:left="74" w:hanging="0"/>
              <w:jc w:val="both"/>
              <w:rPr>
                <w:u w:val="single"/>
              </w:rPr>
            </w:pPr>
            <w:r>
              <w:rPr>
                <w:i/>
                <w:sz w:val="22"/>
                <w:szCs w:val="22"/>
                <w:u w:val="single"/>
              </w:rPr>
              <w:t>в отношении подготовки проектной документации:</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работ </w:t>
            </w:r>
            <w:r>
              <w:rPr>
                <w:rStyle w:val="Style18"/>
                <w:rFonts w:eastAsia="Calibri"/>
                <w:b w:val="false"/>
                <w:iCs/>
                <w:sz w:val="20"/>
                <w:szCs w:val="20"/>
                <w:shd w:fill="auto" w:val="clear"/>
              </w:rPr>
              <w:t xml:space="preserve"> по подготовке проектной документации</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rStyle w:val="Style18"/>
                <w:rFonts w:eastAsia="Times New Roman"/>
                <w:b w:val="false"/>
                <w:i/>
                <w:iCs/>
                <w:sz w:val="22"/>
                <w:szCs w:val="22"/>
                <w:shd w:fill="auto" w:val="clear"/>
              </w:rPr>
              <w:t xml:space="preserve">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w:t>
            </w:r>
            <w:r>
              <w:rPr>
                <w:rStyle w:val="Style18"/>
                <w:rFonts w:eastAsia="Calibri"/>
                <w:b w:val="false"/>
                <w:iCs/>
                <w:sz w:val="20"/>
                <w:szCs w:val="20"/>
                <w:shd w:fill="auto" w:val="clear"/>
              </w:rPr>
              <w:t xml:space="preserve"> по </w:t>
            </w:r>
            <w:r>
              <w:rPr>
                <w:rStyle w:val="Style18"/>
                <w:rFonts w:eastAsia="Times New Roman"/>
                <w:b w:val="false"/>
                <w:i/>
                <w:iCs/>
                <w:sz w:val="22"/>
                <w:szCs w:val="22"/>
                <w:shd w:fill="auto" w:val="clear"/>
              </w:rPr>
              <w:t>подготовке проектной документации.</w:t>
            </w:r>
          </w:p>
        </w:tc>
        <w:tc>
          <w:tcPr>
            <w:tcW w:w="8327" w:type="dxa"/>
            <w:tcBorders/>
          </w:tcPr>
          <w:p>
            <w:pPr>
              <w:pStyle w:val="Normal"/>
              <w:widowControl w:val="false"/>
              <w:tabs>
                <w:tab w:val="clear" w:pos="708"/>
                <w:tab w:val="left" w:pos="426" w:leader="none"/>
              </w:tabs>
              <w:spacing w:before="60" w:after="0"/>
              <w:jc w:val="both"/>
              <w:rPr>
                <w:rFonts w:eastAsia="Calibri"/>
                <w:i/>
                <w:i/>
                <w:sz w:val="22"/>
                <w:szCs w:val="22"/>
              </w:rPr>
            </w:pPr>
            <w:r>
              <w:rPr>
                <w:rFonts w:eastAsia="Calibri"/>
                <w:i/>
                <w:sz w:val="22"/>
                <w:szCs w:val="22"/>
              </w:rPr>
              <w:t>Предоставление документов не требуется.</w:t>
            </w:r>
          </w:p>
          <w:p>
            <w:pPr>
              <w:pStyle w:val="Normal"/>
              <w:widowControl w:val="false"/>
              <w:tabs>
                <w:tab w:val="clear" w:pos="708"/>
                <w:tab w:val="left" w:pos="426" w:leader="none"/>
              </w:tabs>
              <w:spacing w:before="60" w:after="0"/>
              <w:jc w:val="both"/>
              <w:rPr>
                <w:rFonts w:eastAsia="Calibri"/>
                <w:i/>
                <w:i/>
                <w:iCs/>
                <w:sz w:val="22"/>
                <w:szCs w:val="22"/>
              </w:rPr>
            </w:pPr>
            <w:r>
              <w:rPr>
                <w:rFonts w:eastAsia="Calibri"/>
                <w:i/>
                <w:iCs/>
                <w:sz w:val="22"/>
                <w:szCs w:val="22"/>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r>
              <w:rPr>
                <w:rFonts w:eastAsia="Calibri"/>
              </w:rPr>
              <w:t>:</w:t>
            </w:r>
          </w:p>
          <w:p>
            <w:pPr>
              <w:pStyle w:val="Normal"/>
              <w:widowControl w:val="false"/>
              <w:numPr>
                <w:ilvl w:val="0"/>
                <w:numId w:val="6"/>
              </w:numPr>
              <w:tabs>
                <w:tab w:val="clear" w:pos="708"/>
                <w:tab w:val="left" w:pos="320" w:leader="none"/>
              </w:tabs>
              <w:suppressAutoHyphens w:val="true"/>
              <w:bidi w:val="0"/>
              <w:spacing w:before="60" w:after="0"/>
              <w:ind w:left="227" w:right="340" w:hanging="113"/>
              <w:jc w:val="both"/>
              <w:rPr/>
            </w:pPr>
            <w:r>
              <w:rPr>
                <w:rFonts w:eastAsia="Calibri"/>
                <w:i/>
                <w:iCs/>
                <w:sz w:val="22"/>
                <w:szCs w:val="22"/>
              </w:rPr>
              <w:t>Национальное объединение изыскателей и проектировщиков НОПРИЗ - сервис «Единый реестр членов СРО» (</w:t>
            </w:r>
            <w:hyperlink r:id="rId18">
              <w:r>
                <w:rPr>
                  <w:rStyle w:val="Hyperlink"/>
                  <w:rFonts w:eastAsia="Calibri"/>
                  <w:i/>
                  <w:iCs/>
                  <w:sz w:val="22"/>
                  <w:szCs w:val="22"/>
                </w:rPr>
                <w:t>http://nopriz.ru/nreesters/elektronnyy-reestr/</w:t>
              </w:r>
            </w:hyperlink>
            <w:r>
              <w:rPr>
                <w:rFonts w:eastAsia="Calibri"/>
                <w:i/>
                <w:iCs/>
                <w:sz w:val="22"/>
                <w:szCs w:val="22"/>
              </w:rPr>
              <w:t>).</w:t>
            </w:r>
          </w:p>
          <w:p>
            <w:pPr>
              <w:pStyle w:val="ListParagraph"/>
              <w:widowControl w:val="false"/>
              <w:numPr>
                <w:ilvl w:val="0"/>
                <w:numId w:val="0"/>
              </w:numPr>
              <w:tabs>
                <w:tab w:val="clear" w:pos="708"/>
                <w:tab w:val="left" w:pos="282" w:leader="none"/>
              </w:tabs>
              <w:spacing w:before="60" w:after="0"/>
              <w:ind w:left="282" w:hanging="0"/>
              <w:contextualSpacing w:val="false"/>
              <w:jc w:val="both"/>
              <w:rPr>
                <w:rFonts w:eastAsia="Calibri"/>
                <w:b w:val="false"/>
                <w:iCs/>
                <w:sz w:val="22"/>
                <w:szCs w:val="22"/>
              </w:rPr>
            </w:pPr>
            <w:r>
              <w:rPr>
                <w:rFonts w:eastAsia="Calibri"/>
                <w:b w:val="false"/>
                <w:iCs/>
                <w:sz w:val="22"/>
                <w:szCs w:val="22"/>
              </w:rPr>
            </w:r>
          </w:p>
          <w:p>
            <w:pPr>
              <w:pStyle w:val="ListParagraph"/>
              <w:widowControl w:val="false"/>
              <w:numPr>
                <w:ilvl w:val="0"/>
                <w:numId w:val="0"/>
              </w:numPr>
              <w:tabs>
                <w:tab w:val="clear" w:pos="708"/>
                <w:tab w:val="left" w:pos="282" w:leader="none"/>
              </w:tabs>
              <w:spacing w:before="60" w:after="0"/>
              <w:ind w:left="282" w:hanging="0"/>
              <w:contextualSpacing w:val="false"/>
              <w:jc w:val="both"/>
              <w:rPr>
                <w:b w:val="false"/>
                <w:iCs/>
                <w:sz w:val="22"/>
                <w:szCs w:val="22"/>
              </w:rPr>
            </w:pPr>
            <w:r>
              <w:rPr>
                <w:b w:val="false"/>
                <w:iCs/>
                <w:sz w:val="22"/>
                <w:szCs w:val="22"/>
              </w:rPr>
            </w:r>
          </w:p>
        </w:tc>
      </w:tr>
    </w:tbl>
    <w:p>
      <w:pPr>
        <w:pStyle w:val="Style25"/>
        <w:spacing w:before="360" w:after="120"/>
        <w:rPr/>
      </w:pPr>
      <w:bookmarkStart w:id="316" w:name="_Ref125361823"/>
      <w:bookmarkStart w:id="317" w:name="_Ref125362031"/>
      <w:bookmarkStart w:id="318" w:name="_Ref125369117"/>
      <w:bookmarkStart w:id="319" w:name="_Ref125370173"/>
      <w:bookmarkStart w:id="320" w:name="_Ref125370180"/>
      <w:bookmarkStart w:id="321" w:name="_Ref125370209"/>
      <w:bookmarkStart w:id="322" w:name="_Ref125709777"/>
      <w:bookmarkStart w:id="323" w:name="_Ref125709973"/>
      <w:bookmarkStart w:id="324" w:name="_Toc228877716"/>
      <w:bookmarkStart w:id="325" w:name="_Toc224743841"/>
      <w:bookmarkStart w:id="326" w:name="_Toc224743846"/>
      <w:bookmarkStart w:id="327" w:name="_Toc224743850"/>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5"/>
        <w:rPr/>
      </w:pPr>
      <w:bookmarkStart w:id="336" w:name="_Toc228877718"/>
      <w:r>
        <w:rPr/>
        <w:t>Пояснения к Образцам форм документов, включаемых в состав заявки</w:t>
      </w:r>
      <w:bookmarkEnd w:id="336"/>
    </w:p>
    <w:p>
      <w:pPr>
        <w:pStyle w:val="Style26"/>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5"/>
        <w:rPr/>
      </w:pPr>
      <w:bookmarkStart w:id="339" w:name="_Toc228877720"/>
      <w:r>
        <w:rPr/>
        <w:t>Пояснения к Образцам форм документов, предоставляемых Победителем</w:t>
      </w:r>
      <w:bookmarkEnd w:id="339"/>
    </w:p>
    <w:p>
      <w:pPr>
        <w:pStyle w:val="Style26"/>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0" w:name="_Ref130395470"/>
      <w:bookmarkStart w:id="341" w:name="_Toc228877721"/>
      <w:r>
        <w:rPr/>
        <w:t>Форма справки «Сведения о цепочке собственников, включая бенефициаров (в том числе конечных)»</w:t>
      </w:r>
      <w:bookmarkEnd w:id="340"/>
      <w:bookmarkEnd w:id="341"/>
    </w:p>
    <w:p>
      <w:pPr>
        <w:pStyle w:val="Style26"/>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30"/>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484454035" r:id="rId23"/>
        </w:object>
      </w:r>
    </w:p>
    <w:p>
      <w:pPr>
        <w:pStyle w:val="Style25"/>
        <w:rPr/>
      </w:pPr>
      <w:bookmarkStart w:id="343" w:name="_Ref130395475"/>
      <w:bookmarkStart w:id="344" w:name="_Toc228877722"/>
      <w:r>
        <w:rPr/>
        <w:t>Форма «Заверение об обстоятельствах»</w:t>
      </w:r>
      <w:bookmarkEnd w:id="343"/>
      <w:bookmarkEnd w:id="344"/>
    </w:p>
    <w:p>
      <w:pPr>
        <w:pStyle w:val="Style26"/>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30"/>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769171545" r:id="rId25"/>
        </w:object>
      </w:r>
    </w:p>
    <w:p>
      <w:pPr>
        <w:pStyle w:val="Style24"/>
        <w:rPr/>
      </w:pPr>
      <w:bookmarkStart w:id="346" w:name="_Toc228877723"/>
      <w:bookmarkStart w:id="347" w:name="_Ref125362865"/>
      <w:bookmarkStart w:id="348" w:name="_Ref125362900"/>
      <w:bookmarkStart w:id="349" w:name="Прил06_СоставЗаявки"/>
      <w:bookmarkEnd w:id="349"/>
      <w:r>
        <w:rPr/>
        <w:t>Приложение № 6 – Состав заявки</w:t>
      </w:r>
      <w:bookmarkEnd w:id="346"/>
      <w:bookmarkEnd w:id="347"/>
      <w:bookmarkEnd w:id="348"/>
    </w:p>
    <w:p>
      <w:pPr>
        <w:pStyle w:val="Style25"/>
        <w:rPr/>
      </w:pPr>
      <w:bookmarkStart w:id="350" w:name="_Toc228877724"/>
      <w:r>
        <w:rPr/>
        <w:t>Состав заявки</w:t>
      </w:r>
      <w:bookmarkEnd w:id="350"/>
    </w:p>
    <w:p>
      <w:pPr>
        <w:pStyle w:val="Style26"/>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9" w:name="_Ref125365264"/>
      <w:bookmarkStart w:id="360" w:name="_Toc228877725"/>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5"/>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3" w:name="_Toc228877728"/>
      <w:bookmarkStart w:id="364" w:name="_Hlk132891087"/>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9" w:name="_Ref125361648"/>
      <w:bookmarkStart w:id="370" w:name="_Ref125361951"/>
      <w:bookmarkStart w:id="371" w:name="_Ref125366013"/>
      <w:bookmarkStart w:id="372" w:name="_Ref125366280"/>
      <w:bookmarkStart w:id="373" w:name="_Ref125366285"/>
      <w:bookmarkStart w:id="374" w:name="_Ref125368140"/>
      <w:bookmarkStart w:id="375" w:name="_Ref125368150"/>
      <w:bookmarkStart w:id="376" w:name="_Ref125368165"/>
      <w:bookmarkStart w:id="377" w:name="_Ref125368172"/>
      <w:bookmarkStart w:id="378" w:name="_Ref125368184"/>
      <w:bookmarkStart w:id="379" w:name="_Ref125368283"/>
      <w:bookmarkStart w:id="380" w:name="_Ref125368291"/>
      <w:bookmarkStart w:id="381" w:name="_Ref125368302"/>
      <w:bookmarkStart w:id="382" w:name="_Ref125368313"/>
      <w:bookmarkStart w:id="383" w:name="_Ref125368331"/>
      <w:bookmarkStart w:id="384" w:name="_Ref125369021"/>
      <w:bookmarkStart w:id="385" w:name="_Ref125369438"/>
      <w:bookmarkStart w:id="386" w:name="_Toc228877731"/>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5"/>
        <w:rPr/>
      </w:pPr>
      <w:bookmarkStart w:id="388" w:name="_Toc228877732"/>
      <w:r>
        <w:rPr/>
        <w:t>Порядок и критерии оценки и сопоставления заявок</w:t>
      </w:r>
      <w:bookmarkEnd w:id="388"/>
    </w:p>
    <w:p>
      <w:pPr>
        <w:pStyle w:val="Style26"/>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left="1134" w:hanging="0"/>
        <w:rPr>
          <w:rStyle w:val="Style8"/>
        </w:rPr>
      </w:pPr>
      <w:r>
        <w:rPr/>
      </w:r>
    </w:p>
    <w:tbl>
      <w:tblPr>
        <w:tblW w:w="5000" w:type="pct"/>
        <w:jc w:val="left"/>
        <w:tblInd w:w="79" w:type="dxa"/>
        <w:tblLayout w:type="fixed"/>
        <w:tblCellMar>
          <w:top w:w="55" w:type="dxa"/>
          <w:left w:w="37" w:type="dxa"/>
          <w:bottom w:w="55" w:type="dxa"/>
          <w:right w:w="57" w:type="dxa"/>
        </w:tblCellMar>
        <w:tblLook w:val="04a0" w:noVBand="1" w:noHBand="0" w:lastColumn="0" w:firstColumn="1" w:lastRow="0" w:firstRow="1"/>
      </w:tblPr>
      <w:tblGrid>
        <w:gridCol w:w="1153"/>
        <w:gridCol w:w="1368"/>
        <w:gridCol w:w="2116"/>
        <w:gridCol w:w="1184"/>
        <w:gridCol w:w="1453"/>
        <w:gridCol w:w="1936"/>
        <w:gridCol w:w="592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68"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300"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36"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92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68"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36"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92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1.</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«Ценовой критерий оценки первого уровня»/Цена</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Цена договора (стоимость заявки)</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85%</w:t>
              <w:br/>
              <w:t>(В</w:t>
            </w:r>
            <w:r>
              <w:rPr>
                <w:sz w:val="22"/>
                <w:szCs w:val="22"/>
                <w:vertAlign w:val="subscript"/>
                <w:lang w:eastAsia="ru-RU"/>
              </w:rPr>
              <w:t>1</w:t>
            </w:r>
            <w:r>
              <w:rPr>
                <w:sz w:val="22"/>
                <w:szCs w:val="22"/>
                <w:lang w:eastAsia="ru-RU"/>
              </w:rPr>
              <w:t xml:space="preserve"> = 0,85)</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2"/>
                <w:szCs w:val="22"/>
                <w:shd w:fill="FFFFFF" w:val="clear"/>
                <w:lang w:eastAsia="en-US"/>
              </w:rPr>
              <w:t>Чем меньше стоимость заявки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2"/>
                <w:szCs w:val="22"/>
              </w:rPr>
            </w:pPr>
            <w:r>
              <w:rPr>
                <w:rStyle w:val="Style8"/>
                <w:rFonts w:eastAsia="Calibri"/>
                <w:i w:val="false"/>
                <w:iCs w:val="false"/>
                <w:sz w:val="22"/>
                <w:szCs w:val="22"/>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2"/>
                <w:szCs w:val="22"/>
                <w:shd w:fill="FFFFFF" w:val="clear"/>
                <w:lang w:eastAsia="en-US"/>
              </w:rPr>
              <w:t>где:</w:t>
            </w:r>
          </w:p>
          <w:p>
            <w:pPr>
              <w:pStyle w:val="Style30"/>
              <w:widowControl w:val="false"/>
              <w:spacing w:before="40" w:after="40"/>
              <w:jc w:val="left"/>
              <w:rPr>
                <w:rFonts w:ascii="Times New Roman" w:hAnsi="Times New Roman"/>
                <w:sz w:val="22"/>
                <w:szCs w:val="22"/>
              </w:rPr>
            </w:pPr>
            <w:r>
              <w:rPr>
                <w:sz w:val="22"/>
                <w:szCs w:val="22"/>
                <w:lang w:eastAsia="ru-RU"/>
              </w:rPr>
              <w:t>Б</w:t>
            </w:r>
            <w:r>
              <w:rPr>
                <w:sz w:val="22"/>
                <w:szCs w:val="22"/>
                <w:vertAlign w:val="subscript"/>
                <w:lang w:eastAsia="ru-RU"/>
              </w:rPr>
              <w:t>1</w:t>
            </w:r>
            <w:r>
              <w:rPr>
                <w:sz w:val="22"/>
                <w:szCs w:val="22"/>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rPr>
                <w:rFonts w:ascii="Times New Roman" w:hAnsi="Times New Roman"/>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(стоимость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допущенного Участника, </w:t>
            </w:r>
            <w:r>
              <w:rPr>
                <w:sz w:val="22"/>
                <w:szCs w:val="22"/>
              </w:rPr>
              <w:t>руб. без учета НДС;</w:t>
            </w:r>
          </w:p>
          <w:p>
            <w:pPr>
              <w:pStyle w:val="Normal"/>
              <w:widowControl w:val="false"/>
              <w:spacing w:lineRule="auto" w:line="252"/>
              <w:rPr>
                <w:rFonts w:ascii="Times New Roman" w:hAnsi="Times New Roman"/>
                <w:sz w:val="22"/>
                <w:szCs w:val="22"/>
              </w:rPr>
            </w:pPr>
            <w:r>
              <w:rPr>
                <w:sz w:val="22"/>
                <w:szCs w:val="22"/>
              </w:rPr>
              <w:t>ЦЕНА</w:t>
            </w:r>
            <w:r>
              <w:rPr>
                <w:sz w:val="22"/>
                <w:szCs w:val="22"/>
                <w:vertAlign w:val="subscript"/>
                <w:lang w:val="en-US"/>
              </w:rPr>
              <w:t>min</w:t>
            </w:r>
            <w:r>
              <w:rPr>
                <w:sz w:val="22"/>
                <w:szCs w:val="22"/>
                <w:vertAlign w:val="subscript"/>
              </w:rPr>
              <w:t xml:space="preserve"> </w:t>
            </w:r>
            <w:r>
              <w:rPr>
                <w:sz w:val="22"/>
                <w:szCs w:val="22"/>
              </w:rPr>
              <w:t>– минимальная цена договора (стоимость заявки) среди всех допущенных заявок Участников, руб. без учета НДС;</w:t>
            </w:r>
          </w:p>
          <w:p>
            <w:pPr>
              <w:pStyle w:val="22"/>
              <w:widowControl w:val="false"/>
              <w:numPr>
                <w:ilvl w:val="6"/>
                <w:numId w:val="3"/>
              </w:numPr>
              <w:tabs>
                <w:tab w:val="left" w:pos="742" w:leader="none"/>
                <w:tab w:val="left" w:pos="1167" w:leader="none"/>
              </w:tabs>
              <w:spacing w:lineRule="auto" w:line="240" w:before="0" w:after="0"/>
              <w:ind w:left="0" w:right="0" w:hanging="0"/>
              <w:jc w:val="left"/>
              <w:rPr>
                <w:rFonts w:ascii="Times New Roman" w:hAnsi="Times New Roman"/>
                <w:sz w:val="22"/>
                <w:szCs w:val="22"/>
              </w:rPr>
            </w:pPr>
            <w:r>
              <w:rPr>
                <w:rFonts w:ascii="Times New Roman" w:hAnsi="Times New Roman"/>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7"/>
                <w:numId w:val="3"/>
              </w:numPr>
              <w:spacing w:lineRule="auto" w:line="240" w:before="96" w:after="96"/>
              <w:ind w:left="0" w:hanging="0"/>
              <w:contextualSpacing/>
              <w:jc w:val="left"/>
              <w:rPr>
                <w:rFonts w:ascii="Times New Roman" w:hAnsi="Times New Roman"/>
                <w:sz w:val="22"/>
                <w:szCs w:val="22"/>
              </w:rPr>
            </w:pPr>
            <w:r>
              <w:rPr>
                <w:sz w:val="22"/>
                <w:szCs w:val="22"/>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Style30"/>
              <w:widowControl w:val="false"/>
              <w:spacing w:before="40" w:after="40"/>
              <w:jc w:val="left"/>
              <w:rPr/>
            </w:pPr>
            <w:r>
              <w:rPr>
                <w:rStyle w:val="Style8"/>
                <w:rFonts w:eastAsia="Calibri"/>
                <w:i w:val="false"/>
                <w:iCs w:val="false"/>
                <w:sz w:val="22"/>
                <w:szCs w:val="22"/>
                <w:shd w:fill="FFFFFF" w:val="clear"/>
                <w:lang w:eastAsia="ru-RU"/>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2.</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«Неценовой критерий оценки первого уровня;</w:t>
              <w:br/>
              <w:t>Тех</w:t>
            </w:r>
          </w:p>
        </w:tc>
        <w:tc>
          <w:tcPr>
            <w:tcW w:w="2116"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Опыт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
            <m:oMathPara xmlns:m="http://schemas.openxmlformats.org/officeDocument/2006/math">
              <m:oMathParaPr>
                <m:jc m:val="center"/>
              </m:oMathParaPr>
              <m:oMath>
                <m:r>
                  <w:rPr>
                    <w:rFonts w:ascii="Cambria Math" w:hAnsi="Cambria Math"/>
                  </w:rPr>
                  <m:t xml:space="preserve">10</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2</m:t>
                        </m:r>
                      </m:sub>
                    </m:sSub>
                    <m:r>
                      <w:rPr>
                        <w:rFonts w:ascii="Cambria Math" w:hAnsi="Cambria Math"/>
                      </w:rPr>
                      <m:t xml:space="preserve">=</m:t>
                    </m:r>
                    <m:r>
                      <w:rPr>
                        <w:rFonts w:ascii="Cambria Math" w:hAnsi="Cambria Math"/>
                      </w:rPr>
                      <m:t xml:space="preserve">0,1</m:t>
                    </m:r>
                  </m:e>
                </m:d>
              </m:oMath>
            </m:oMathPara>
          </w:p>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 xml:space="preserve">где </w:t>
            </w:r>
            <w:r>
              <w:rPr/>
            </w:r>
            <m:oMath xmlns:m="http://schemas.openxmlformats.org/officeDocument/2006/math">
              <m:sSub>
                <m:e>
                  <m:r>
                    <w:rPr>
                      <w:rFonts w:ascii="Cambria Math" w:hAnsi="Cambria Math"/>
                    </w:rPr>
                    <m:t xml:space="preserve">B</m:t>
                  </m:r>
                </m:e>
                <m:sub>
                  <m:r>
                    <w:rPr>
                      <w:rFonts w:ascii="Cambria Math" w:hAnsi="Cambria Math"/>
                    </w:rPr>
                    <m:t xml:space="preserve">2</m:t>
                  </m:r>
                </m:sub>
              </m:sSub>
            </m:oMath>
            <w:r>
              <w:rPr>
                <w:rFonts w:eastAsia="Calibri"/>
                <w:b w:val="false"/>
                <w:bCs w:val="false"/>
                <w:i w:val="false"/>
                <w:iCs w:val="false"/>
                <w:kern w:val="0"/>
                <w:sz w:val="24"/>
                <w:szCs w:val="24"/>
                <w:lang w:val="ru-RU" w:eastAsia="en-US" w:bidi="ar-SA"/>
              </w:rPr>
              <w:t xml:space="preserve"> – значимость (вес) критерия оценки]</w:t>
            </w:r>
          </w:p>
        </w:tc>
        <w:tc>
          <w:tcPr>
            <w:tcW w:w="1936"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pPr>
            <w:r>
              <w:rPr>
                <w:rStyle w:val="Style20"/>
                <w:rFonts w:cs="Times New Roman"/>
                <w:lang w:eastAsia="ru-RU"/>
              </w:rPr>
              <w:t xml:space="preserve">Чем больше опыт </w:t>
            </w:r>
            <w:r>
              <w:rPr>
                <w:rStyle w:val="Style20"/>
                <w:rFonts w:eastAsia="Calibri" w:cs="Times New Roman"/>
                <w:lang w:eastAsia="ru-RU"/>
              </w:rPr>
              <w:t>по строительству или ремонту оборудования ПС</w:t>
            </w:r>
            <w:r>
              <w:rPr>
                <w:rStyle w:val="Style20"/>
                <w:rFonts w:cs="Times New Roman"/>
                <w:lang w:eastAsia="ru-RU"/>
              </w:rPr>
              <w:t>,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96" w:after="96"/>
              <w:rPr/>
            </w:pPr>
            <w:r>
              <w:rPr>
                <w:rStyle w:val="Style20"/>
                <w:rFonts w:eastAsia="Calibri" w:cs="Times New Roman"/>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lineRule="auto" w:line="240" w:before="96" w:after="96"/>
              <w:rPr/>
            </w:pPr>
            <w:r>
              <w:rPr>
                <w:rStyle w:val="Style20"/>
                <w:rFonts w:eastAsia="Calibri" w:cs="Times New Roman"/>
              </w:rPr>
              <w:t xml:space="preserve">Порядок осуществления оценки (значение оцениваемого параметра), в зависимости от предоставленных в i-ой заявке документов, подтверждающих наличие у Участника совокупного опыта (в рамках одного или нескольких договоров) по </w:t>
            </w:r>
            <w:r>
              <w:rPr>
                <w:rStyle w:val="Style20"/>
                <w:rFonts w:eastAsia="Calibri" w:cs="Times New Roman"/>
                <w:b/>
                <w:bCs/>
              </w:rPr>
              <w:t>ремонту оборудования ПС</w:t>
            </w:r>
            <w:r>
              <w:rPr>
                <w:rStyle w:val="Style20"/>
                <w:rFonts w:eastAsia="Calibri" w:cs="Times New Roman"/>
              </w:rPr>
              <w:t xml:space="preserve"> за последние 5 (пять) лет, предшествующих дате подачи заявки участником.</w:t>
            </w:r>
          </w:p>
          <w:p>
            <w:pPr>
              <w:pStyle w:val="Normal"/>
              <w:widowControl w:val="false"/>
              <w:spacing w:lineRule="auto" w:line="240" w:before="96" w:after="96"/>
              <w:rPr/>
            </w:pPr>
            <w:r>
              <w:rPr>
                <w:rStyle w:val="Style20"/>
                <w:rFonts w:eastAsia="Calibri" w:cs="Times New Roman"/>
              </w:rPr>
              <w:t xml:space="preserve"> </w:t>
            </w:r>
            <w:r>
              <w:rPr>
                <w:rStyle w:val="Style20"/>
                <w:rFonts w:eastAsia="Calibri" w:cs="Times New Roman"/>
              </w:rPr>
              <w:t>В составе заявки Участник должен представить сведения о ранее выполненных договорах по форме «Справка об опыте Участника», приведенной в Документации о закупке с приложением скан-копий договоров, либо их частей (с приложением документов, предусмотренных требованиями договора, подтверждающий факт его исполнения, подписанных с обеих сторон), подтверждающие предоставленные в форме данные.</w:t>
            </w:r>
          </w:p>
          <w:p>
            <w:pPr>
              <w:pStyle w:val="31"/>
              <w:widowControl w:val="false"/>
              <w:numPr>
                <w:ilvl w:val="0"/>
                <w:numId w:val="0"/>
              </w:numPr>
              <w:spacing w:lineRule="auto" w:line="240" w:before="0" w:after="0"/>
              <w:ind w:left="0" w:right="0" w:hanging="0"/>
              <w:contextualSpacing w:val="false"/>
              <w:jc w:val="left"/>
              <w:rPr/>
            </w:pPr>
            <w:r>
              <w:rPr>
                <w:rStyle w:val="Style20"/>
                <w:rFonts w:cs="Times New Roman"/>
                <w:sz w:val="24"/>
                <w:szCs w:val="24"/>
              </w:rPr>
              <w:t xml:space="preserve"> </w:t>
            </w:r>
            <w:r>
              <w:rPr>
                <w:rStyle w:val="Style20"/>
                <w:rFonts w:cs="Times New Roman"/>
                <w:sz w:val="24"/>
                <w:szCs w:val="24"/>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1"/>
              <w:widowControl w:val="false"/>
              <w:numPr>
                <w:ilvl w:val="0"/>
                <w:numId w:val="0"/>
              </w:numPr>
              <w:spacing w:lineRule="auto" w:line="240" w:before="0" w:after="0"/>
              <w:ind w:left="0" w:right="0" w:hanging="0"/>
              <w:contextualSpacing w:val="false"/>
              <w:jc w:val="left"/>
              <w:rPr>
                <w:rFonts w:ascii="Times New Roman" w:hAnsi="Times New Roman" w:cs="Times New Roman"/>
                <w:sz w:val="24"/>
                <w:szCs w:val="24"/>
              </w:rPr>
            </w:pPr>
            <w:r>
              <w:rPr>
                <w:rFonts w:cs="Times New Roman"/>
                <w:sz w:val="24"/>
                <w:szCs w:val="24"/>
              </w:rPr>
            </w:r>
          </w:p>
          <w:tbl>
            <w:tblPr>
              <w:tblW w:w="5064" w:type="dxa"/>
              <w:jc w:val="left"/>
              <w:tblInd w:w="0" w:type="dxa"/>
              <w:tblLayout w:type="fixed"/>
              <w:tblCellMar>
                <w:top w:w="0" w:type="dxa"/>
                <w:left w:w="108" w:type="dxa"/>
                <w:bottom w:w="0" w:type="dxa"/>
                <w:right w:w="108" w:type="dxa"/>
              </w:tblCellMar>
            </w:tblPr>
            <w:tblGrid>
              <w:gridCol w:w="1521"/>
              <w:gridCol w:w="3542"/>
            </w:tblGrid>
            <w:tr>
              <w:trPr>
                <w:cantSplit w:val="true"/>
              </w:trPr>
              <w:tc>
                <w:tcPr>
                  <w:tcW w:w="1521" w:type="dxa"/>
                  <w:tcBorders>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0</w:t>
                  </w:r>
                </w:p>
              </w:tc>
              <w:tc>
                <w:tcPr>
                  <w:tcW w:w="3542" w:type="dxa"/>
                  <w:tcBorders>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312" w:right="0" w:hanging="0"/>
                    <w:jc w:val="left"/>
                    <w:rPr/>
                  </w:pPr>
                  <w:r>
                    <w:rPr>
                      <w:rStyle w:val="Style20"/>
                      <w:rFonts w:cs="Times New Roman" w:ascii="Times New Roman" w:hAnsi="Times New Roman"/>
                      <w:sz w:val="24"/>
                      <w:szCs w:val="24"/>
                    </w:rPr>
                    <w:t xml:space="preserve">  </w:t>
                  </w:r>
                  <w:r>
                    <w:rPr>
                      <w:rStyle w:val="Style20"/>
                      <w:rFonts w:cs="Times New Roman" w:ascii="Times New Roman" w:hAnsi="Times New Roman"/>
                      <w:sz w:val="24"/>
                      <w:szCs w:val="24"/>
                    </w:rPr>
                    <w:t>до 30%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1</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30% НМЦ «без учета НДС», но менее 40%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2</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40% НМЦ «без учета НДС», но менее 50%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3</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50% НМЦ «без учета НДС», но менее 60%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4</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60% НМЦ «без учета НДС», но менее 70%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5</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28" w:right="0" w:hanging="0"/>
                    <w:jc w:val="left"/>
                    <w:rPr/>
                  </w:pPr>
                  <w:r>
                    <w:rPr>
                      <w:rStyle w:val="Style21"/>
                      <w:rFonts w:eastAsia="Arial Unicode MS" w:cs="Times New Roman" w:ascii="Times New Roman" w:hAnsi="Times New Roman"/>
                      <w:sz w:val="24"/>
                      <w:szCs w:val="24"/>
                    </w:rPr>
                    <w:t>выше 70% НМЦ без учета НДС.</w:t>
                  </w:r>
                </w:p>
              </w:tc>
            </w:tr>
          </w:tbl>
          <w:p>
            <w:pPr>
              <w:pStyle w:val="Normal"/>
              <w:widowControl w:val="false"/>
              <w:spacing w:lineRule="auto" w:line="240" w:before="96" w:after="96"/>
              <w:rPr/>
            </w:pPr>
            <w:r>
              <w:rPr>
                <w:rStyle w:val="Style20"/>
                <w:rFonts w:eastAsia="Calibri" w:cs="Times New Roman"/>
              </w:rPr>
              <w:t>где:</w:t>
            </w:r>
          </w:p>
          <w:p>
            <w:pPr>
              <w:pStyle w:val="Normal"/>
              <w:widowControl w:val="false"/>
              <w:spacing w:lineRule="auto" w:line="240" w:before="96" w:after="96"/>
              <w:rPr/>
            </w:pPr>
            <w:r>
              <w:rPr>
                <w:rStyle w:val="Style20"/>
                <w:rFonts w:eastAsia="Calibri" w:cs="Times New Roman"/>
              </w:rPr>
              <w:t>Б2.1– рассчитанная оценка предпочтительности по данному частному критерию оценки в баллах.</w:t>
            </w:r>
          </w:p>
          <w:p>
            <w:pPr>
              <w:pStyle w:val="22"/>
              <w:widowControl w:val="false"/>
              <w:numPr>
                <w:ilvl w:val="6"/>
                <w:numId w:val="3"/>
              </w:numPr>
              <w:spacing w:lineRule="auto" w:line="240" w:before="0" w:after="0"/>
              <w:ind w:left="0" w:right="0" w:hanging="0"/>
              <w:jc w:val="left"/>
              <w:rPr/>
            </w:pPr>
            <w:r>
              <w:rPr>
                <w:rStyle w:val="Style20"/>
                <w:rFonts w:cs="Times New Roman" w:ascii="Times New Roman" w:hAnsi="Times New Roman"/>
                <w:sz w:val="24"/>
                <w:szCs w:val="24"/>
              </w:rPr>
              <w:t>Опыт, несоответствующий установленным в Документации о закупке требованиям не оценивается.</w:t>
            </w:r>
          </w:p>
          <w:p>
            <w:pPr>
              <w:pStyle w:val="22"/>
              <w:widowControl w:val="false"/>
              <w:numPr>
                <w:ilvl w:val="6"/>
                <w:numId w:val="3"/>
              </w:numPr>
              <w:spacing w:lineRule="auto" w:line="240" w:before="0" w:after="0"/>
              <w:ind w:left="0" w:right="0" w:hanging="0"/>
              <w:jc w:val="left"/>
              <w:rPr/>
            </w:pPr>
            <w:r>
              <w:rPr>
                <w:rStyle w:val="Style20"/>
                <w:rFonts w:cs="Times New Roman" w:ascii="Times New Roman" w:hAnsi="Times New Roman"/>
                <w:sz w:val="24"/>
                <w:szCs w:val="24"/>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3.</w:t>
            </w:r>
          </w:p>
        </w:tc>
        <w:tc>
          <w:tcPr>
            <w:tcW w:w="1368"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pPr>
            <w:r>
              <w:rPr>
                <w:rStyle w:val="Style8"/>
                <w:rFonts w:eastAsia="Calibri"/>
                <w:i w:val="false"/>
                <w:iCs w:val="false"/>
                <w:sz w:val="22"/>
                <w:szCs w:val="22"/>
                <w:lang w:eastAsia="en-US"/>
              </w:rPr>
              <w:br/>
            </w:r>
            <w:r>
              <w:rPr>
                <w:rFonts w:eastAsia="Calibri"/>
                <w:sz w:val="22"/>
                <w:szCs w:val="22"/>
                <w:lang w:eastAsia="en-US"/>
              </w:rPr>
              <w:t>«Неценовой критерий оценки первого уровня;</w:t>
              <w:br/>
              <w:t>Орг»</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Финансовое состояние (устойчивость)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5%</w:t>
              <w:br/>
              <w:t>(В</w:t>
            </w:r>
            <w:r>
              <w:rPr>
                <w:sz w:val="22"/>
                <w:szCs w:val="22"/>
                <w:vertAlign w:val="subscript"/>
                <w:lang w:eastAsia="ru-RU"/>
              </w:rPr>
              <w:t>3</w:t>
            </w:r>
            <w:r>
              <w:rPr>
                <w:sz w:val="22"/>
                <w:szCs w:val="22"/>
                <w:lang w:eastAsia="ru-RU"/>
              </w:rPr>
              <w:t xml:space="preserve"> = 0,05)</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Чем выше оценка финансового состояния (устойчивости)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contextualSpacing/>
              <w:rPr>
                <w:sz w:val="22"/>
                <w:szCs w:val="22"/>
              </w:rPr>
            </w:pPr>
            <w:r>
              <w:rPr>
                <w:sz w:val="22"/>
                <w:szCs w:val="22"/>
              </w:rPr>
              <w:t xml:space="preserve">Порядок осуществления оценки (значение оцениваемого параметра), в зависимости от полученного Участником (с </w:t>
            </w:r>
            <w:r>
              <w:rPr>
                <w:i/>
                <w:sz w:val="22"/>
                <w:szCs w:val="22"/>
                <w:lang w:val="en-US"/>
              </w:rPr>
              <w:t>i</w:t>
            </w:r>
            <w:r>
              <w:rPr>
                <w:sz w:val="22"/>
                <w:szCs w:val="22"/>
              </w:rPr>
              <w:t xml:space="preserve">-ой заявкой) значения расчетного балла </w:t>
            </w:r>
            <w:bookmarkStart w:id="389" w:name="_Hlk140493522"/>
            <w:r>
              <w:rPr>
                <w:sz w:val="22"/>
                <w:szCs w:val="22"/>
              </w:rPr>
              <w:t>(интегрального показателя финансового состояния)</w:t>
            </w:r>
            <w:bookmarkEnd w:id="389"/>
            <w:r>
              <w:rPr>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pacing w:before="120" w:after="0"/>
              <w:ind w:left="62" w:hanging="0"/>
              <w:contextualSpacing/>
              <w:rPr>
                <w:sz w:val="22"/>
                <w:szCs w:val="22"/>
              </w:rPr>
            </w:pPr>
            <w:r>
              <w:rPr>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5"/>
            </w:r>
            <w:r>
              <w:rPr>
                <w:rFonts w:eastAsia="Calibri"/>
                <w:sz w:val="22"/>
                <w:szCs w:val="22"/>
              </w:rPr>
              <w:t xml:space="preserve"> установлен Приложением №4 к Положению об аккредитации;</w:t>
            </w:r>
          </w:p>
          <w:p>
            <w:pPr>
              <w:pStyle w:val="Normal"/>
              <w:widowControl w:val="false"/>
              <w:spacing w:before="120" w:after="0"/>
              <w:ind w:left="62" w:hanging="0"/>
              <w:contextualSpacing/>
              <w:rPr/>
            </w:pPr>
            <w:r>
              <w:rPr>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r>
                <w:rPr>
                  <w:rStyle w:val="11"/>
                  <w:rFonts w:eastAsia="Calibri"/>
                  <w:sz w:val="22"/>
                  <w:szCs w:val="22"/>
                </w:rPr>
                <w:t>https://bo.nalog.ru</w:t>
              </w:r>
            </w:hyperlink>
            <w:r>
              <w:rPr>
                <w:rFonts w:eastAsia="Calibri"/>
                <w:sz w:val="22"/>
                <w:szCs w:val="22"/>
              </w:rPr>
              <w:t xml:space="preserve">) за предыдущий отчетный период (год) </w:t>
            </w:r>
            <w:r>
              <w:rPr>
                <w:sz w:val="22"/>
                <w:szCs w:val="22"/>
              </w:rPr>
              <w:t>по состоянию на дату окончания срока подачи заявок</w:t>
            </w:r>
            <w:r>
              <w:rPr>
                <w:rFonts w:eastAsia="Calibri"/>
                <w:sz w:val="22"/>
                <w:szCs w:val="22"/>
              </w:rPr>
              <w:t>.</w:t>
            </w:r>
          </w:p>
          <w:p>
            <w:pPr>
              <w:pStyle w:val="Normal"/>
              <w:widowControl w:val="false"/>
              <w:spacing w:before="120" w:after="0"/>
              <w:contextualSpacing/>
              <w:rPr>
                <w:sz w:val="22"/>
                <w:szCs w:val="22"/>
              </w:rPr>
            </w:pPr>
            <w:r>
              <w:rPr>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sz w:val="22"/>
                <w:szCs w:val="22"/>
              </w:rPr>
              <w:t xml:space="preserve">(по формам ОКУД 0710001, 0710002) </w:t>
            </w:r>
            <w:r>
              <w:rPr>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120" w:after="0"/>
              <w:ind w:hanging="0"/>
              <w:contextualSpacing/>
              <w:rPr>
                <w:sz w:val="22"/>
                <w:szCs w:val="22"/>
              </w:rPr>
            </w:pPr>
            <w:r>
              <w:rPr>
                <w:sz w:val="22"/>
                <w:szCs w:val="22"/>
              </w:rPr>
              <w:t>Если Участник в соответствии с законодательством формирует отчетность по </w:t>
            </w:r>
            <w:r>
              <w:rPr>
                <w:rFonts w:eastAsia="Calibri"/>
                <w:sz w:val="22"/>
                <w:szCs w:val="22"/>
              </w:rPr>
              <w:t>формам</w:t>
            </w:r>
            <w:r>
              <w:rPr>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ind w:left="344" w:hanging="0"/>
              <w:contextualSpacing/>
              <w:jc w:val="left"/>
              <w:rPr>
                <w:sz w:val="22"/>
                <w:szCs w:val="22"/>
              </w:rPr>
            </w:pPr>
            <w:r>
              <w:rPr>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ind w:left="344" w:hanging="0"/>
              <w:contextualSpacing/>
              <w:jc w:val="left"/>
              <w:rPr>
                <w:sz w:val="22"/>
                <w:szCs w:val="22"/>
              </w:rPr>
            </w:pPr>
            <w:r>
              <w:rPr>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contextualSpacing/>
              <w:jc w:val="both"/>
              <w:rPr>
                <w:sz w:val="22"/>
                <w:szCs w:val="22"/>
              </w:rPr>
            </w:pPr>
            <w:r>
              <w:rPr>
                <w:rFonts w:eastAsia="Calibri"/>
                <w:color w:val="000000"/>
                <w:sz w:val="22"/>
                <w:szCs w:val="22"/>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849"/>
              <w:gridCol w:w="5555"/>
            </w:tblGrid>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30"/>
                    <w:keepNext w:val="true"/>
                    <w:widowControl w:val="false"/>
                    <w:tabs>
                      <w:tab w:val="clear" w:pos="708"/>
                      <w:tab w:val="left" w:pos="4364" w:leader="none"/>
                    </w:tabs>
                    <w:spacing w:before="120" w:after="0"/>
                    <w:ind w:left="57" w:right="1304" w:hanging="0"/>
                    <w:jc w:val="left"/>
                    <w:rPr>
                      <w:sz w:val="22"/>
                      <w:szCs w:val="22"/>
                    </w:rPr>
                  </w:pPr>
                  <w:r>
                    <w:rPr>
                      <w:rFonts w:eastAsia="Calibri"/>
                      <w:sz w:val="22"/>
                      <w:szCs w:val="22"/>
                      <w:lang w:eastAsia="en-US"/>
                    </w:rPr>
                    <w:t>результат оценки финансового состояния (устойчивости): менее 0,45 баллов – Кризисное финансовое состояние</w:t>
                  </w:r>
                </w:p>
                <w:p>
                  <w:pPr>
                    <w:pStyle w:val="Style30"/>
                    <w:keepNext w:val="true"/>
                    <w:widowControl w:val="false"/>
                    <w:jc w:val="left"/>
                    <w:rPr>
                      <w:sz w:val="22"/>
                      <w:szCs w:val="22"/>
                    </w:rPr>
                  </w:pPr>
                  <w:r>
                    <w:rPr>
                      <w:rFonts w:eastAsia="Calibri"/>
                      <w:sz w:val="22"/>
                      <w:szCs w:val="22"/>
                      <w:lang w:eastAsia="en-US"/>
                    </w:rPr>
                    <w:t>или</w:t>
                  </w:r>
                </w:p>
                <w:p>
                  <w:pPr>
                    <w:pStyle w:val="Style30"/>
                    <w:keepNext w:val="true"/>
                    <w:widowControl w:val="false"/>
                    <w:ind w:left="57" w:right="1247" w:hanging="0"/>
                    <w:jc w:val="left"/>
                    <w:rPr>
                      <w:sz w:val="22"/>
                      <w:szCs w:val="22"/>
                    </w:rPr>
                  </w:pPr>
                  <w:r>
                    <w:rPr>
                      <w:rFonts w:eastAsia="Calibri"/>
                      <w:sz w:val="22"/>
                      <w:szCs w:val="22"/>
                      <w:lang w:eastAsia="en-US"/>
                    </w:rPr>
                    <w:t>в случае отсутствия исходных данных для оценки финансового состояния Участника, в том числе если он является:</w:t>
                  </w:r>
                </w:p>
                <w:p>
                  <w:pPr>
                    <w:pStyle w:val="Style30"/>
                    <w:keepNext w:val="true"/>
                    <w:widowControl w:val="false"/>
                    <w:numPr>
                      <w:ilvl w:val="0"/>
                      <w:numId w:val="10"/>
                    </w:numPr>
                    <w:ind w:left="794" w:right="1191" w:hanging="340"/>
                    <w:jc w:val="left"/>
                    <w:rPr>
                      <w:sz w:val="22"/>
                      <w:szCs w:val="22"/>
                    </w:rPr>
                  </w:pPr>
                  <w:r>
                    <w:rPr>
                      <w:rFonts w:eastAsia="Calibri"/>
                      <w:sz w:val="22"/>
                      <w:szCs w:val="22"/>
                      <w:lang w:eastAsia="en-US"/>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30"/>
                    <w:widowControl w:val="false"/>
                    <w:numPr>
                      <w:ilvl w:val="0"/>
                      <w:numId w:val="10"/>
                    </w:numPr>
                    <w:ind w:left="794" w:right="1134" w:hanging="340"/>
                    <w:jc w:val="left"/>
                    <w:rPr>
                      <w:sz w:val="22"/>
                      <w:szCs w:val="22"/>
                    </w:rPr>
                  </w:pPr>
                  <w:r>
                    <w:rPr>
                      <w:rFonts w:eastAsia="Calibri"/>
                      <w:sz w:val="22"/>
                      <w:szCs w:val="22"/>
                      <w:lang w:eastAsia="en-US"/>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30"/>
                    <w:widowControl w:val="false"/>
                    <w:spacing w:before="120" w:after="0"/>
                    <w:ind w:left="57" w:right="1134" w:hanging="0"/>
                    <w:jc w:val="left"/>
                    <w:rPr>
                      <w:sz w:val="22"/>
                      <w:szCs w:val="22"/>
                    </w:rPr>
                  </w:pPr>
                  <w:r>
                    <w:rPr>
                      <w:rFonts w:eastAsia="Calibri"/>
                      <w:sz w:val="22"/>
                      <w:szCs w:val="22"/>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30"/>
                    <w:widowControl w:val="false"/>
                    <w:spacing w:before="120" w:after="0"/>
                    <w:ind w:left="57" w:right="1077" w:hanging="0"/>
                    <w:jc w:val="left"/>
                    <w:rPr>
                      <w:sz w:val="22"/>
                      <w:szCs w:val="22"/>
                    </w:rPr>
                  </w:pPr>
                  <w:r>
                    <w:rPr>
                      <w:rFonts w:eastAsia="Calibri"/>
                      <w:sz w:val="22"/>
                      <w:szCs w:val="22"/>
                      <w:lang w:eastAsia="en-US"/>
                    </w:rPr>
                    <w:t>результат оценки финансового состояния (устойчивости): более 0,90 баллов – Удовлетворительное финансовое состояние,</w:t>
                  </w:r>
                </w:p>
              </w:tc>
            </w:tr>
          </w:tbl>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22"/>
                <w:szCs w:val="22"/>
                <w:lang w:eastAsia="en-US"/>
              </w:rPr>
              <w:t xml:space="preserve"> – </w:t>
            </w:r>
            <w:r>
              <w:rPr>
                <w:rFonts w:eastAsia="Calibri"/>
                <w:sz w:val="22"/>
                <w:szCs w:val="22"/>
                <w:lang w:eastAsia="en-US"/>
              </w:rPr>
              <w:t>рассчитанная оценка предпочтительности по частному критерию оценки в баллах.</w:t>
            </w:r>
          </w:p>
          <w:p>
            <w:pPr>
              <w:pStyle w:val="Style30"/>
              <w:widowControl w:val="false"/>
              <w:jc w:val="left"/>
              <w:rPr>
                <w:sz w:val="22"/>
                <w:szCs w:val="22"/>
              </w:rPr>
            </w:pPr>
            <w:r>
              <w:rPr>
                <w:rFonts w:eastAsia="Calibri"/>
                <w:sz w:val="22"/>
                <w:szCs w:val="22"/>
                <w:lang w:eastAsia="en-US"/>
              </w:rPr>
              <w:t>Шкала оценок от 0 до 5 баллов.</w:t>
            </w:r>
          </w:p>
          <w:p>
            <w:pPr>
              <w:pStyle w:val="Style30"/>
              <w:widowControl w:val="false"/>
              <w:jc w:val="left"/>
              <w:rPr>
                <w:sz w:val="22"/>
                <w:szCs w:val="22"/>
              </w:rPr>
            </w:pPr>
            <w:r>
              <w:rPr>
                <w:rFonts w:eastAsia="Calibri"/>
                <w:sz w:val="22"/>
                <w:szCs w:val="22"/>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0"/>
              <w:widowControl w:val="false"/>
              <w:jc w:val="left"/>
              <w:rPr/>
            </w:pPr>
            <w:r>
              <w:rPr>
                <w:rFonts w:eastAsia="Calibri"/>
                <w:sz w:val="22"/>
                <w:szCs w:val="22"/>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Style w:val="Hyperlink"/>
                  <w:rFonts w:eastAsia="Calibri"/>
                  <w:sz w:val="22"/>
                  <w:szCs w:val="22"/>
                  <w:lang w:eastAsia="en-US"/>
                </w:rPr>
                <w:t>Приложение № 4</w:t>
              </w:r>
            </w:hyperlink>
            <w:r>
              <w:rPr>
                <w:rFonts w:eastAsia="Calibri"/>
                <w:sz w:val="22"/>
                <w:szCs w:val="22"/>
                <w:lang w:eastAsia="en-US"/>
              </w:rPr>
              <w:t>), представленному в заявке такого Коллективного участника на участие в закупке.)</w:t>
            </w:r>
          </w:p>
        </w:tc>
      </w:tr>
      <w:tr>
        <w:trPr/>
        <w:tc>
          <w:tcPr>
            <w:tcW w:w="5821" w:type="dxa"/>
            <w:gridSpan w:val="4"/>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Итоговая оценка предпочтительности заявки:</w:t>
            </w:r>
          </w:p>
        </w:tc>
        <w:tc>
          <w:tcPr>
            <w:tcW w:w="9314" w:type="dxa"/>
            <w:gridSpan w:val="3"/>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sz w:val="22"/>
                <w:szCs w:val="22"/>
                <w:lang w:eastAsia="en-US"/>
              </w:rPr>
              <w:t>-ой заявки:</w:t>
            </w:r>
          </w:p>
          <w:p>
            <w:pPr>
              <w:pStyle w:val="Style30"/>
              <w:widowControl w:val="false"/>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r>
                  <w:rPr>
                    <w:rFonts w:ascii="Cambria Math" w:hAnsi="Cambria Math"/>
                  </w:rPr>
                  <m:t xml:space="preserve">∑</m:t>
                </m:r>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r>
                  <w:rPr>
                    <w:rFonts w:ascii="Cambria Math" w:hAnsi="Cambria Math"/>
                  </w:rPr>
                  <m:t xml:space="preserve">,</m:t>
                </m:r>
              </m:oMath>
            </m:oMathPara>
          </w:p>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sz w:val="22"/>
                <w:szCs w:val="22"/>
                <w:lang w:eastAsia="en-US"/>
              </w:rPr>
              <w:t xml:space="preserve"> – </w:t>
            </w:r>
            <w:r>
              <w:rPr>
                <w:rFonts w:eastAsia="Calibri"/>
                <w:sz w:val="22"/>
                <w:szCs w:val="22"/>
                <w:lang w:eastAsia="en-US"/>
              </w:rPr>
              <w:t>рассчитанная итоговая оценка предпочтительности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sz w:val="22"/>
                <w:szCs w:val="22"/>
                <w:lang w:eastAsia="en-US"/>
              </w:rPr>
              <w:t>-тому критерию оценки первого уровня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значимость </w:t>
            </w:r>
            <w:r>
              <w:rPr/>
            </w:r>
            <m:oMath xmlns:m="http://schemas.openxmlformats.org/officeDocument/2006/math">
              <m:r>
                <w:rPr>
                  <w:rFonts w:ascii="Cambria Math" w:hAnsi="Cambria Math"/>
                </w:rPr>
                <m:t xml:space="preserve">k</m:t>
              </m:r>
            </m:oMath>
            <w:r>
              <w:rPr>
                <w:rFonts w:eastAsia="Calibri"/>
                <w:sz w:val="22"/>
                <w:szCs w:val="22"/>
                <w:lang w:eastAsia="en-US"/>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sz w:val="22"/>
                <w:szCs w:val="22"/>
                <w:lang w:eastAsia="en-US"/>
              </w:rPr>
              <w:t>-ого критерия оценки первого уровня.</w:t>
            </w:r>
          </w:p>
          <w:p>
            <w:pPr>
              <w:pStyle w:val="Style30"/>
              <w:widowControl w:val="false"/>
              <w:jc w:val="left"/>
              <w:rPr>
                <w:sz w:val="22"/>
                <w:szCs w:val="22"/>
              </w:rPr>
            </w:pPr>
            <w:r>
              <w:rPr>
                <w:rFonts w:eastAsia="Calibri"/>
                <w:i/>
                <w:iCs/>
                <w:sz w:val="22"/>
                <w:szCs w:val="22"/>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6"/>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0" w:name="_Ref125360420"/>
      <w:bookmarkStart w:id="391" w:name="_Toc228877733"/>
      <w:bookmarkStart w:id="392" w:name="Прил09_ОбоснованиеНМЦ"/>
      <w:bookmarkEnd w:id="392"/>
      <w:r>
        <w:rPr/>
        <w:t>Приложение № 9 – Обоснование НМЦ</w:t>
      </w:r>
      <w:bookmarkEnd w:id="390"/>
      <w:bookmarkEnd w:id="391"/>
    </w:p>
    <w:p>
      <w:pPr>
        <w:pStyle w:val="Style25"/>
        <w:rPr/>
      </w:pPr>
      <w:bookmarkStart w:id="393" w:name="_Toc228877734"/>
      <w:r>
        <w:rPr/>
        <w:t>Пояснения к Обоснованию НМЦ</w:t>
      </w:r>
      <w:bookmarkEnd w:id="393"/>
    </w:p>
    <w:p>
      <w:pPr>
        <w:pStyle w:val="Style26"/>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5"/>
        <w:rPr/>
      </w:pPr>
      <w:bookmarkStart w:id="396" w:name="_Toc228877736"/>
      <w:r>
        <w:rPr/>
        <w:t>Пояснения к форме Заявки на аккредитацию</w:t>
      </w:r>
      <w:bookmarkEnd w:id="396"/>
    </w:p>
    <w:p>
      <w:pPr>
        <w:pStyle w:val="Style26"/>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30"/>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2093418424" r:id="rId36"/>
        </w:object>
      </w:r>
    </w:p>
    <w:p>
      <w:pPr>
        <w:pStyle w:val="Style24"/>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5"/>
        <w:rPr/>
      </w:pPr>
      <w:bookmarkStart w:id="400" w:name="_Toc228877738"/>
      <w:r>
        <w:rPr/>
        <w:t>Пояснения к форме Данных бухгалтерской (финансовой) отчетности</w:t>
      </w:r>
      <w:bookmarkEnd w:id="400"/>
      <w:r>
        <w:rPr/>
        <w:t xml:space="preserve"> </w:t>
      </w:r>
    </w:p>
    <w:p>
      <w:pPr>
        <w:pStyle w:val="Style26"/>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823350854" r:id="rId38"/>
        </w:object>
      </w:r>
      <w:bookmarkEnd w:id="40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42442313"/>
    </w:sdtPr>
    <w:sdtContent>
      <w:p>
        <w:pPr>
          <w:pStyle w:val="Footer"/>
          <w:spacing w:before="120" w:after="0"/>
          <w:rPr/>
        </w:pPr>
        <w:r>
          <w:rPr/>
          <w:fldChar w:fldCharType="begin"/>
        </w:r>
        <w:r>
          <w:rPr/>
          <w:instrText xml:space="preserve"> PAGE </w:instrText>
        </w:r>
        <w:r>
          <w:rPr/>
          <w:fldChar w:fldCharType="separate"/>
        </w:r>
        <w:r>
          <w:rPr/>
          <w:t>12</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70303866"/>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89487778"/>
    </w:sdtPr>
    <w:sdtContent>
      <w:p>
        <w:pPr>
          <w:pStyle w:val="Footer"/>
          <w:spacing w:before="120" w:after="0"/>
          <w:rPr/>
        </w:pPr>
        <w:r>
          <w:rPr/>
          <w:fldChar w:fldCharType="begin"/>
        </w:r>
        <w:r>
          <w:rPr/>
          <w:instrText xml:space="preserve"> PAGE </w:instrText>
        </w:r>
        <w:r>
          <w:rPr/>
          <w:fldChar w:fldCharType="separate"/>
        </w:r>
        <w:r>
          <w:rPr/>
          <w:t>49</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47670323"/>
    </w:sdtPr>
    <w:sdtContent>
      <w:p>
        <w:pPr>
          <w:pStyle w:val="Footer"/>
          <w:spacing w:before="120" w:after="0"/>
          <w:rPr/>
        </w:pPr>
        <w:r>
          <w:rPr/>
          <w:fldChar w:fldCharType="begin"/>
        </w:r>
        <w:r>
          <w:rPr/>
          <w:instrText xml:space="preserve"> PAGE </w:instrText>
        </w:r>
        <w:r>
          <w:rPr/>
          <w:fldChar w:fldCharType="separate"/>
        </w:r>
        <w:r>
          <w:rPr/>
          <w:t>56</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46818939"/>
    </w:sdtPr>
    <w:sdtContent>
      <w:p>
        <w:pPr>
          <w:pStyle w:val="Footer"/>
          <w:spacing w:before="120" w:after="0"/>
          <w:rPr/>
        </w:pPr>
        <w:r>
          <w:rPr/>
          <w:fldChar w:fldCharType="begin"/>
        </w:r>
        <w:r>
          <w:rPr/>
          <w:instrText xml:space="preserve"> PAGE </w:instrText>
        </w:r>
        <w:r>
          <w:rPr/>
          <w:fldChar w:fldCharType="separate"/>
        </w:r>
        <w:r>
          <w:rPr/>
          <w:t>62</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87265405"/>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71692747"/>
    </w:sdtPr>
    <w:sdtContent>
      <w:p>
        <w:pPr>
          <w:pStyle w:val="Footer"/>
          <w:spacing w:before="120" w:after="0"/>
          <w:rPr/>
        </w:pPr>
        <w:r>
          <w:rPr/>
          <w:fldChar w:fldCharType="begin"/>
        </w:r>
        <w:r>
          <w:rPr/>
          <w:instrText xml:space="preserve"> PAGE </w:instrText>
        </w:r>
        <w:r>
          <w:rPr/>
          <w:fldChar w:fldCharType="separate"/>
        </w:r>
        <w:r>
          <w:rPr/>
          <w:t>80</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ListParagraph"/>
        <w:widowControl w:val="false"/>
        <w:tabs>
          <w:tab w:val="clear" w:pos="708"/>
          <w:tab w:val="left" w:pos="284" w:leader="none"/>
        </w:tabs>
        <w:spacing w:before="20" w:after="20"/>
        <w:ind w:left="142" w:hanging="142"/>
        <w:contextualSpacing w:val="false"/>
        <w:jc w:val="both"/>
        <w:rPr>
          <w:rStyle w:val="Style18"/>
          <w:b w:val="false"/>
          <w:sz w:val="20"/>
          <w:szCs w:val="20"/>
        </w:rPr>
      </w:pPr>
      <w:r>
        <w:rPr>
          <w:rStyle w:val="Style10"/>
        </w:rPr>
        <w:footnoteRef/>
      </w:r>
      <w:r>
        <w:rPr>
          <w:rFonts w:eastAsia="Times New Roman"/>
          <w:sz w:val="20"/>
          <w:szCs w:val="20"/>
          <w:vertAlign w:val="superscript"/>
        </w:rPr>
        <w:tab/>
        <w:t xml:space="preserve">. </w:t>
      </w:r>
      <w:r>
        <w:rPr>
          <w:rFonts w:eastAsia="Times New Roman"/>
          <w:sz w:val="20"/>
          <w:szCs w:val="20"/>
        </w:rPr>
        <w:t>Не требуется членство в СРО в области инженерных изысканий Участникам закупки, перечисленным в ч. 2.1 ст. 47 ГрК РФ;</w:t>
      </w:r>
    </w:p>
  </w:footnote>
  <w:footnote w:id="14">
    <w:p>
      <w:pPr>
        <w:pStyle w:val="ListParagraph"/>
        <w:widowControl w:val="false"/>
        <w:tabs>
          <w:tab w:val="clear" w:pos="708"/>
          <w:tab w:val="left" w:pos="142" w:leader="none"/>
        </w:tabs>
        <w:spacing w:before="20" w:after="20"/>
        <w:ind w:left="142" w:hanging="142"/>
        <w:contextualSpacing w:val="false"/>
        <w:jc w:val="both"/>
        <w:rPr>
          <w:sz w:val="16"/>
          <w:szCs w:val="16"/>
        </w:rPr>
      </w:pPr>
      <w:r>
        <w:rPr>
          <w:rStyle w:val="Style10"/>
        </w:rPr>
        <w:footnoteRef/>
      </w:r>
      <w:r>
        <w:rPr>
          <w:rFonts w:eastAsia="Times New Roman"/>
          <w:sz w:val="20"/>
          <w:szCs w:val="20"/>
          <w:vertAlign w:val="superscript"/>
        </w:rPr>
        <w:tab/>
        <w:t>.</w:t>
      </w:r>
      <w:r>
        <w:rPr>
          <w:rFonts w:eastAsia="Times New Roman"/>
          <w:sz w:val="20"/>
          <w:szCs w:val="20"/>
        </w:rPr>
        <w:t xml:space="preserve"> Не требуется членство в СРО в области архитектурно-строительного проектирования Участникам закупки, перечисленным в ч. 4.1 ст. 48 ГрК РФ.</w:t>
      </w:r>
    </w:p>
  </w:footnote>
  <w:footnote w:id="15">
    <w:p>
      <w:pPr>
        <w:pStyle w:val="FootnoteText"/>
        <w:widowControl w:val="false"/>
        <w:rPr/>
      </w:pPr>
      <w:r>
        <w:rPr>
          <w:rStyle w:val="Style10"/>
        </w:rPr>
        <w:footnoteRef/>
      </w:r>
      <w:r>
        <w:rPr>
          <w:rStyle w:val="Style10"/>
        </w:rPr>
        <w:tab/>
      </w:r>
      <w:r>
        <w:rPr/>
        <w:t xml:space="preserve"> 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left="720" w:right="0" w:hanging="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http://nopriz.ru/nreesters/elektronnyy-reestr/" TargetMode="Externa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3.wmf"/><Relationship Id="rId25" Type="http://schemas.openxmlformats.org/officeDocument/2006/relationships/package" Target="embeddings/oleObject3.docx"/><Relationship Id="rId26" Type="http://schemas.openxmlformats.org/officeDocument/2006/relationships/image" Target="media/image4.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5.wmf"/><Relationship Id="rId38" Type="http://schemas.openxmlformats.org/officeDocument/2006/relationships/package" Target="embeddings/oleObject5.docx"/><Relationship Id="rId39" Type="http://schemas.openxmlformats.org/officeDocument/2006/relationships/image" Target="media/image6.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Application>AlterOffice/3.3.1.3$Linux_X86_64 LibreOffice_project/90d829a0d92d6015ad4fa014ce4f460a7fe6c0ba</Application>
  <AppVersion>15.0000</AppVersion>
  <Pages>80</Pages>
  <Words>19241</Words>
  <Characters>131918</Characters>
  <CharactersWithSpaces>147588</CharactersWithSpaces>
  <Paragraphs>1113</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ignatova_ta</cp:lastModifiedBy>
  <dcterms:modified xsi:type="dcterms:W3CDTF">2026-09-02T16:20:38Z</dcterms:modified>
  <cp:revision>162</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