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1"/>
      <w:bookmarkStart w:id="1" w:name="_Toc1398562871"/>
      <w:bookmarkStart w:id="2" w:name="_Toc1375545841"/>
      <w:bookmarkStart w:id="3" w:name="_Toc1416967041"/>
      <w:bookmarkStart w:id="4" w:name="_Toc1398562871"/>
      <w:bookmarkStart w:id="5" w:name="_Toc137554584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shd w:fill="auto" w:val="clear"/>
        </w:rPr>
        <w:t>ОКПД 2: 26.20.14.100 Поставка серверного оборудования системы сбора и обработки информации</w:t>
      </w:r>
      <w:r>
        <w:rPr>
          <w:i w:val="false"/>
          <w:iCs w:val="false"/>
          <w:sz w:val="24"/>
          <w:szCs w:val="24"/>
        </w:rPr>
        <w:t xml:space="preserve"> для нужд </w:t>
      </w:r>
      <w:r>
        <w:rPr>
          <w:i w:val="false"/>
          <w:iCs w:val="false"/>
          <w:color w:val="000000"/>
          <w:sz w:val="24"/>
          <w:szCs w:val="24"/>
        </w:rPr>
        <w:t>Нижегородского производственного участка</w:t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</w:rPr>
        <w:t>Чебоксарского филиала АО «Гидроремонт ВКК» г. Новочебоксарск</w:t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лот </w:t>
      </w:r>
      <w:r>
        <w:rPr>
          <w:b w:val="false"/>
          <w:caps w:val="false"/>
          <w:smallCaps w:val="false"/>
          <w:color w:val="000000"/>
          <w:spacing w:val="0"/>
          <w:sz w:val="24"/>
          <w:szCs w:val="24"/>
        </w:rPr>
        <w:t>0006-ТПиР БЕЗОП ДОХ-2026-ГРВКК-ЧебФ</w:t>
      </w:r>
    </w:p>
    <w:p>
      <w:pPr>
        <w:pStyle w:val="Normal"/>
        <w:keepNext w:val="true"/>
        <w:keepLines/>
        <w:jc w:val="center"/>
        <w:rPr>
          <w:rFonts w:eastAsia="Calibri"/>
          <w:b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i w:val="false"/>
          <w:i w:val="false"/>
          <w:iCs w:val="false"/>
          <w:sz w:val="24"/>
          <w:szCs w:val="24"/>
        </w:rPr>
      </w:pPr>
      <w:bookmarkStart w:id="6" w:name="_Toc46743506"/>
      <w:bookmarkStart w:id="7" w:name="_Toc75446568"/>
      <w:r>
        <w:rPr>
          <w:i w:val="false"/>
          <w:iCs w:val="false"/>
          <w:sz w:val="24"/>
          <w:szCs w:val="24"/>
        </w:rPr>
        <w:t>Наименование закупаемой продукции</w:t>
      </w:r>
      <w:bookmarkEnd w:id="6"/>
      <w:bookmarkEnd w:id="7"/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shd w:fill="auto" w:val="clear"/>
        </w:rPr>
        <w:t xml:space="preserve">ОКПД2: 26.20.14.100 Поставка серверного оборудования системы сбора и обработки информации </w:t>
      </w:r>
      <w:r>
        <w:rPr>
          <w:i w:val="false"/>
          <w:iCs w:val="false"/>
          <w:sz w:val="24"/>
          <w:szCs w:val="24"/>
        </w:rPr>
        <w:t xml:space="preserve">для нужд </w:t>
      </w:r>
      <w:r>
        <w:rPr>
          <w:i w:val="false"/>
          <w:iCs w:val="false"/>
          <w:color w:val="000000"/>
          <w:sz w:val="24"/>
          <w:szCs w:val="24"/>
        </w:rPr>
        <w:t xml:space="preserve">Нижегородского производственного участка Чебоксарского филиала </w:t>
      </w:r>
      <w:r>
        <w:rPr>
          <w:rFonts w:eastAsia="Calibri"/>
          <w:i w:val="false"/>
          <w:iCs w:val="false"/>
          <w:color w:val="000000"/>
          <w:sz w:val="24"/>
          <w:szCs w:val="24"/>
          <w:lang w:eastAsia="x-none"/>
        </w:rPr>
        <w:t>АО «Гидроремонт ВКК» г. Новочебоксарск</w:t>
      </w:r>
    </w:p>
    <w:p>
      <w:pPr>
        <w:pStyle w:val="Heading4"/>
        <w:numPr>
          <w:ilvl w:val="1"/>
          <w:numId w:val="3"/>
        </w:numPr>
        <w:rPr>
          <w:i w:val="false"/>
          <w:i w:val="false"/>
          <w:iCs w:val="false"/>
          <w:sz w:val="24"/>
          <w:szCs w:val="24"/>
        </w:rPr>
      </w:pPr>
      <w:bookmarkStart w:id="8" w:name="_Toc75446569"/>
      <w:bookmarkStart w:id="9" w:name="_Toc46743507"/>
      <w:r>
        <w:rPr>
          <w:i w:val="false"/>
          <w:iCs w:val="false"/>
          <w:sz w:val="24"/>
          <w:szCs w:val="24"/>
        </w:rPr>
        <w:t xml:space="preserve">Цель </w:t>
      </w:r>
      <w:bookmarkEnd w:id="9"/>
      <w:r>
        <w:rPr>
          <w:i w:val="false"/>
          <w:iCs w:val="false"/>
          <w:sz w:val="24"/>
          <w:szCs w:val="24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 xml:space="preserve">Исполнение договора № 1240-178-2026г. от 11.03.2026г </w:t>
      </w:r>
      <w:r>
        <w:rPr>
          <w:i w:val="false"/>
          <w:iCs w:val="false"/>
          <w:sz w:val="24"/>
          <w:szCs w:val="24"/>
          <w:lang w:eastAsia="x-none"/>
        </w:rPr>
        <w:t>«</w:t>
      </w:r>
      <w:r>
        <w:rPr>
          <w:i w:val="false"/>
          <w:iCs w:val="false"/>
          <w:sz w:val="24"/>
          <w:szCs w:val="24"/>
          <w:lang w:eastAsia="x-none"/>
        </w:rPr>
        <w:t>Строительно-монтажные и пусконаладочные работы по модернизации КСБ - 2 этап (система охранной сигнализации периметра, система сбора и обработки информации) Нижегородской ГЭС»</w:t>
      </w:r>
      <w:r>
        <w:rPr>
          <w:i w:val="false"/>
          <w:iCs w:val="false"/>
          <w:sz w:val="24"/>
          <w:szCs w:val="24"/>
          <w:shd w:fill="auto" w:val="clear"/>
          <w:lang w:eastAsia="x-none"/>
        </w:rPr>
        <w:t>, заключенного между АО «Гидроремонт-ВКК» и филиалом ПАО «РусГидро»- «Нижегородская ГЭС».</w:t>
      </w:r>
      <w:r>
        <w:rPr>
          <w:i w:val="false"/>
          <w:iCs w:val="false"/>
          <w:sz w:val="24"/>
          <w:szCs w:val="24"/>
          <w:lang w:eastAsia="x-none"/>
        </w:rPr>
        <w:t xml:space="preserve"> </w:t>
      </w:r>
    </w:p>
    <w:p>
      <w:pPr>
        <w:pStyle w:val="Heading1"/>
        <w:numPr>
          <w:ilvl w:val="0"/>
          <w:numId w:val="3"/>
        </w:numPr>
        <w:rPr>
          <w:i w:val="false"/>
          <w:i w:val="false"/>
          <w:iCs w:val="false"/>
          <w:sz w:val="24"/>
          <w:szCs w:val="24"/>
        </w:rPr>
      </w:pPr>
      <w:bookmarkStart w:id="10" w:name="_Toc75446573"/>
      <w:bookmarkStart w:id="11" w:name="_Toc51339693"/>
      <w:bookmarkStart w:id="12" w:name="_Toc50125126"/>
      <w:bookmarkStart w:id="13" w:name="_Toc46743510"/>
      <w:bookmarkEnd w:id="12"/>
      <w:bookmarkEnd w:id="13"/>
      <w:r>
        <w:rPr>
          <w:i w:val="false"/>
          <w:iCs w:val="false"/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>
          <w:i w:val="false"/>
          <w:i w:val="false"/>
          <w:iCs w:val="false"/>
          <w:sz w:val="24"/>
          <w:szCs w:val="24"/>
        </w:rPr>
      </w:pPr>
      <w:bookmarkStart w:id="14" w:name="_Toc75446574"/>
      <w:r>
        <w:rPr>
          <w:i w:val="false"/>
          <w:iCs w:val="false"/>
          <w:sz w:val="24"/>
          <w:szCs w:val="24"/>
        </w:rPr>
        <w:t xml:space="preserve">Требования к объемам и срокам </w:t>
      </w:r>
      <w:r>
        <w:rPr>
          <w:i w:val="false"/>
          <w:iCs w:val="false"/>
          <w:sz w:val="24"/>
          <w:szCs w:val="24"/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ind w:left="567" w:hanging="567"/>
        <w:rPr>
          <w:i w:val="false"/>
          <w:i w:val="false"/>
          <w:iCs w:val="false"/>
          <w:sz w:val="24"/>
          <w:szCs w:val="24"/>
        </w:rPr>
      </w:pPr>
      <w:bookmarkStart w:id="15" w:name="_Toc75446575"/>
      <w:r>
        <w:rPr>
          <w:i w:val="false"/>
          <w:iCs w:val="false"/>
          <w:sz w:val="24"/>
          <w:szCs w:val="24"/>
        </w:rPr>
        <w:t>Перечень и объем закупаемой продукции</w:t>
      </w:r>
      <w:bookmarkEnd w:id="15"/>
    </w:p>
    <w:p>
      <w:pPr>
        <w:pStyle w:val="Heading3"/>
        <w:numPr>
          <w:ilvl w:val="2"/>
          <w:numId w:val="3"/>
        </w:numPr>
        <w:ind w:left="567" w:hanging="567"/>
        <w:rPr>
          <w:i w:val="false"/>
          <w:i w:val="false"/>
          <w:iCs w:val="false"/>
          <w:sz w:val="24"/>
          <w:szCs w:val="24"/>
        </w:rPr>
      </w:pPr>
      <w:bookmarkStart w:id="16" w:name="_Toc75446576"/>
      <w:bookmarkStart w:id="17" w:name="_Toc51339695"/>
      <w:r>
        <w:rPr>
          <w:i w:val="false"/>
          <w:iCs w:val="false"/>
          <w:sz w:val="24"/>
          <w:szCs w:val="24"/>
        </w:rPr>
        <w:t xml:space="preserve">Таблица 1.1 Перечень </w:t>
      </w:r>
      <w:bookmarkEnd w:id="17"/>
      <w:r>
        <w:rPr>
          <w:i w:val="false"/>
          <w:iCs w:val="false"/>
          <w:sz w:val="24"/>
          <w:szCs w:val="24"/>
        </w:rPr>
        <w:t>и объем закупаемой продукции</w:t>
      </w:r>
      <w:bookmarkEnd w:id="16"/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1"/>
        <w:gridCol w:w="1426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Рабочая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 станция для отображения камер высокого разрешения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9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ind w:left="567" w:hanging="567"/>
        <w:rPr>
          <w:i w:val="false"/>
          <w:i w:val="false"/>
          <w:iCs w:val="false"/>
          <w:sz w:val="24"/>
          <w:szCs w:val="24"/>
        </w:rPr>
      </w:pPr>
      <w:bookmarkStart w:id="18" w:name="_Toc75446578"/>
      <w:bookmarkStart w:id="19" w:name="_Toc51339696"/>
      <w:r>
        <w:rPr>
          <w:i w:val="false"/>
          <w:iCs w:val="false"/>
          <w:sz w:val="24"/>
          <w:szCs w:val="24"/>
        </w:rPr>
        <w:t xml:space="preserve">Требования </w:t>
      </w:r>
      <w:bookmarkEnd w:id="19"/>
      <w:r>
        <w:rPr>
          <w:i w:val="false"/>
          <w:iCs w:val="false"/>
          <w:sz w:val="24"/>
          <w:szCs w:val="24"/>
        </w:rPr>
        <w:t>к срокам поставки продукции</w:t>
      </w:r>
      <w:bookmarkEnd w:id="18"/>
    </w:p>
    <w:p>
      <w:pPr>
        <w:pStyle w:val="Heading3"/>
        <w:numPr>
          <w:ilvl w:val="2"/>
          <w:numId w:val="3"/>
        </w:numPr>
        <w:ind w:left="567" w:hanging="567"/>
        <w:rPr>
          <w:i w:val="false"/>
          <w:i w:val="false"/>
          <w:iCs w:val="false"/>
          <w:sz w:val="24"/>
          <w:szCs w:val="24"/>
        </w:rPr>
      </w:pPr>
      <w:bookmarkStart w:id="20" w:name="_Toc75446579"/>
      <w:bookmarkStart w:id="21" w:name="_Toc50125127"/>
      <w:bookmarkStart w:id="22" w:name="_Toc51339697"/>
      <w:bookmarkStart w:id="23" w:name="_Toc501251261"/>
      <w:bookmarkEnd w:id="23"/>
      <w:r>
        <w:rPr>
          <w:i w:val="false"/>
          <w:iCs w:val="false"/>
          <w:sz w:val="24"/>
          <w:szCs w:val="24"/>
        </w:rPr>
        <w:t xml:space="preserve">Таблица </w:t>
      </w:r>
      <w:r>
        <w:rPr>
          <w:i w:val="false"/>
          <w:iCs w:val="false"/>
          <w:sz w:val="24"/>
          <w:szCs w:val="24"/>
          <w:lang w:val="ru-RU"/>
        </w:rPr>
        <w:t>2</w:t>
      </w:r>
      <w:r>
        <w:rPr>
          <w:i w:val="false"/>
          <w:iCs w:val="false"/>
          <w:sz w:val="24"/>
          <w:szCs w:val="24"/>
        </w:rPr>
        <w:t>.</w:t>
      </w:r>
      <w:r>
        <w:rPr>
          <w:i w:val="false"/>
          <w:iCs w:val="false"/>
          <w:sz w:val="24"/>
          <w:szCs w:val="24"/>
          <w:lang w:val="ru-RU"/>
        </w:rPr>
        <w:t>1.</w:t>
      </w:r>
      <w:r>
        <w:rPr>
          <w:i w:val="false"/>
          <w:iCs w:val="false"/>
          <w:sz w:val="24"/>
          <w:szCs w:val="24"/>
        </w:rPr>
        <w:t xml:space="preserve"> </w:t>
      </w:r>
      <w:bookmarkStart w:id="24" w:name="_Hlk50465284"/>
      <w:r>
        <w:rPr>
          <w:i w:val="false"/>
          <w:iCs w:val="false"/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i w:val="false"/>
          <w:iCs w:val="false"/>
          <w:sz w:val="24"/>
          <w:szCs w:val="24"/>
          <w:lang w:val="ru-RU"/>
        </w:rPr>
        <w:t>поставки продукции</w:t>
      </w:r>
      <w:bookmarkEnd w:id="20"/>
      <w:r>
        <w:rPr>
          <w:i w:val="false"/>
          <w:iCs w:val="false"/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№ </w:t>
            </w: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Продукция в соответствии с Таблицей 1.</w:t>
            </w:r>
            <w:r>
              <w:rPr>
                <w:rFonts w:eastAsia="Calibri"/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1</w:t>
            </w:r>
            <w:r>
              <w:rPr>
                <w:rFonts w:eastAsia="Calibri"/>
                <w:i w:val="false"/>
                <w:iCs w:val="false"/>
                <w:color w:val="000000"/>
                <w:sz w:val="24"/>
                <w:szCs w:val="24"/>
                <w:lang w:eastAsia="x-none"/>
              </w:rPr>
              <w:t xml:space="preserve"> Технических требований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Не позднее 45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i w:val="false"/>
          <w:i w:val="false"/>
          <w:iCs w:val="false"/>
          <w:sz w:val="24"/>
          <w:szCs w:val="24"/>
        </w:rPr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>
          <w:i w:val="false"/>
          <w:iCs w:val="false"/>
          <w:sz w:val="24"/>
          <w:szCs w:val="24"/>
        </w:rPr>
        <w:t xml:space="preserve">Требования к </w:t>
      </w:r>
      <w:bookmarkEnd w:id="27"/>
      <w:r>
        <w:rPr>
          <w:i w:val="false"/>
          <w:iCs w:val="false"/>
          <w:sz w:val="24"/>
          <w:szCs w:val="24"/>
        </w:rPr>
        <w:t>качеству продукции</w:t>
      </w:r>
      <w:bookmarkEnd w:id="26"/>
    </w:p>
    <w:p>
      <w:pPr>
        <w:pStyle w:val="Heading3"/>
        <w:numPr>
          <w:ilvl w:val="2"/>
          <w:numId w:val="3"/>
        </w:numPr>
        <w:ind w:left="567" w:hanging="567"/>
        <w:rPr>
          <w:i w:val="false"/>
          <w:i w:val="false"/>
          <w:iCs w:val="false"/>
          <w:sz w:val="24"/>
          <w:szCs w:val="24"/>
        </w:rPr>
      </w:pPr>
      <w:bookmarkStart w:id="29" w:name="_Toc75446582"/>
      <w:r>
        <w:rPr>
          <w:i w:val="false"/>
          <w:iCs w:val="false"/>
          <w:sz w:val="24"/>
          <w:szCs w:val="24"/>
        </w:rPr>
        <w:t>Таблица </w:t>
      </w:r>
      <w:r>
        <w:rPr>
          <w:i w:val="false"/>
          <w:iCs w:val="false"/>
          <w:sz w:val="24"/>
          <w:szCs w:val="24"/>
          <w:lang w:val="ru-RU"/>
        </w:rPr>
        <w:t>3</w:t>
      </w:r>
      <w:r>
        <w:rPr>
          <w:i w:val="false"/>
          <w:iCs w:val="false"/>
          <w:sz w:val="24"/>
          <w:szCs w:val="24"/>
        </w:rPr>
        <w:t xml:space="preserve">. Требования к </w:t>
      </w:r>
      <w:r>
        <w:rPr>
          <w:i w:val="false"/>
          <w:iCs w:val="false"/>
          <w:sz w:val="24"/>
          <w:szCs w:val="24"/>
          <w:lang w:val="ru-RU"/>
        </w:rPr>
        <w:t>продукции</w:t>
      </w:r>
      <w:bookmarkEnd w:id="29"/>
      <w:r>
        <w:rPr>
          <w:i w:val="false"/>
          <w:iCs w:val="false"/>
          <w:sz w:val="24"/>
          <w:szCs w:val="24"/>
        </w:rPr>
        <w:t xml:space="preserve"> </w:t>
      </w:r>
      <w:bookmarkEnd w:id="25"/>
    </w:p>
    <w:p>
      <w:pPr>
        <w:pStyle w:val="Normal"/>
        <w:numPr>
          <w:ilvl w:val="0"/>
          <w:numId w:val="0"/>
        </w:numPr>
        <w:ind w:left="0" w:hanging="0"/>
        <w:jc w:val="both"/>
        <w:rPr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Наименование продукции: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ОКПД 2: 26.20.14.100 Поставка серверного оборудования системы сбора и обработки информации</w:t>
      </w:r>
      <w:r>
        <w:rPr>
          <w:rFonts w:eastAsia="Calibri"/>
          <w:i w:val="false"/>
          <w:iCs w:val="false"/>
          <w:color w:val="000000"/>
          <w:sz w:val="24"/>
          <w:szCs w:val="24"/>
          <w:lang w:eastAsia="x-none"/>
        </w:rPr>
        <w:t xml:space="preserve"> для нужд Нижегородского производственного участка Чебоксарского филиала АО «Гидроремонт ВКК» г. Новочебоксарск</w:t>
      </w:r>
    </w:p>
    <w:tbl>
      <w:tblPr>
        <w:tblStyle w:val="affff8"/>
        <w:tblW w:w="140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1926"/>
        <w:gridCol w:w="1902"/>
        <w:gridCol w:w="4536"/>
        <w:gridCol w:w="2337"/>
        <w:gridCol w:w="2490"/>
      </w:tblGrid>
      <w:tr>
        <w:trPr>
          <w:trHeight w:val="555" w:hRule="atLeast"/>
        </w:trPr>
        <w:tc>
          <w:tcPr>
            <w:tcW w:w="849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Наименование </w:t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оборудования</w:t>
            </w:r>
          </w:p>
        </w:tc>
        <w:tc>
          <w:tcPr>
            <w:tcW w:w="19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*</w:t>
            </w:r>
          </w:p>
        </w:tc>
        <w:tc>
          <w:tcPr>
            <w:tcW w:w="482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555" w:hRule="atLeast"/>
        </w:trPr>
        <w:tc>
          <w:tcPr>
            <w:tcW w:w="84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3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9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836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Рабочая станция для отображения камер высокого разрешения</w:t>
            </w:r>
          </w:p>
        </w:tc>
        <w:tc>
          <w:tcPr>
            <w:tcW w:w="643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Состав рабочей станции, в том числе: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К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орпус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Miditower,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блок питания не хуже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ATX 500W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Материнская плата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 хуже B560-PLUS LGA1200 Dsub+HDMI+DP GbLAN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Подключение мониторов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 менее 2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Процессор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хуже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 xml:space="preserve"> Intel Core i3 3.6 GHz/4core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Модуль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памяти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Не менее 8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Gb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DDR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4 3200 MHz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Накопитель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Не менее 512Gb М.2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Клавиатура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Не хуже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Black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USB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, 105кл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Мышь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(оптический манипулятор)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хуже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 xml:space="preserve"> Black, USB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, 3btn+Roll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Указание характеристик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92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9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Операционная система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Astra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Linux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Special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Edition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вер. 1.8 “Усиленный” (“Воронеж”) от ООО «РусБИТех-Астра», поддержка не менее 36 мес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836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33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6438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</w:p>
        </w:tc>
        <w:tc>
          <w:tcPr>
            <w:tcW w:w="2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1926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643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1926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643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8364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1926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643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На Продукцию устанавливается гарантийный срок, равный 36 (тридцати шести) месяцам, исчисляемый с даты ввода Продукции в эксплуатацию, но не более 48 (сорока восьми) месяцев с даты подписания </w:t>
            </w:r>
            <w:bookmarkStart w:id="30" w:name="_GoBack"/>
            <w:bookmarkEnd w:id="30"/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Сторонами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специалистов.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highlight w:val="green"/>
                <w:lang w:val="ru-RU" w:eastAsia="ru-RU" w:bidi="ar-SA"/>
              </w:rPr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highlight w:val="green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836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33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19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64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Паспорта качества в 2 экз.;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Сертификат соответствия (декларация соответствия) в 2 экз.;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Технический паспорт на русском языке в 1 экз.;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12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Инструкция по эксплуатации (монтажу и т.п.) на русском языке в 1 экз.;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Упаковочный лист на Продукцию в 1 экз.;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Сертификат о происхождении товара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 2 экз.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851" w:leader="none"/>
                <w:tab w:val="left" w:pos="90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Обязательные первичные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72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tabs>
                <w:tab w:val="clear" w:pos="708"/>
                <w:tab w:val="left" w:pos="720" w:leader="none"/>
                <w:tab w:val="left" w:pos="1134" w:leader="none"/>
                <w:tab w:val="left" w:pos="1276" w:leader="none"/>
              </w:tabs>
              <w:suppressAutoHyphens w:val="false"/>
              <w:spacing w:before="0" w:after="0"/>
              <w:ind w:left="0" w:firstLine="567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Товарную накладную по форме ТОРГ-12 или Универсальный передаточный документ (УПД) в 2 экз.</w:t>
            </w:r>
          </w:p>
        </w:tc>
        <w:tc>
          <w:tcPr>
            <w:tcW w:w="2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8364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8364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должна быть новой, ранее не использовавшейся. Год производства оборудования не старше 2025 года.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highlight w:val="green"/>
                <w:lang w:val="en-US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8364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708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должна соответствовать обязательным требованиям, установленным приказом ПАО «РусГидро» от 28.02.2025 №173 «Об утверждении перечней, применяемых в Группе РусГидро типовых технических решений информационно-технологической инфраструктуры и рабочих мест Группы РусГидро, а также запрещенных к использованию типов программного обеспечения» с учетом изменений по приказу от 11.03.2026 №179 «О внесении изменения в приказ ПАО «РусГидро» от 28.02.2025 № 173».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Программное обеспечение, установленное на оборудование, поставляемое в рамках данной закупки, должно иметь ключи и лицензии без ограничения срока их действия, что подтверждается письмом производителя программного обеспечения.</w:t>
            </w: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ListParagraph"/>
        <w:keepNext w:val="true"/>
        <w:numPr>
          <w:ilvl w:val="0"/>
          <w:numId w:val="0"/>
        </w:numPr>
        <w:suppressAutoHyphens w:val="false"/>
        <w:spacing w:before="120" w:after="60"/>
        <w:ind w:hanging="0"/>
        <w:contextualSpacing/>
        <w:outlineLvl w:val="3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i w:val="false"/>
          <w:iCs w:val="false"/>
          <w:sz w:val="24"/>
          <w:szCs w:val="24"/>
          <w:shd w:fill="auto" w:val="clear"/>
          <w:lang w:eastAsia="x-none"/>
        </w:rPr>
        <w:t xml:space="preserve">* </w:t>
      </w:r>
      <w:bookmarkStart w:id="31" w:name="_Hlk140572020"/>
      <w:r>
        <w:rPr>
          <w:i w:val="false"/>
          <w:iCs w:val="false"/>
          <w:sz w:val="24"/>
          <w:szCs w:val="24"/>
          <w:shd w:fill="auto" w:val="clear"/>
          <w:lang w:eastAsia="x-none"/>
        </w:rPr>
        <w:t>В составе заявки необходимо предоставить</w:t>
      </w:r>
      <w:bookmarkEnd w:id="31"/>
      <w:r>
        <w:rPr>
          <w:i w:val="false"/>
          <w:iCs w:val="false"/>
          <w:sz w:val="24"/>
          <w:szCs w:val="24"/>
          <w:shd w:fill="auto" w:val="clear"/>
          <w:lang w:eastAsia="x-none"/>
        </w:rPr>
        <w:t>: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spacing w:before="120" w:after="60"/>
        <w:outlineLvl w:val="3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i w:val="false"/>
          <w:iCs w:val="false"/>
          <w:sz w:val="24"/>
          <w:szCs w:val="24"/>
          <w:shd w:fill="auto" w:val="clear"/>
          <w:lang w:eastAsia="x-none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</w:t>
      </w:r>
      <w:r>
        <w:rPr>
          <w:i w:val="false"/>
          <w:iCs w:val="false"/>
          <w:sz w:val="24"/>
          <w:szCs w:val="24"/>
          <w:shd w:fill="auto" w:val="clear"/>
          <w:lang w:eastAsia="x-none"/>
        </w:rPr>
        <w:t>е</w:t>
      </w:r>
      <w:r>
        <w:rPr>
          <w:i w:val="false"/>
          <w:iCs w:val="false"/>
          <w:sz w:val="24"/>
          <w:szCs w:val="24"/>
          <w:shd w:fill="auto" w:val="clear"/>
          <w:lang w:eastAsia="x-none"/>
        </w:rPr>
        <w:t>мой продукции, требованиям настоящих ТТ, предоставляет следующие документы:</w:t>
      </w:r>
    </w:p>
    <w:p>
      <w:pPr>
        <w:pStyle w:val="ListParagraph"/>
        <w:suppressAutoHyphens w:val="false"/>
        <w:spacing w:before="0" w:after="60"/>
        <w:ind w:left="426" w:hanging="0"/>
        <w:contextualSpacing w:val="false"/>
        <w:jc w:val="both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i w:val="false"/>
          <w:iCs w:val="false"/>
          <w:sz w:val="24"/>
          <w:szCs w:val="24"/>
          <w:shd w:fill="auto" w:val="clear"/>
        </w:rPr>
        <w:t>-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i w:val="false"/>
          <w:iCs w:val="false"/>
          <w:sz w:val="24"/>
          <w:szCs w:val="24"/>
          <w:shd w:fill="auto" w:val="clear"/>
        </w:rPr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i w:val="false"/>
          <w:iCs w:val="false"/>
          <w:sz w:val="24"/>
          <w:szCs w:val="24"/>
          <w:shd w:fill="auto" w:val="clear"/>
          <w:lang w:eastAsia="x-none"/>
        </w:rPr>
        <w:t>3. Требования к документации по ценообразованию на этапе закупки</w:t>
      </w:r>
    </w:p>
    <w:p>
      <w:pPr>
        <w:pStyle w:val="Normal"/>
        <w:jc w:val="center"/>
        <w:rPr>
          <w:rFonts w:eastAsia="Calibri"/>
          <w:b/>
          <w:i w:val="false"/>
          <w:i w:val="false"/>
          <w:iCs w:val="false"/>
          <w:sz w:val="24"/>
          <w:szCs w:val="24"/>
          <w:highlight w:val="none"/>
          <w:shd w:fill="auto" w:val="clear"/>
          <w:lang w:eastAsia="x-none"/>
        </w:rPr>
      </w:pPr>
      <w:r>
        <w:rPr>
          <w:rFonts w:eastAsia="Calibri"/>
          <w:b/>
          <w:i w:val="false"/>
          <w:iCs w:val="false"/>
          <w:sz w:val="24"/>
          <w:szCs w:val="24"/>
          <w:shd w:fill="auto" w:val="clear"/>
          <w:lang w:eastAsia="x-none"/>
        </w:rPr>
      </w:r>
    </w:p>
    <w:p>
      <w:pPr>
        <w:pStyle w:val="Normal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rFonts w:eastAsia="Calibri"/>
          <w:i w:val="false"/>
          <w:iCs w:val="false"/>
          <w:sz w:val="24"/>
          <w:szCs w:val="24"/>
          <w:shd w:fill="auto" w:val="clear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rFonts w:eastAsia="Calibri"/>
          <w:i w:val="false"/>
          <w:iCs w:val="false"/>
          <w:sz w:val="24"/>
          <w:szCs w:val="24"/>
          <w:shd w:fill="auto" w:val="clear"/>
          <w:lang w:eastAsia="x-none"/>
        </w:rPr>
        <w:t>3.2. Дополнительные документы по ценообразованию в состав заявки не включаются.</w:t>
      </w:r>
    </w:p>
    <w:p>
      <w:pPr>
        <w:pStyle w:val="Normal"/>
        <w:rPr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i w:val="false"/>
          <w:iCs w:val="false"/>
          <w:sz w:val="24"/>
          <w:szCs w:val="24"/>
          <w:shd w:fill="auto" w:val="clear"/>
        </w:rPr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BA728D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BA728D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2"/>
      <w:numFmt w:val="decimal"/>
      <w:lvlText w:val="%1."/>
      <w:lvlJc w:val="left"/>
      <w:pPr>
        <w:tabs>
          <w:tab w:val="num" w:pos="0"/>
        </w:tabs>
        <w:ind w:left="675" w:hanging="675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e1403f"/>
    <w:pPr>
      <w:keepNext w:val="true"/>
      <w:numPr>
        <w:ilvl w:val="2"/>
        <w:numId w:val="3"/>
      </w:numPr>
      <w:spacing w:before="120" w:after="60"/>
      <w:ind w:left="567" w:hanging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e1403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311" w:customStyle="1">
    <w:name w:val="Список 31"/>
    <w:basedOn w:val="Normal"/>
    <w:qFormat/>
    <w:rsid w:val="00874272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numbering" w:styleId="12565345991" w:customStyle="1">
    <w:name w:val="12565345991"/>
    <w:qFormat/>
  </w:style>
  <w:style w:type="table" w:default="1" w:styleId="a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7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7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6F77-2DBA-4C6C-BC36-FCB69A55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7452</TotalTime>
  <Application>AlterOffice/2025.3.1.0$Linux_X86_64 LibreOffice_project/431cd1b79110582f53535c95ed0a2449aadc8bf9</Application>
  <AppVersion>15.0000</AppVersion>
  <Pages>6</Pages>
  <Words>968</Words>
  <Characters>6730</Characters>
  <CharactersWithSpaces>7538</CharactersWithSpaces>
  <Paragraphs>144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/>
  <dcterms:modified xsi:type="dcterms:W3CDTF">2026-09-02T11:30:04Z</dcterms:modified>
  <cp:revision>69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