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76" w:before="0" w:after="120"/>
        <w:rPr/>
      </w:pPr>
      <w:r>
        <w:rPr>
          <w:sz w:val="24"/>
        </w:rPr>
        <w:t>Договор поставки № -Чеб/пос-26</w:t>
      </w:r>
    </w:p>
    <w:p>
      <w:pPr>
        <w:pStyle w:val="Normal"/>
        <w:shd w:val="clear" w:color="auto" w:fill="FFFFFF"/>
        <w:tabs>
          <w:tab w:val="clear" w:pos="720"/>
          <w:tab w:val="left" w:pos="6804" w:leader="none"/>
        </w:tabs>
        <w:spacing w:lineRule="auto" w:line="276" w:before="0" w:after="120"/>
        <w:jc w:val="center"/>
        <w:rPr/>
      </w:pPr>
      <w:r>
        <w:rPr>
          <w:sz w:val="24"/>
          <w:szCs w:val="24"/>
        </w:rPr>
        <w:t>г. Заволжье</w:t>
        <w:tab/>
        <w:t>«____»</w:t>
      </w:r>
      <w:r>
        <w:rPr>
          <w:bCs/>
          <w:color w:val="000000"/>
          <w:sz w:val="24"/>
          <w:szCs w:val="24"/>
        </w:rPr>
        <w:t xml:space="preserve"> ____ </w:t>
      </w:r>
      <w:r>
        <w:rPr>
          <w:sz w:val="24"/>
          <w:szCs w:val="24"/>
        </w:rPr>
        <w:t>2026г.</w:t>
      </w:r>
    </w:p>
    <w:p>
      <w:pPr>
        <w:pStyle w:val="Normal"/>
        <w:shd w:val="clear" w:color="auto" w:fill="FFFFFF"/>
        <w:tabs>
          <w:tab w:val="clear" w:pos="720"/>
          <w:tab w:val="left" w:pos="6804" w:leader="none"/>
        </w:tabs>
        <w:spacing w:lineRule="auto" w:line="276" w:before="0" w:after="120"/>
        <w:jc w:val="center"/>
        <w:rPr>
          <w:sz w:val="24"/>
          <w:szCs w:val="24"/>
        </w:rPr>
      </w:pPr>
      <w:r>
        <w:rPr>
          <w:sz w:val="24"/>
          <w:szCs w:val="24"/>
        </w:rPr>
      </w:r>
    </w:p>
    <w:p>
      <w:pPr>
        <w:pStyle w:val="Normal"/>
        <w:spacing w:lineRule="auto" w:line="276"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 действующего на основании доверенности № ___ от ___.__.2026г., с одной стороны, и _________</w:t>
      </w:r>
      <w:r>
        <w:rPr>
          <w:b/>
          <w:sz w:val="24"/>
          <w:szCs w:val="24"/>
        </w:rPr>
        <w:t xml:space="preserve"> (______)</w:t>
      </w:r>
      <w:r>
        <w:rPr>
          <w:sz w:val="24"/>
          <w:szCs w:val="24"/>
        </w:rPr>
        <w:t>, именуемое в дальнейшем</w:t>
      </w:r>
      <w:r>
        <w:rPr>
          <w:b/>
          <w:sz w:val="24"/>
          <w:szCs w:val="24"/>
        </w:rPr>
        <w:t xml:space="preserve"> «Поставщик», </w:t>
      </w:r>
      <w:r>
        <w:rPr>
          <w:sz w:val="24"/>
          <w:szCs w:val="24"/>
        </w:rPr>
        <w:t>в лице ______, действующего на основании ______, с другой стороны, совместно в дальнейшем именуемые «Стороны», а по отдельности – «Сторона»,</w:t>
      </w:r>
    </w:p>
    <w:p>
      <w:pPr>
        <w:pStyle w:val="Normal"/>
        <w:spacing w:lineRule="auto" w:line="276" w:before="0" w:after="120"/>
        <w:ind w:firstLine="567"/>
        <w:jc w:val="both"/>
        <w:rPr>
          <w:sz w:val="24"/>
          <w:szCs w:val="24"/>
        </w:rPr>
      </w:pPr>
      <w:r>
        <w:rPr>
          <w:bCs/>
          <w:sz w:val="24"/>
          <w:szCs w:val="24"/>
        </w:rPr>
        <w:t>по результатам запроса котировок в электронной форме,</w:t>
      </w:r>
      <w:r>
        <w:rPr>
          <w:sz w:val="24"/>
          <w:szCs w:val="24"/>
        </w:rPr>
        <w:t xml:space="preserve"> на право заключения договора (Лот №</w:t>
      </w:r>
      <w:r>
        <w:rPr>
          <w:rFonts w:eastAsia="Calibri"/>
          <w:color w:val="000000"/>
          <w:sz w:val="24"/>
          <w:szCs w:val="24"/>
        </w:rPr>
        <w:t xml:space="preserve">0006-ТПиР БЕЗОП ДОХ-2026-ГРВКК-ЧебФ «____» </w:t>
      </w:r>
      <w:r>
        <w:rPr>
          <w:sz w:val="24"/>
          <w:szCs w:val="24"/>
        </w:rPr>
        <w:t>) в соответствии с Протоколом №___ от «___»______ 2026г., заключили настоящий Договор (далее – «Договор») о нижеследующем:</w:t>
      </w:r>
    </w:p>
    <w:p>
      <w:pPr>
        <w:pStyle w:val="Normal"/>
        <w:widowControl w:val="false"/>
        <w:numPr>
          <w:ilvl w:val="0"/>
          <w:numId w:val="4"/>
        </w:numPr>
        <w:shd w:val="clear" w:color="auto" w:fill="FFFFFF"/>
        <w:tabs>
          <w:tab w:val="clear" w:pos="720"/>
          <w:tab w:val="left" w:pos="426" w:leader="none"/>
        </w:tabs>
        <w:spacing w:lineRule="auto" w:line="276" w:before="0" w:after="120"/>
        <w:ind w:left="0" w:hanging="0"/>
        <w:jc w:val="center"/>
        <w:rPr>
          <w:b/>
          <w:bCs/>
          <w:sz w:val="24"/>
          <w:szCs w:val="24"/>
        </w:rPr>
      </w:pPr>
      <w:r>
        <w:rPr>
          <w:b/>
          <w:bCs/>
          <w:sz w:val="24"/>
          <w:szCs w:val="24"/>
        </w:rPr>
        <w:t>Предмет Договора</w:t>
      </w:r>
    </w:p>
    <w:p>
      <w:pPr>
        <w:pStyle w:val="Title"/>
        <w:numPr>
          <w:ilvl w:val="1"/>
          <w:numId w:val="4"/>
        </w:numPr>
        <w:tabs>
          <w:tab w:val="clear" w:pos="720"/>
          <w:tab w:val="left" w:pos="567" w:leader="none"/>
        </w:tabs>
        <w:spacing w:lineRule="auto" w:line="276" w:before="0" w:after="120"/>
        <w:ind w:left="0" w:firstLine="567"/>
        <w:jc w:val="both"/>
        <w:rPr>
          <w:sz w:val="24"/>
        </w:rPr>
      </w:pPr>
      <w:r>
        <w:rPr>
          <w:b w:val="false"/>
          <w:sz w:val="24"/>
        </w:rPr>
        <w:t xml:space="preserve">Поставщик обязуется передать Покупателю </w:t>
      </w:r>
      <w:r>
        <w:rPr>
          <w:rFonts w:eastAsia="Calibri"/>
          <w:b w:val="false"/>
          <w:bCs w:val="false"/>
          <w:color w:val="1A1A1A"/>
          <w:sz w:val="24"/>
          <w:lang w:eastAsia="x-none"/>
        </w:rPr>
        <w:t>серверное оборудование системы сбора и обработки информации</w:t>
      </w:r>
      <w:r>
        <w:rPr>
          <w:b w:val="false"/>
          <w:sz w:val="24"/>
        </w:rPr>
        <w:t xml:space="preserve"> (далее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ListParagraph"/>
        <w:numPr>
          <w:ilvl w:val="1"/>
          <w:numId w:val="4"/>
        </w:numPr>
        <w:shd w:val="clear" w:color="auto" w:fill="FFFFFF"/>
        <w:tabs>
          <w:tab w:val="clear" w:pos="720"/>
          <w:tab w:val="left" w:pos="142" w:leader="none"/>
          <w:tab w:val="left" w:pos="540" w:leader="none"/>
        </w:tabs>
        <w:spacing w:before="0" w:after="120"/>
        <w:ind w:left="0" w:firstLine="624"/>
        <w:contextualSpacing w:val="false"/>
        <w:jc w:val="both"/>
        <w:rPr>
          <w:sz w:val="24"/>
          <w:szCs w:val="24"/>
        </w:rPr>
      </w:pPr>
      <w:r>
        <w:rPr>
          <w:bCs/>
          <w:sz w:val="24"/>
          <w:szCs w:val="24"/>
        </w:rPr>
        <w:t>Поставка осуществляется одной партией.</w:t>
      </w:r>
    </w:p>
    <w:p>
      <w:pPr>
        <w:pStyle w:val="ListParagraph"/>
        <w:numPr>
          <w:ilvl w:val="1"/>
          <w:numId w:val="4"/>
        </w:numPr>
        <w:shd w:val="clear" w:color="auto" w:fill="FFFFFF"/>
        <w:tabs>
          <w:tab w:val="clear" w:pos="720"/>
          <w:tab w:val="left" w:pos="142" w:leader="none"/>
          <w:tab w:val="left" w:pos="540" w:leader="none"/>
        </w:tabs>
        <w:spacing w:lineRule="auto" w:line="276" w:before="0" w:after="120"/>
        <w:ind w:left="0" w:firstLine="567"/>
        <w:contextualSpacing/>
        <w:jc w:val="both"/>
        <w:rPr>
          <w:sz w:val="24"/>
          <w:szCs w:val="24"/>
        </w:rPr>
      </w:pPr>
      <w:r>
        <w:rPr>
          <w:sz w:val="24"/>
          <w:szCs w:val="24"/>
        </w:rPr>
        <w:t>Поставка по Договору выполняется для нужд Обособленного подразделения АО «Гидроремонт-ВКК» Нижегородский производственный участок.</w:t>
      </w:r>
    </w:p>
    <w:p>
      <w:pPr>
        <w:pStyle w:val="ListParagraph"/>
        <w:numPr>
          <w:ilvl w:val="1"/>
          <w:numId w:val="4"/>
        </w:numPr>
        <w:shd w:val="clear" w:color="auto" w:fill="FFFFFF"/>
        <w:tabs>
          <w:tab w:val="clear" w:pos="720"/>
          <w:tab w:val="left" w:pos="142" w:leader="none"/>
          <w:tab w:val="left" w:pos="540" w:leader="none"/>
        </w:tabs>
        <w:spacing w:lineRule="auto" w:line="276" w:before="0" w:after="120"/>
        <w:ind w:left="0" w:firstLine="567"/>
        <w:contextualSpacing/>
        <w:jc w:val="both"/>
        <w:rPr>
          <w:sz w:val="24"/>
          <w:szCs w:val="24"/>
        </w:rPr>
      </w:pPr>
      <w:r>
        <w:rPr>
          <w:sz w:val="24"/>
          <w:szCs w:val="24"/>
        </w:rPr>
        <w:t>Место поставки: 606520, РФ, Нижегородская обл., Городецкий м.о., г. Заволжье, Привокзальная 14.</w:t>
      </w:r>
    </w:p>
    <w:p>
      <w:pPr>
        <w:pStyle w:val="ListParagraph"/>
        <w:numPr>
          <w:ilvl w:val="1"/>
          <w:numId w:val="4"/>
        </w:numPr>
        <w:tabs>
          <w:tab w:val="clear" w:pos="720"/>
          <w:tab w:val="left" w:pos="993" w:leader="none"/>
        </w:tabs>
        <w:ind w:left="0" w:firstLine="567"/>
        <w:jc w:val="both"/>
        <w:rPr>
          <w:sz w:val="24"/>
          <w:szCs w:val="24"/>
        </w:rPr>
      </w:pPr>
      <w:r>
        <w:rPr>
          <w:sz w:val="24"/>
          <w:szCs w:val="24"/>
        </w:rPr>
        <w:t>Срок начала поставки Продукции по договору:</w:t>
      </w:r>
      <w:bookmarkStart w:id="0" w:name="_Hlk124318262"/>
      <w:bookmarkEnd w:id="0"/>
      <w:r>
        <w:rPr>
          <w:sz w:val="24"/>
          <w:szCs w:val="24"/>
        </w:rPr>
        <w:t xml:space="preserve"> в течение 30 (Тридцати) календарных дней c даты подписания договора.</w:t>
      </w:r>
    </w:p>
    <w:p>
      <w:pPr>
        <w:pStyle w:val="ListParagraph"/>
        <w:ind w:left="1425" w:hanging="0"/>
        <w:rPr>
          <w:sz w:val="24"/>
          <w:szCs w:val="24"/>
        </w:rPr>
      </w:pPr>
      <w:r>
        <w:rPr>
          <w:sz w:val="24"/>
          <w:szCs w:val="24"/>
        </w:rPr>
      </w:r>
    </w:p>
    <w:p>
      <w:pPr>
        <w:pStyle w:val="Normal"/>
        <w:widowControl w:val="false"/>
        <w:numPr>
          <w:ilvl w:val="0"/>
          <w:numId w:val="4"/>
        </w:numPr>
        <w:shd w:val="clear" w:color="auto" w:fill="FFFFFF"/>
        <w:tabs>
          <w:tab w:val="clear" w:pos="720"/>
          <w:tab w:val="left" w:pos="426" w:leader="none"/>
        </w:tabs>
        <w:spacing w:lineRule="auto" w:line="276" w:before="0" w:after="120"/>
        <w:ind w:left="0" w:hanging="0"/>
        <w:jc w:val="center"/>
        <w:rPr>
          <w:b/>
          <w:sz w:val="24"/>
          <w:szCs w:val="24"/>
        </w:rPr>
      </w:pPr>
      <w:r>
        <w:rPr>
          <w:b/>
          <w:sz w:val="24"/>
          <w:szCs w:val="24"/>
        </w:rPr>
        <w:t>Цена Договора и порядок оплаты</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Твёрдая стоимость Продукции (далее – «Цена Договора») по Договору составляет ____ (________) рублей __ копеек, в том числе НДС (22 %) в размере __________ (______) рублей __ копеек.</w:t>
      </w:r>
    </w:p>
    <w:p>
      <w:pPr>
        <w:pStyle w:val="ListParagraph"/>
        <w:numPr>
          <w:ilvl w:val="1"/>
          <w:numId w:val="4"/>
        </w:numPr>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 xml:space="preserve">Цена Договора включает в себя: </w:t>
      </w:r>
    </w:p>
    <w:p>
      <w:pPr>
        <w:pStyle w:val="Normal"/>
        <w:tabs>
          <w:tab w:val="clear" w:pos="720"/>
          <w:tab w:val="left" w:pos="0" w:leader="none"/>
          <w:tab w:val="left" w:pos="851" w:leader="none"/>
        </w:tabs>
        <w:spacing w:lineRule="auto" w:line="276"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Стоимость единицы Продукции определяется Спецификацией (Приложение № 1).</w:t>
      </w:r>
    </w:p>
    <w:p>
      <w:pPr>
        <w:pStyle w:val="ListParagraph"/>
        <w:numPr>
          <w:ilvl w:val="1"/>
          <w:numId w:val="4"/>
        </w:numPr>
        <w:shd w:val="clear" w:color="auto" w:fill="FFFFFF"/>
        <w:tabs>
          <w:tab w:val="clear" w:pos="720"/>
          <w:tab w:val="left" w:pos="0" w:leader="none"/>
          <w:tab w:val="left" w:pos="851" w:leader="none"/>
        </w:tabs>
        <w:spacing w:lineRule="auto" w:line="276" w:before="0" w:after="120"/>
        <w:ind w:left="0" w:firstLine="567"/>
        <w:contextualSpacing/>
        <w:jc w:val="both"/>
        <w:rPr>
          <w:sz w:val="24"/>
          <w:szCs w:val="24"/>
        </w:rPr>
      </w:pPr>
      <w:r>
        <w:rPr>
          <w:sz w:val="24"/>
          <w:szCs w:val="24"/>
        </w:rPr>
        <w:t xml:space="preserve">Оплата в соответствии с Договором осуществляется следующим образом: </w:t>
      </w:r>
    </w:p>
    <w:p>
      <w:pPr>
        <w:pStyle w:val="ListParagraph"/>
        <w:numPr>
          <w:ilvl w:val="2"/>
          <w:numId w:val="4"/>
        </w:numPr>
        <w:shd w:val="clear" w:color="auto" w:fill="FFFFFF"/>
        <w:tabs>
          <w:tab w:val="clear" w:pos="720"/>
          <w:tab w:val="left" w:pos="567" w:leader="none"/>
          <w:tab w:val="left" w:pos="1440" w:leader="none"/>
        </w:tabs>
        <w:spacing w:lineRule="auto" w:line="276" w:before="0" w:after="120"/>
        <w:ind w:left="0" w:firstLine="567"/>
        <w:contextualSpacing/>
        <w:jc w:val="both"/>
        <w:rPr>
          <w:sz w:val="24"/>
          <w:szCs w:val="24"/>
          <w:shd w:fill="FFFFFF" w:val="clear"/>
        </w:rPr>
      </w:pPr>
      <w:r>
        <w:rPr>
          <w:sz w:val="24"/>
          <w:szCs w:val="24"/>
          <w:shd w:fill="FFFFFF" w:val="clear"/>
        </w:rPr>
        <w:t>Авансовый платеж в размере 30% от стоимости Продукции, согласно Спецификации (Приложение № 1), выплачивается в течение 30 (Тридцати) календарных дней с даты получения счета, выставленного Поставщиком, но не ранее чем за 30 (тридцать) календарных дней до даты поставки Продукции, при условии получения Покупателем счета, выставленного Поставщиком с учетом п.2.6. Договора.</w:t>
      </w:r>
    </w:p>
    <w:p>
      <w:pPr>
        <w:pStyle w:val="ListParagraph"/>
        <w:shd w:val="clear" w:color="auto" w:fill="FFFFFF"/>
        <w:tabs>
          <w:tab w:val="clear" w:pos="720"/>
          <w:tab w:val="left" w:pos="1440" w:leader="none"/>
        </w:tabs>
        <w:spacing w:lineRule="auto" w:line="276" w:before="0" w:after="120"/>
        <w:ind w:left="0" w:firstLine="624"/>
        <w:contextualSpacing/>
        <w:jc w:val="both"/>
        <w:rPr>
          <w:sz w:val="24"/>
          <w:szCs w:val="24"/>
          <w:shd w:fill="FFFFFF" w:val="clear"/>
        </w:rPr>
      </w:pPr>
      <w:r>
        <w:rPr>
          <w:sz w:val="24"/>
          <w:szCs w:val="24"/>
          <w:shd w:fill="FFFFFF" w:val="clear"/>
        </w:rPr>
        <w:t>2.5.2. Платеж в размере 70 (Семидесяти) % от стоимости Продукции, согласно Спецификации (Приложение №1), выплачивается Покупателем в срок не более 30 (Тридцати) календарных дней / не более 7 (семи) рабочих дней</w:t>
      </w:r>
      <w:r>
        <w:rPr>
          <w:rStyle w:val="FootnoteReference"/>
          <w:sz w:val="24"/>
          <w:szCs w:val="24"/>
          <w:shd w:fill="FFFFFF" w:val="clear"/>
          <w:vertAlign w:val="superscript"/>
        </w:rPr>
        <w:footnoteReference w:id="2"/>
      </w:r>
      <w:r>
        <w:rPr>
          <w:sz w:val="24"/>
          <w:szCs w:val="24"/>
          <w:shd w:fill="FFFFFF" w:val="clear"/>
        </w:rPr>
        <w:t xml:space="preserve">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0" w:leader="none"/>
          <w:tab w:val="left" w:pos="567" w:leader="none"/>
        </w:tabs>
        <w:spacing w:lineRule="auto" w:line="276" w:before="0" w:after="120"/>
        <w:ind w:firstLine="567"/>
        <w:jc w:val="both"/>
        <w:rPr>
          <w:sz w:val="24"/>
          <w:szCs w:val="24"/>
        </w:rPr>
      </w:pPr>
      <w:r>
        <w:rPr>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w:t>
      </w:r>
      <w:bookmarkStart w:id="1" w:name="_GoBack"/>
      <w:bookmarkEnd w:id="1"/>
      <w:r>
        <w:rPr>
          <w:sz w:val="24"/>
          <w:szCs w:val="24"/>
        </w:rPr>
        <w:t>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0"/>
        </w:numPr>
        <w:shd w:val="clear" w:color="auto" w:fill="FFFFFF"/>
        <w:spacing w:lineRule="auto" w:line="276" w:before="0" w:after="120"/>
        <w:ind w:left="0" w:firstLine="567"/>
        <w:contextualSpacing/>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0"/>
        </w:numPr>
        <w:shd w:val="clear" w:color="auto" w:fill="FFFFFF"/>
        <w:tabs>
          <w:tab w:val="clear" w:pos="720"/>
          <w:tab w:val="left" w:pos="480" w:leader="none"/>
          <w:tab w:val="left" w:pos="851" w:leader="none"/>
          <w:tab w:val="left" w:pos="1425" w:leader="none"/>
        </w:tabs>
        <w:spacing w:lineRule="auto" w:line="276"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0"/>
        </w:numPr>
        <w:shd w:val="clear" w:color="auto" w:fill="FFFFFF"/>
        <w:tabs>
          <w:tab w:val="clear" w:pos="720"/>
          <w:tab w:val="left" w:pos="1283" w:leader="none"/>
        </w:tabs>
        <w:spacing w:lineRule="auto" w:line="276" w:before="0" w:after="120"/>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5"/>
        </w:numPr>
        <w:tabs>
          <w:tab w:val="clear" w:pos="720"/>
          <w:tab w:val="left" w:pos="0" w:leader="none"/>
          <w:tab w:val="left" w:pos="851" w:leader="none"/>
          <w:tab w:val="left" w:pos="993" w:leader="none"/>
        </w:tabs>
        <w:spacing w:lineRule="auto" w:line="276"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0"/>
        </w:numPr>
        <w:tabs>
          <w:tab w:val="clear" w:pos="720"/>
          <w:tab w:val="left" w:pos="851" w:leader="none"/>
          <w:tab w:val="left" w:pos="1425" w:leader="none"/>
        </w:tabs>
        <w:spacing w:lineRule="auto" w:line="276" w:before="0" w:after="120"/>
        <w:ind w:left="0" w:firstLine="567"/>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ListParagraph"/>
        <w:numPr>
          <w:ilvl w:val="0"/>
          <w:numId w:val="2"/>
        </w:numPr>
        <w:shd w:val="clear" w:color="auto" w:fill="FFFFFF"/>
        <w:spacing w:lineRule="auto" w:line="276" w:before="0" w:after="120"/>
        <w:ind w:left="0" w:firstLine="2334"/>
        <w:contextualSpacing/>
        <w:rPr>
          <w:b/>
          <w:sz w:val="24"/>
          <w:szCs w:val="24"/>
        </w:rPr>
      </w:pPr>
      <w:r>
        <w:rPr>
          <w:b/>
          <w:sz w:val="24"/>
          <w:szCs w:val="24"/>
        </w:rPr>
        <w:t xml:space="preserve">   </w:t>
      </w:r>
      <w:r>
        <w:rPr>
          <w:b/>
          <w:sz w:val="24"/>
          <w:szCs w:val="24"/>
        </w:rPr>
        <w:t>Качество, количество и комплектность</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1"/>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Сертификат качества в 1 экз.;</w:t>
      </w:r>
    </w:p>
    <w:p>
      <w:pPr>
        <w:pStyle w:val="Normal"/>
        <w:widowControl w:val="false"/>
        <w:numPr>
          <w:ilvl w:val="0"/>
          <w:numId w:val="1"/>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Технический паспорт на русском языке в 1 экз.;</w:t>
      </w:r>
    </w:p>
    <w:p>
      <w:pPr>
        <w:pStyle w:val="ListParagraph"/>
        <w:numPr>
          <w:ilvl w:val="0"/>
          <w:numId w:val="1"/>
        </w:numPr>
        <w:tabs>
          <w:tab w:val="clear" w:pos="720"/>
          <w:tab w:val="left" w:pos="786" w:leader="none"/>
        </w:tabs>
        <w:spacing w:lineRule="auto" w:line="276" w:before="0" w:after="120"/>
        <w:ind w:left="0" w:hanging="219"/>
        <w:contextualSpacing/>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1"/>
        </w:numPr>
        <w:shd w:val="clear" w:color="auto" w:fill="FFFFFF"/>
        <w:tabs>
          <w:tab w:val="clear" w:pos="720"/>
          <w:tab w:val="left" w:pos="851" w:leader="none"/>
        </w:tabs>
        <w:spacing w:lineRule="auto" w:line="276"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1"/>
        </w:numPr>
        <w:shd w:val="clear" w:color="auto" w:fill="FFFFFF"/>
        <w:tabs>
          <w:tab w:val="clear" w:pos="720"/>
          <w:tab w:val="left" w:pos="851" w:leader="none"/>
          <w:tab w:val="left" w:pos="900" w:leader="none"/>
          <w:tab w:val="left" w:pos="1134" w:leader="none"/>
          <w:tab w:val="left" w:pos="1276" w:leader="none"/>
        </w:tabs>
        <w:spacing w:lineRule="auto" w:line="276"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3"/>
        </w:numPr>
        <w:shd w:val="clear" w:color="auto" w:fill="FFFFFF"/>
        <w:tabs>
          <w:tab w:val="left" w:pos="720" w:leader="none"/>
          <w:tab w:val="left" w:pos="1134" w:leader="none"/>
          <w:tab w:val="left" w:pos="1276" w:leader="none"/>
        </w:tabs>
        <w:spacing w:lineRule="auto" w:line="276"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w:t>
      </w:r>
    </w:p>
    <w:p>
      <w:pPr>
        <w:pStyle w:val="Normal"/>
        <w:widowControl w:val="false"/>
        <w:numPr>
          <w:ilvl w:val="0"/>
          <w:numId w:val="3"/>
        </w:numPr>
        <w:shd w:val="clear" w:color="auto" w:fill="FFFFFF"/>
        <w:tabs>
          <w:tab w:val="left" w:pos="720" w:leader="none"/>
          <w:tab w:val="left" w:pos="1134" w:leader="none"/>
          <w:tab w:val="left" w:pos="1276" w:leader="none"/>
        </w:tabs>
        <w:spacing w:lineRule="auto" w:line="276"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На Продукцию устанавливается гарантийный срок, равный 36 (тридцати шести) месяцам, исчисляемый с даты ввода Продукции в эксплуатацию, но не более 48 (сорока восьми) месяцев с даты подписания Сторонами товарной накладной ТОРГ-12 или Универсального передаточного документа (УПД).</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2"/>
        </w:numPr>
        <w:shd w:val="clear" w:color="auto" w:fill="FFFFFF"/>
        <w:tabs>
          <w:tab w:val="clear" w:pos="720"/>
          <w:tab w:val="left" w:pos="1134" w:leader="none"/>
          <w:tab w:val="left" w:pos="1276" w:leader="none"/>
        </w:tabs>
        <w:spacing w:lineRule="auto" w:line="276"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ListParagraph"/>
        <w:numPr>
          <w:ilvl w:val="0"/>
          <w:numId w:val="2"/>
        </w:numPr>
        <w:shd w:val="clear" w:color="auto" w:fill="FFFFFF"/>
        <w:spacing w:lineRule="auto" w:line="276" w:before="0" w:after="120"/>
        <w:ind w:left="0" w:firstLine="2192"/>
        <w:contextualSpacing/>
        <w:rPr>
          <w:b/>
          <w:sz w:val="24"/>
          <w:szCs w:val="24"/>
        </w:rPr>
      </w:pPr>
      <w:r>
        <w:rPr>
          <w:b/>
          <w:sz w:val="24"/>
          <w:szCs w:val="24"/>
        </w:rPr>
        <w:t>Тара, упаковка, маркировка</w:t>
      </w:r>
    </w:p>
    <w:p>
      <w:pPr>
        <w:pStyle w:val="ListParagraph"/>
        <w:numPr>
          <w:ilvl w:val="1"/>
          <w:numId w:val="11"/>
        </w:numPr>
        <w:shd w:val="clear" w:color="auto" w:fill="FFFFFF"/>
        <w:tabs>
          <w:tab w:val="clear" w:pos="720"/>
          <w:tab w:val="left" w:pos="1276" w:leader="none"/>
          <w:tab w:val="left" w:pos="1418" w:leader="none"/>
        </w:tabs>
        <w:spacing w:lineRule="auto" w:line="276" w:before="0" w:after="120"/>
        <w:ind w:left="0" w:firstLine="567"/>
        <w:contextualSpacing/>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наименование Продукции;</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центр тяжести;</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условия хранения;</w:t>
      </w:r>
    </w:p>
    <w:p>
      <w:pPr>
        <w:pStyle w:val="Normal"/>
        <w:widowControl w:val="false"/>
        <w:numPr>
          <w:ilvl w:val="0"/>
          <w:numId w:val="3"/>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1"/>
        </w:numPr>
        <w:shd w:val="clear" w:color="auto" w:fill="FFFFFF"/>
        <w:tabs>
          <w:tab w:val="clear" w:pos="720"/>
          <w:tab w:val="left" w:pos="1276" w:leader="none"/>
          <w:tab w:val="left" w:pos="1418" w:leader="none"/>
        </w:tabs>
        <w:spacing w:lineRule="auto" w:line="276"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1"/>
        </w:numPr>
        <w:shd w:val="clear" w:color="auto" w:fill="FFFFFF"/>
        <w:spacing w:lineRule="auto" w:line="276"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11"/>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1"/>
        </w:numPr>
        <w:shd w:val="clear" w:color="auto" w:fill="FFFFFF"/>
        <w:spacing w:lineRule="auto" w:line="276" w:before="0" w:after="120"/>
        <w:ind w:left="0" w:hanging="0"/>
        <w:jc w:val="center"/>
        <w:rPr>
          <w:b/>
          <w:sz w:val="24"/>
          <w:szCs w:val="24"/>
        </w:rPr>
      </w:pPr>
      <w:r>
        <w:rPr>
          <w:b/>
          <w:sz w:val="24"/>
          <w:szCs w:val="24"/>
        </w:rPr>
        <w:t>Ответственность по Договору</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sz w:val="24"/>
          <w:szCs w:val="24"/>
        </w:rPr>
      </w:pP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sz w:val="24"/>
          <w:szCs w:val="24"/>
        </w:rPr>
      </w:pPr>
      <w:r>
        <w:rPr>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sz w:val="24"/>
          <w:szCs w:val="24"/>
        </w:rPr>
      </w:pPr>
      <w:r>
        <w:rPr>
          <w:sz w:val="24"/>
          <w:szCs w:val="24"/>
        </w:rPr>
        <w:t>-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spacing w:lineRule="auto" w:line="276" w:before="0"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6.5.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6.6. 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6.7.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6.8.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6.9.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 xml:space="preserve">6.10.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sz w:val="24"/>
          <w:szCs w:val="24"/>
        </w:rPr>
      </w:pPr>
      <w:r>
        <w:rPr>
          <w:sz w:val="24"/>
          <w:szCs w:val="24"/>
        </w:rPr>
        <w:t xml:space="preserve">   </w:t>
      </w:r>
      <w:r>
        <w:rPr>
          <w:sz w:val="24"/>
          <w:szCs w:val="24"/>
        </w:rPr>
        <w:t>6.11.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sz w:val="24"/>
          <w:szCs w:val="24"/>
        </w:rPr>
      </w:pP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sz w:val="24"/>
          <w:szCs w:val="24"/>
        </w:rPr>
      </w:pPr>
      <w:r>
        <w:rPr>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sz w:val="24"/>
          <w:szCs w:val="24"/>
        </w:rPr>
      </w:pPr>
      <w:r>
        <w:rPr>
          <w:sz w:val="24"/>
          <w:szCs w:val="24"/>
        </w:rPr>
        <w:t>Электронная почта: ld@rushydro.ru.</w:t>
      </w:r>
    </w:p>
    <w:p>
      <w:pPr>
        <w:pStyle w:val="Normal"/>
        <w:widowControl w:val="false"/>
        <w:shd w:val="clear" w:color="auto" w:fill="FFFFFF"/>
        <w:spacing w:lineRule="auto" w:line="276" w:before="0" w:after="120"/>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1"/>
        </w:numPr>
        <w:shd w:val="clear" w:color="auto" w:fill="FFFFFF"/>
        <w:tabs>
          <w:tab w:val="clear" w:pos="720"/>
          <w:tab w:val="left" w:pos="1276" w:leader="none"/>
          <w:tab w:val="left" w:pos="5321" w:leader="none"/>
        </w:tabs>
        <w:spacing w:lineRule="auto" w:line="276" w:before="0" w:after="120"/>
        <w:ind w:left="0" w:hanging="0"/>
        <w:jc w:val="center"/>
        <w:rPr>
          <w:b/>
          <w:bCs/>
          <w:sz w:val="24"/>
          <w:szCs w:val="24"/>
        </w:rPr>
      </w:pPr>
      <w:r>
        <w:rPr>
          <w:b/>
          <w:bCs/>
          <w:sz w:val="24"/>
          <w:szCs w:val="24"/>
        </w:rPr>
        <w:t>Особые положения</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12"/>
            <w:sz w:val="24"/>
            <w:szCs w:val="24"/>
          </w:rPr>
          <w:t>№ 18162/09</w:t>
        </w:r>
      </w:hyperlink>
      <w:r>
        <w:rPr>
          <w:sz w:val="24"/>
          <w:szCs w:val="24"/>
        </w:rPr>
        <w:t xml:space="preserve"> и от 25.05.2010 </w:t>
      </w:r>
      <w:hyperlink r:id="rId3">
        <w:r>
          <w:rPr>
            <w:rStyle w:val="12"/>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12"/>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1"/>
        </w:numPr>
        <w:shd w:val="clear" w:color="auto" w:fill="FFFFFF"/>
        <w:spacing w:lineRule="auto" w:line="276"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1"/>
        </w:numPr>
        <w:shd w:val="clear" w:color="auto" w:fill="FFFFFF"/>
        <w:tabs>
          <w:tab w:val="clear" w:pos="720"/>
          <w:tab w:val="left" w:pos="1418" w:leader="none"/>
        </w:tabs>
        <w:spacing w:lineRule="auto" w:line="276" w:before="0" w:after="120"/>
        <w:ind w:left="0" w:hanging="0"/>
        <w:jc w:val="center"/>
        <w:rPr>
          <w:b/>
          <w:bCs/>
          <w:sz w:val="24"/>
          <w:szCs w:val="24"/>
        </w:rPr>
      </w:pPr>
      <w:r>
        <w:rPr>
          <w:b/>
          <w:sz w:val="24"/>
          <w:szCs w:val="24"/>
        </w:rPr>
        <w:t>Конфиденциальность</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clear" w:pos="720"/>
          <w:tab w:val="left" w:pos="851" w:leader="none"/>
        </w:tabs>
        <w:spacing w:lineRule="auto" w:line="276" w:before="0" w:after="120"/>
        <w:ind w:left="0"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6"/>
        </w:numPr>
        <w:tabs>
          <w:tab w:val="clear" w:pos="720"/>
          <w:tab w:val="left" w:pos="851" w:leader="none"/>
        </w:tabs>
        <w:spacing w:lineRule="auto" w:line="276" w:before="0" w:after="120"/>
        <w:ind w:left="0"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финансовую отчетность;</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учетные регистры бухгалтерского учета;</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бизнес-планы;</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6"/>
        </w:numPr>
        <w:tabs>
          <w:tab w:val="clear" w:pos="720"/>
          <w:tab w:val="left" w:pos="0" w:leader="none"/>
        </w:tabs>
        <w:spacing w:lineRule="auto" w:line="276" w:before="0" w:after="120"/>
        <w:ind w:left="0"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1"/>
        </w:numPr>
        <w:shd w:val="clear" w:color="auto" w:fill="FFFFFF"/>
        <w:tabs>
          <w:tab w:val="clear" w:pos="720"/>
          <w:tab w:val="left" w:pos="1276" w:leader="none"/>
        </w:tabs>
        <w:spacing w:lineRule="auto" w:line="276"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1"/>
        </w:numPr>
        <w:shd w:val="clear" w:color="auto" w:fill="FFFFFF"/>
        <w:tabs>
          <w:tab w:val="clear" w:pos="720"/>
          <w:tab w:val="left" w:pos="1283" w:leader="none"/>
          <w:tab w:val="left" w:pos="1425" w:leader="none"/>
        </w:tabs>
        <w:spacing w:lineRule="auto" w:line="276"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1"/>
        </w:numPr>
        <w:shd w:val="clear" w:color="auto" w:fill="FFFFFF"/>
        <w:tabs>
          <w:tab w:val="clear" w:pos="720"/>
          <w:tab w:val="left" w:pos="993" w:leader="none"/>
        </w:tabs>
        <w:spacing w:lineRule="auto" w:line="276" w:before="0" w:after="120"/>
        <w:ind w:left="0" w:hanging="0"/>
        <w:jc w:val="center"/>
        <w:rPr>
          <w:b/>
          <w:sz w:val="24"/>
          <w:szCs w:val="24"/>
        </w:rPr>
      </w:pPr>
      <w:r>
        <w:rPr>
          <w:b/>
          <w:sz w:val="24"/>
          <w:szCs w:val="24"/>
        </w:rPr>
        <w:t>Разрешение споров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 случае не 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 </w:t>
      </w:r>
      <w:bookmarkStart w:id="4" w:name="Par2"/>
      <w:bookmarkEnd w:id="4"/>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1"/>
        </w:numPr>
        <w:shd w:val="clear" w:color="auto" w:fill="FFFFFF"/>
        <w:tabs>
          <w:tab w:val="clear" w:pos="720"/>
          <w:tab w:val="left" w:pos="851" w:leader="none"/>
        </w:tabs>
        <w:spacing w:lineRule="auto" w:line="276"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1"/>
        </w:numPr>
        <w:shd w:val="clear" w:color="auto" w:fill="FFFFFF"/>
        <w:spacing w:lineRule="auto" w:line="276"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widowControl w:val="false"/>
        <w:numPr>
          <w:ilvl w:val="2"/>
          <w:numId w:val="11"/>
        </w:numPr>
        <w:shd w:val="clear" w:color="auto" w:fill="FFFFFF"/>
        <w:spacing w:lineRule="auto" w:line="276"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1"/>
        </w:numPr>
        <w:shd w:val="clear" w:color="auto" w:fill="FFFFFF"/>
        <w:tabs>
          <w:tab w:val="clear" w:pos="720"/>
          <w:tab w:val="left" w:pos="1425" w:leader="none"/>
        </w:tabs>
        <w:spacing w:lineRule="auto" w:line="276"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1"/>
        </w:numPr>
        <w:shd w:val="clear" w:color="auto" w:fill="FFFFFF"/>
        <w:tabs>
          <w:tab w:val="clear" w:pos="720"/>
          <w:tab w:val="left" w:pos="567" w:leader="none"/>
        </w:tabs>
        <w:spacing w:lineRule="auto" w:line="276"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spacing w:lineRule="auto" w:line="276"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7"/>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20"/>
          <w:tab w:val="left" w:pos="709" w:leader="none"/>
          <w:tab w:val="left" w:pos="1134" w:leader="none"/>
        </w:tabs>
        <w:spacing w:lineRule="auto" w:line="276" w:before="0" w:after="120"/>
        <w:ind w:left="0" w:firstLine="709"/>
        <w:contextualSpacing/>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20"/>
          <w:tab w:val="left" w:pos="567" w:leader="none"/>
          <w:tab w:val="left" w:pos="1134" w:leader="none"/>
          <w:tab w:val="left" w:pos="1418" w:leader="none"/>
        </w:tabs>
        <w:spacing w:lineRule="auto" w:line="276" w:before="0" w:after="120"/>
        <w:ind w:left="0" w:firstLine="709"/>
        <w:contextualSpacing/>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spacing w:lineRule="auto" w:line="276"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1"/>
        </w:numPr>
        <w:shd w:val="clear" w:color="auto" w:fill="FFFFFF"/>
        <w:tabs>
          <w:tab w:val="clear" w:pos="720"/>
          <w:tab w:val="left" w:pos="851" w:leader="none"/>
        </w:tabs>
        <w:spacing w:lineRule="auto" w:line="276" w:before="0" w:after="120"/>
        <w:ind w:left="0" w:hanging="0"/>
        <w:jc w:val="center"/>
        <w:rPr>
          <w:b/>
          <w:sz w:val="24"/>
          <w:szCs w:val="24"/>
        </w:rPr>
      </w:pPr>
      <w:r>
        <w:rPr>
          <w:b/>
          <w:sz w:val="24"/>
          <w:szCs w:val="24"/>
        </w:rPr>
        <w:t>Заключительные положения</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1"/>
        </w:numPr>
        <w:shd w:val="clear" w:color="auto" w:fill="FFFFFF"/>
        <w:spacing w:lineRule="auto" w:line="276"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1"/>
        </w:numPr>
        <w:shd w:val="clear" w:color="auto" w:fill="FFFFFF"/>
        <w:spacing w:lineRule="auto" w:line="276"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sz w:val="24"/>
          <w:szCs w:val="24"/>
        </w:rPr>
      </w:pPr>
      <w:r>
        <w:rPr>
          <w:sz w:val="24"/>
          <w:szCs w:val="24"/>
        </w:rPr>
        <w:t xml:space="preserve"> </w:t>
      </w:r>
      <w:r>
        <w:rPr>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val="false"/>
        <w:numPr>
          <w:ilvl w:val="1"/>
          <w:numId w:val="11"/>
        </w:numPr>
        <w:shd w:val="clear" w:color="auto" w:fill="FFFFFF"/>
        <w:tabs>
          <w:tab w:val="left" w:pos="720" w:leader="none"/>
        </w:tabs>
        <w:spacing w:lineRule="auto" w:line="276" w:before="0" w:after="120"/>
        <w:ind w:left="0"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numPr>
          <w:ilvl w:val="1"/>
          <w:numId w:val="11"/>
        </w:numPr>
        <w:shd w:val="clear" w:color="auto" w:fill="FFFFFF"/>
        <w:tabs>
          <w:tab w:val="left" w:pos="720" w:leader="none"/>
        </w:tabs>
        <w:spacing w:lineRule="auto" w:line="276"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1"/>
        </w:numPr>
        <w:shd w:val="clear" w:color="auto" w:fill="FFFFFF"/>
        <w:tabs>
          <w:tab w:val="clear" w:pos="720"/>
          <w:tab w:val="left" w:pos="426" w:leader="none"/>
        </w:tabs>
        <w:spacing w:lineRule="auto" w:line="276" w:before="0" w:after="120"/>
        <w:ind w:left="0" w:hanging="0"/>
        <w:jc w:val="center"/>
        <w:rPr>
          <w:b/>
          <w:sz w:val="24"/>
          <w:szCs w:val="24"/>
        </w:rPr>
      </w:pPr>
      <w:r>
        <w:rPr>
          <w:b/>
          <w:sz w:val="24"/>
          <w:szCs w:val="24"/>
        </w:rPr>
        <w:t>Приложения к Договору</w:t>
      </w:r>
    </w:p>
    <w:p>
      <w:pPr>
        <w:pStyle w:val="Heading3"/>
        <w:keepNext w:val="false"/>
        <w:spacing w:lineRule="auto" w:line="276" w:before="0" w:after="120"/>
        <w:jc w:val="both"/>
        <w:textAlignment w:val="baseline"/>
        <w:rPr>
          <w:b w:val="false"/>
          <w:sz w:val="24"/>
          <w:szCs w:val="24"/>
        </w:rPr>
      </w:pPr>
      <w:r>
        <w:rPr>
          <w:b w:val="false"/>
          <w:sz w:val="24"/>
          <w:szCs w:val="24"/>
        </w:rPr>
        <w:t xml:space="preserve">- Приложение № 1 – Спецификация. </w:t>
      </w:r>
    </w:p>
    <w:p>
      <w:pPr>
        <w:pStyle w:val="Normal"/>
        <w:spacing w:before="0" w:after="120"/>
        <w:jc w:val="both"/>
        <w:textAlignment w:val="baseline"/>
        <w:rPr>
          <w:sz w:val="24"/>
          <w:szCs w:val="24"/>
          <w:lang w:val="en-US"/>
        </w:rPr>
      </w:pPr>
      <w:r>
        <w:rPr>
          <w:sz w:val="24"/>
          <w:szCs w:val="24"/>
          <w:lang w:val="en-US"/>
        </w:rPr>
        <w:t>- Приложение №2 – Технические требования.</w:t>
      </w:r>
    </w:p>
    <w:p>
      <w:pPr>
        <w:pStyle w:val="Normal"/>
        <w:widowControl w:val="false"/>
        <w:numPr>
          <w:ilvl w:val="0"/>
          <w:numId w:val="11"/>
        </w:numPr>
        <w:shd w:val="clear" w:color="auto" w:fill="FFFFFF"/>
        <w:tabs>
          <w:tab w:val="clear" w:pos="720"/>
          <w:tab w:val="left" w:pos="709" w:leader="none"/>
        </w:tabs>
        <w:spacing w:lineRule="auto" w:line="276" w:before="0" w:after="120"/>
        <w:ind w:left="0" w:hanging="0"/>
        <w:jc w:val="center"/>
        <w:rPr>
          <w:b/>
          <w:sz w:val="24"/>
          <w:szCs w:val="24"/>
        </w:rPr>
      </w:pPr>
      <w:bookmarkStart w:id="5" w:name="sub_1"/>
      <w:bookmarkEnd w:id="5"/>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shd w:color="auto" w:fill="auto" w:val="clear"/>
          </w:tcPr>
          <w:p>
            <w:pPr>
              <w:pStyle w:val="Normal"/>
              <w:widowControl w:val="false"/>
              <w:spacing w:lineRule="auto" w:line="276"/>
              <w:rPr>
                <w:b/>
                <w:sz w:val="24"/>
                <w:szCs w:val="24"/>
                <w:u w:val="single"/>
              </w:rPr>
            </w:pPr>
            <w:r>
              <w:rPr>
                <w:b/>
                <w:sz w:val="24"/>
                <w:szCs w:val="24"/>
                <w:u w:val="single"/>
              </w:rPr>
              <w:t>Покупатель:</w:t>
            </w:r>
          </w:p>
        </w:tc>
        <w:tc>
          <w:tcPr>
            <w:tcW w:w="4786" w:type="dxa"/>
            <w:tcBorders/>
            <w:shd w:color="auto" w:fill="auto" w:val="clear"/>
          </w:tcPr>
          <w:p>
            <w:pPr>
              <w:pStyle w:val="Normal"/>
              <w:widowControl w:val="false"/>
              <w:spacing w:lineRule="auto" w:line="276"/>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spacing w:lineRule="auto" w:line="276"/>
              <w:rPr>
                <w:b/>
                <w:sz w:val="24"/>
                <w:szCs w:val="24"/>
              </w:rPr>
            </w:pPr>
            <w:r>
              <w:rPr>
                <w:b/>
                <w:sz w:val="24"/>
                <w:szCs w:val="24"/>
              </w:rPr>
              <w:t>Акционерное общество «Гидроремонт-ВКК» (АО «Гидроремонт-ВКК»)</w:t>
            </w:r>
          </w:p>
          <w:p>
            <w:pPr>
              <w:pStyle w:val="Normal"/>
              <w:widowControl w:val="false"/>
              <w:spacing w:lineRule="auto" w:line="276"/>
              <w:rPr>
                <w:sz w:val="24"/>
                <w:szCs w:val="24"/>
              </w:rPr>
            </w:pPr>
            <w:r>
              <w:rPr>
                <w:sz w:val="24"/>
                <w:szCs w:val="24"/>
              </w:rPr>
              <w:t xml:space="preserve">Юридический адрес: </w:t>
            </w:r>
            <w:r>
              <w:rPr>
                <w:sz w:val="26"/>
                <w:szCs w:val="26"/>
              </w:rPr>
              <w:t>603140, Нижегородская обл., г.о. город Нижний Новгород, г. Нижний Новгород, пер. Мотальный, д.8 помещ. ВП31, офис С1А</w:t>
            </w:r>
          </w:p>
          <w:p>
            <w:pPr>
              <w:pStyle w:val="Normal"/>
              <w:widowControl w:val="false"/>
              <w:spacing w:lineRule="auto" w:line="276"/>
              <w:rPr>
                <w:sz w:val="24"/>
                <w:szCs w:val="24"/>
              </w:rPr>
            </w:pPr>
            <w:r>
              <w:rPr>
                <w:sz w:val="24"/>
                <w:szCs w:val="24"/>
              </w:rPr>
              <w:t>Почтовый адрес:</w:t>
            </w:r>
          </w:p>
          <w:p>
            <w:pPr>
              <w:pStyle w:val="Normal"/>
              <w:widowControl w:val="false"/>
              <w:spacing w:lineRule="auto" w:line="276"/>
              <w:rPr>
                <w:sz w:val="24"/>
                <w:szCs w:val="24"/>
              </w:rPr>
            </w:pPr>
            <w:r>
              <w:rPr>
                <w:sz w:val="24"/>
                <w:szCs w:val="24"/>
              </w:rPr>
              <w:t>606520, Нижегородская обл.,</w:t>
            </w:r>
          </w:p>
          <w:p>
            <w:pPr>
              <w:pStyle w:val="Normal"/>
              <w:widowControl w:val="false"/>
              <w:spacing w:lineRule="auto" w:line="276"/>
              <w:rPr>
                <w:sz w:val="24"/>
                <w:szCs w:val="24"/>
              </w:rPr>
            </w:pPr>
            <w:r>
              <w:rPr>
                <w:sz w:val="24"/>
                <w:szCs w:val="24"/>
              </w:rPr>
              <w:t>г. Заволжье, ул. Привокзальная, д. 14.</w:t>
            </w:r>
          </w:p>
          <w:p>
            <w:pPr>
              <w:pStyle w:val="Normal"/>
              <w:widowControl w:val="false"/>
              <w:spacing w:lineRule="auto" w:line="276"/>
              <w:rPr>
                <w:b/>
                <w:sz w:val="24"/>
                <w:szCs w:val="24"/>
              </w:rPr>
            </w:pPr>
            <w:r>
              <w:rPr>
                <w:b/>
                <w:sz w:val="24"/>
                <w:szCs w:val="24"/>
              </w:rPr>
              <w:t>Грузополучатель:</w:t>
            </w:r>
          </w:p>
          <w:p>
            <w:pPr>
              <w:pStyle w:val="Normal"/>
              <w:widowControl w:val="false"/>
              <w:spacing w:lineRule="auto" w:line="276"/>
              <w:rPr/>
            </w:pPr>
            <w:r>
              <w:rPr>
                <w:sz w:val="24"/>
                <w:szCs w:val="24"/>
              </w:rPr>
              <w:t>Обособленное подразделение АО «Гидроремонт-ВКК» Нижегородский производственный участок</w:t>
            </w:r>
          </w:p>
          <w:p>
            <w:pPr>
              <w:pStyle w:val="Normal"/>
              <w:widowControl w:val="false"/>
              <w:spacing w:lineRule="auto" w:line="276"/>
              <w:rPr>
                <w:sz w:val="24"/>
                <w:szCs w:val="24"/>
              </w:rPr>
            </w:pPr>
            <w:r>
              <w:rPr>
                <w:sz w:val="24"/>
                <w:szCs w:val="24"/>
              </w:rPr>
              <w:t>606520, РФ, Нижегородская обл., г. Заволжье ул. Привокзальная, д. 14.</w:t>
            </w:r>
          </w:p>
          <w:p>
            <w:pPr>
              <w:pStyle w:val="Normal"/>
              <w:widowControl w:val="false"/>
              <w:spacing w:lineRule="auto" w:line="276"/>
              <w:rPr>
                <w:sz w:val="24"/>
                <w:szCs w:val="24"/>
              </w:rPr>
            </w:pPr>
            <w:r>
              <w:rPr>
                <w:sz w:val="24"/>
                <w:szCs w:val="24"/>
              </w:rPr>
              <w:t>ИНН/КПП 6345012488/524845002</w:t>
            </w:r>
          </w:p>
          <w:p>
            <w:pPr>
              <w:pStyle w:val="Normal"/>
              <w:widowControl w:val="false"/>
              <w:spacing w:lineRule="auto" w:line="276"/>
              <w:rPr>
                <w:sz w:val="24"/>
                <w:szCs w:val="24"/>
              </w:rPr>
            </w:pPr>
            <w:r>
              <w:rPr>
                <w:b/>
                <w:sz w:val="24"/>
                <w:szCs w:val="24"/>
              </w:rPr>
              <w:t>Плательщик:</w:t>
            </w:r>
            <w:r>
              <w:rPr>
                <w:sz w:val="24"/>
                <w:szCs w:val="24"/>
              </w:rPr>
              <w:t xml:space="preserve"> Чебоксарский филиал</w:t>
            </w:r>
          </w:p>
          <w:p>
            <w:pPr>
              <w:pStyle w:val="Normal"/>
              <w:widowControl w:val="false"/>
              <w:spacing w:lineRule="auto" w:line="276"/>
              <w:rPr>
                <w:sz w:val="24"/>
                <w:szCs w:val="24"/>
              </w:rPr>
            </w:pPr>
            <w:r>
              <w:rPr>
                <w:sz w:val="24"/>
                <w:szCs w:val="24"/>
              </w:rPr>
              <w:t>АО «Гидроремонт-ВКК» в г. Новочебоксарск</w:t>
            </w:r>
          </w:p>
          <w:p>
            <w:pPr>
              <w:pStyle w:val="Normal"/>
              <w:widowControl w:val="false"/>
              <w:spacing w:lineRule="auto" w:line="276"/>
              <w:rPr>
                <w:sz w:val="24"/>
                <w:szCs w:val="24"/>
              </w:rPr>
            </w:pPr>
            <w:r>
              <w:rPr>
                <w:sz w:val="24"/>
                <w:szCs w:val="24"/>
              </w:rPr>
              <w:t>ИНН / КПП плательщика:</w:t>
            </w:r>
          </w:p>
          <w:p>
            <w:pPr>
              <w:pStyle w:val="Normal"/>
              <w:widowControl w:val="false"/>
              <w:spacing w:lineRule="auto" w:line="276"/>
              <w:rPr>
                <w:sz w:val="24"/>
                <w:szCs w:val="24"/>
              </w:rPr>
            </w:pPr>
            <w:r>
              <w:rPr>
                <w:sz w:val="24"/>
                <w:szCs w:val="24"/>
              </w:rPr>
              <w:t>6345012488 / 212443001</w:t>
            </w:r>
          </w:p>
          <w:p>
            <w:pPr>
              <w:pStyle w:val="Normal"/>
              <w:widowControl w:val="false"/>
              <w:spacing w:lineRule="auto" w:line="276"/>
              <w:rPr>
                <w:sz w:val="24"/>
                <w:szCs w:val="24"/>
              </w:rPr>
            </w:pPr>
            <w:r>
              <w:rPr>
                <w:sz w:val="24"/>
                <w:szCs w:val="24"/>
              </w:rPr>
              <w:t>Наименование банка:</w:t>
            </w:r>
          </w:p>
          <w:p>
            <w:pPr>
              <w:pStyle w:val="Normal"/>
              <w:widowControl w:val="false"/>
              <w:spacing w:lineRule="auto" w:line="276"/>
              <w:rPr>
                <w:sz w:val="24"/>
                <w:szCs w:val="22"/>
              </w:rPr>
            </w:pPr>
            <w:r>
              <w:rPr>
                <w:sz w:val="24"/>
                <w:szCs w:val="22"/>
              </w:rPr>
              <w:t>Банк ГПБ (АО), г. Москва</w:t>
            </w:r>
          </w:p>
          <w:p>
            <w:pPr>
              <w:pStyle w:val="Normal"/>
              <w:widowControl w:val="false"/>
              <w:spacing w:lineRule="auto" w:line="276"/>
              <w:rPr>
                <w:sz w:val="24"/>
                <w:szCs w:val="22"/>
              </w:rPr>
            </w:pPr>
            <w:r>
              <w:rPr>
                <w:sz w:val="24"/>
                <w:szCs w:val="22"/>
              </w:rPr>
              <w:t>р/сч: 40702810600000050082</w:t>
            </w:r>
          </w:p>
          <w:p>
            <w:pPr>
              <w:pStyle w:val="Normal"/>
              <w:widowControl w:val="false"/>
              <w:spacing w:lineRule="auto" w:line="276"/>
              <w:rPr>
                <w:sz w:val="24"/>
                <w:szCs w:val="22"/>
              </w:rPr>
            </w:pPr>
            <w:r>
              <w:rPr>
                <w:sz w:val="24"/>
                <w:szCs w:val="22"/>
              </w:rPr>
              <w:t>к/сч: 30101810200000000823</w:t>
            </w:r>
          </w:p>
          <w:p>
            <w:pPr>
              <w:pStyle w:val="Normal"/>
              <w:widowControl w:val="false"/>
              <w:spacing w:lineRule="auto" w:line="276"/>
              <w:rPr>
                <w:sz w:val="24"/>
                <w:szCs w:val="22"/>
              </w:rPr>
            </w:pPr>
            <w:r>
              <w:rPr>
                <w:sz w:val="24"/>
                <w:szCs w:val="22"/>
              </w:rPr>
              <w:t>БИК: 044525823</w:t>
            </w:r>
          </w:p>
          <w:p>
            <w:pPr>
              <w:pStyle w:val="Normal"/>
              <w:widowControl w:val="false"/>
              <w:spacing w:lineRule="auto" w:line="276"/>
              <w:rPr>
                <w:sz w:val="24"/>
                <w:szCs w:val="24"/>
              </w:rPr>
            </w:pPr>
            <w:r>
              <w:rPr>
                <w:sz w:val="24"/>
                <w:szCs w:val="24"/>
              </w:rPr>
              <w:t>Тел/факс (83161)79696</w:t>
            </w:r>
          </w:p>
          <w:p>
            <w:pPr>
              <w:pStyle w:val="Normal"/>
              <w:widowControl w:val="false"/>
              <w:spacing w:lineRule="auto" w:line="276"/>
              <w:rPr>
                <w:lang w:val="en-US"/>
              </w:rPr>
            </w:pPr>
            <w:r>
              <w:rPr>
                <w:sz w:val="24"/>
                <w:szCs w:val="24"/>
              </w:rPr>
              <w:t>Е</w:t>
            </w:r>
            <w:r>
              <w:rPr>
                <w:sz w:val="24"/>
                <w:szCs w:val="24"/>
                <w:lang w:val="en-US"/>
              </w:rPr>
              <w:t xml:space="preserve">-mail: </w:t>
            </w:r>
            <w:hyperlink r:id="rId5">
              <w:r>
                <w:rPr>
                  <w:rStyle w:val="12"/>
                  <w:sz w:val="24"/>
                  <w:szCs w:val="24"/>
                  <w:lang w:val="en-US"/>
                </w:rPr>
                <w:t>zavolzhje@rushydro.ru</w:t>
              </w:r>
            </w:hyperlink>
          </w:p>
        </w:tc>
        <w:tc>
          <w:tcPr>
            <w:tcW w:w="4786" w:type="dxa"/>
            <w:tcBorders/>
            <w:shd w:color="auto" w:fill="auto" w:val="clear"/>
          </w:tcPr>
          <w:p>
            <w:pPr>
              <w:pStyle w:val="Normal"/>
              <w:widowControl w:val="false"/>
              <w:rPr>
                <w:sz w:val="24"/>
                <w:szCs w:val="24"/>
                <w:lang w:val="en-US"/>
              </w:rPr>
            </w:pPr>
            <w:r>
              <w:rPr>
                <w:sz w:val="24"/>
                <w:szCs w:val="24"/>
                <w:lang w:val="en-US"/>
              </w:rPr>
            </w:r>
          </w:p>
        </w:tc>
      </w:tr>
      <w:tr>
        <w:trPr/>
        <w:tc>
          <w:tcPr>
            <w:tcW w:w="4927" w:type="dxa"/>
            <w:tcBorders/>
            <w:shd w:color="auto" w:fill="auto" w:val="clear"/>
          </w:tcPr>
          <w:p>
            <w:pPr>
              <w:pStyle w:val="Normal"/>
              <w:widowControl w:val="false"/>
              <w:spacing w:lineRule="auto" w:line="276"/>
              <w:rPr>
                <w:sz w:val="24"/>
                <w:szCs w:val="24"/>
                <w:lang w:val="en-US"/>
              </w:rPr>
            </w:pPr>
            <w:r>
              <w:rPr>
                <w:sz w:val="24"/>
                <w:szCs w:val="24"/>
                <w:lang w:val="en-US"/>
              </w:rPr>
            </w:r>
          </w:p>
          <w:p>
            <w:pPr>
              <w:pStyle w:val="Normal"/>
              <w:widowControl w:val="false"/>
              <w:spacing w:lineRule="auto" w:line="276"/>
              <w:rPr>
                <w:sz w:val="24"/>
                <w:szCs w:val="24"/>
                <w:lang w:val="en-US"/>
              </w:rPr>
            </w:pPr>
            <w:r>
              <w:rPr>
                <w:sz w:val="24"/>
                <w:szCs w:val="24"/>
                <w:lang w:val="en-US"/>
              </w:rPr>
            </w:r>
          </w:p>
          <w:p>
            <w:pPr>
              <w:pStyle w:val="Normal"/>
              <w:widowControl w:val="false"/>
              <w:spacing w:lineRule="auto" w:line="276"/>
              <w:rPr>
                <w:sz w:val="24"/>
                <w:szCs w:val="24"/>
              </w:rPr>
            </w:pPr>
            <w:r>
              <w:rPr>
                <w:sz w:val="24"/>
                <w:szCs w:val="24"/>
              </w:rPr>
              <w:t>_______________ / _________ /</w:t>
            </w:r>
          </w:p>
          <w:p>
            <w:pPr>
              <w:pStyle w:val="Normal"/>
              <w:widowControl w:val="false"/>
              <w:spacing w:lineRule="auto" w:line="276"/>
              <w:rPr>
                <w:sz w:val="24"/>
                <w:szCs w:val="24"/>
              </w:rPr>
            </w:pPr>
            <w:r>
              <w:rPr>
                <w:sz w:val="24"/>
                <w:szCs w:val="24"/>
              </w:rPr>
              <w:t>м. п.</w:t>
            </w:r>
          </w:p>
        </w:tc>
        <w:tc>
          <w:tcPr>
            <w:tcW w:w="4786" w:type="dxa"/>
            <w:tcBorders/>
            <w:shd w:color="auto" w:fill="auto" w:val="clear"/>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 / _________ /</w:t>
            </w:r>
          </w:p>
          <w:p>
            <w:pPr>
              <w:pStyle w:val="Normal"/>
              <w:widowControl w:val="false"/>
              <w:spacing w:lineRule="auto" w:line="276"/>
              <w:rPr>
                <w:sz w:val="22"/>
                <w:szCs w:val="22"/>
                <w:highlight w:val="yellow"/>
              </w:rPr>
            </w:pPr>
            <w:r>
              <w:rPr>
                <w:sz w:val="24"/>
                <w:szCs w:val="24"/>
              </w:rPr>
              <w:t>м.п.</w:t>
            </w:r>
          </w:p>
        </w:tc>
      </w:tr>
    </w:tbl>
    <w:p>
      <w:pPr>
        <w:sectPr>
          <w:footerReference w:type="default" r:id="rId6"/>
          <w:footnotePr>
            <w:numFmt w:val="decimal"/>
          </w:footnotePr>
          <w:type w:val="nextPage"/>
          <w:pgSz w:w="11906" w:h="16838"/>
          <w:pgMar w:left="1701" w:right="849" w:gutter="0" w:header="0" w:top="1134" w:footer="720" w:bottom="1134"/>
          <w:pgNumType w:fmt="decimal"/>
          <w:formProt w:val="false"/>
          <w:textDirection w:val="lrTb"/>
          <w:docGrid w:type="default" w:linePitch="280" w:charSpace="50790"/>
        </w:sectPr>
      </w:pPr>
    </w:p>
    <w:p>
      <w:pPr>
        <w:pStyle w:val="BodyText"/>
        <w:jc w:val="right"/>
        <w:rPr>
          <w:b/>
          <w:bCs/>
          <w:szCs w:val="22"/>
        </w:rPr>
      </w:pPr>
      <w:r>
        <w:rPr/>
        <w:br/>
      </w: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r>
    </w:p>
    <w:tbl>
      <w:tblPr>
        <w:tblW w:w="10349" w:type="dxa"/>
        <w:jc w:val="left"/>
        <w:tblInd w:w="-63" w:type="dxa"/>
        <w:tblLayout w:type="fixed"/>
        <w:tblCellMar>
          <w:top w:w="0" w:type="dxa"/>
          <w:left w:w="108" w:type="dxa"/>
          <w:bottom w:w="0" w:type="dxa"/>
          <w:right w:w="108" w:type="dxa"/>
        </w:tblCellMar>
        <w:tblLook w:val="04a0" w:noHBand="0" w:noVBand="1" w:firstColumn="1" w:lastRow="0" w:lastColumn="0" w:firstRow="1"/>
      </w:tblPr>
      <w:tblGrid>
        <w:gridCol w:w="993"/>
        <w:gridCol w:w="1704"/>
        <w:gridCol w:w="1678"/>
        <w:gridCol w:w="876"/>
        <w:gridCol w:w="706"/>
        <w:gridCol w:w="1010"/>
        <w:gridCol w:w="1858"/>
        <w:gridCol w:w="1522"/>
      </w:tblGrid>
      <w:tr>
        <w:trPr>
          <w:trHeight w:val="51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2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2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uppressAutoHyphens w:val="false"/>
        <w:spacing w:before="0" w:after="120"/>
        <w:ind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0"/>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1"/>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vertAnchor="text" w:horzAnchor="margin" w:leftFromText="180" w:rightFromText="180" w:tblpX="0"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jc w:val="right"/>
        <w:rPr>
          <w:b/>
          <w:bCs/>
          <w:szCs w:val="22"/>
        </w:rPr>
      </w:pPr>
      <w:r>
        <w:rPr>
          <w:b/>
          <w:bCs/>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Normal"/>
        <w:numPr>
          <w:ilvl w:val="0"/>
          <w:numId w:val="0"/>
        </w:numPr>
        <w:spacing w:before="0" w:after="120"/>
        <w:ind w:firstLine="567"/>
        <w:jc w:val="center"/>
        <w:outlineLvl w:val="0"/>
        <w:rPr>
          <w:b/>
          <w:sz w:val="22"/>
          <w:szCs w:val="22"/>
        </w:rPr>
      </w:pPr>
      <w:r>
        <w:rPr>
          <w:b/>
          <w:sz w:val="22"/>
          <w:szCs w:val="22"/>
        </w:rPr>
      </w:r>
    </w:p>
    <w:p>
      <w:pPr>
        <w:pStyle w:val="BodyText"/>
        <w:numPr>
          <w:ilvl w:val="0"/>
          <w:numId w:val="0"/>
        </w:numPr>
        <w:spacing w:before="0" w:after="120"/>
        <w:ind w:firstLine="567"/>
        <w:jc w:val="right"/>
        <w:outlineLvl w:val="0"/>
        <w:rPr>
          <w:b/>
          <w:bCs/>
          <w:sz w:val="24"/>
          <w:szCs w:val="24"/>
        </w:rPr>
      </w:pPr>
      <w:r>
        <w:rPr>
          <w:b/>
          <w:bCs/>
          <w:sz w:val="24"/>
          <w:szCs w:val="24"/>
        </w:rPr>
        <w:t>Приложение № 2</w:t>
      </w:r>
    </w:p>
    <w:p>
      <w:pPr>
        <w:pStyle w:val="BodyText"/>
        <w:numPr>
          <w:ilvl w:val="0"/>
          <w:numId w:val="0"/>
        </w:numPr>
        <w:spacing w:before="0" w:after="120"/>
        <w:ind w:firstLine="567"/>
        <w:jc w:val="right"/>
        <w:outlineLvl w:val="0"/>
        <w:rPr>
          <w:b/>
          <w:bCs/>
          <w:sz w:val="24"/>
          <w:szCs w:val="24"/>
        </w:rPr>
      </w:pPr>
      <w:r>
        <w:rPr>
          <w:b/>
          <w:bCs/>
          <w:sz w:val="24"/>
          <w:szCs w:val="24"/>
        </w:rPr>
        <w:t>к договору поставки №______</w:t>
      </w:r>
    </w:p>
    <w:p>
      <w:pPr>
        <w:pStyle w:val="BodyText"/>
        <w:numPr>
          <w:ilvl w:val="0"/>
          <w:numId w:val="0"/>
        </w:numPr>
        <w:spacing w:before="0" w:after="120"/>
        <w:ind w:firstLine="567"/>
        <w:jc w:val="right"/>
        <w:outlineLvl w:val="0"/>
        <w:rPr>
          <w:b/>
          <w:bCs/>
          <w:sz w:val="24"/>
          <w:szCs w:val="24"/>
        </w:rPr>
      </w:pPr>
      <w:r>
        <w:rPr>
          <w:b/>
          <w:bCs/>
          <w:sz w:val="24"/>
          <w:szCs w:val="24"/>
        </w:rPr>
        <w:t>от «__» _____ 2026 г.</w:t>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center"/>
        <w:outlineLvl w:val="0"/>
        <w:rPr>
          <w:b/>
          <w:bCs/>
          <w:sz w:val="24"/>
          <w:szCs w:val="24"/>
        </w:rPr>
      </w:pPr>
      <w:r>
        <w:rPr>
          <w:b/>
          <w:bCs/>
          <w:sz w:val="24"/>
          <w:szCs w:val="24"/>
        </w:rPr>
        <w:t>Технические требования</w:t>
      </w:r>
    </w:p>
    <w:p>
      <w:pPr>
        <w:pStyle w:val="Normal"/>
        <w:keepLines/>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p>
      <w:pPr>
        <w:pStyle w:val="Normal"/>
        <w:spacing w:before="240" w:after="60"/>
        <w:rPr>
          <w:sz w:val="24"/>
          <w:szCs w:val="24"/>
        </w:rPr>
      </w:pPr>
      <w:r>
        <w:rPr>
          <w:sz w:val="24"/>
          <w:szCs w:val="24"/>
        </w:rPr>
      </w:r>
    </w:p>
    <w:tbl>
      <w:tblPr>
        <w:tblpPr w:vertAnchor="text" w:horzAnchor="margin" w:leftFromText="180" w:rightFromText="180" w:tblpX="0"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p>
          <w:p>
            <w:pPr>
              <w:pStyle w:val="Normal"/>
              <w:widowControl w:val="false"/>
              <w:rPr>
                <w:sz w:val="24"/>
                <w:szCs w:val="24"/>
              </w:rPr>
            </w:pPr>
            <w:r>
              <w:rPr>
                <w:sz w:val="24"/>
                <w:szCs w:val="24"/>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p>
          <w:p>
            <w:pPr>
              <w:pStyle w:val="Normal"/>
              <w:widowControl w:val="false"/>
              <w:suppressAutoHyphens w:val="false"/>
              <w:spacing w:before="0" w:after="120"/>
              <w:ind w:firstLine="567"/>
              <w:rPr>
                <w:sz w:val="22"/>
                <w:szCs w:val="24"/>
                <w:lang w:eastAsia="en-US"/>
              </w:rPr>
            </w:pPr>
            <w:r>
              <w:rPr>
                <w:sz w:val="22"/>
                <w:szCs w:val="24"/>
                <w:lang w:eastAsia="en-US"/>
              </w:rPr>
            </w:r>
          </w:p>
        </w:tc>
      </w:tr>
      <w:tr>
        <w:trPr/>
        <w:tc>
          <w:tcPr>
            <w:tcW w:w="4785" w:type="dxa"/>
            <w:tcBorders/>
            <w:shd w:color="auto" w:fill="FFFFFF" w:themeFill="background1" w:val="clear"/>
          </w:tcPr>
          <w:p>
            <w:pPr>
              <w:pStyle w:val="Normal"/>
              <w:widowControl w:val="false"/>
              <w:suppressAutoHyphens w:val="false"/>
              <w:spacing w:before="0" w:after="120"/>
              <w:rPr>
                <w:sz w:val="24"/>
                <w:szCs w:val="24"/>
                <w:lang w:eastAsia="en-US"/>
              </w:rPr>
            </w:pPr>
            <w:r>
              <w:rPr>
                <w:sz w:val="24"/>
                <w:szCs w:val="24"/>
                <w:lang w:eastAsia="en-US"/>
              </w:rPr>
              <w:t>_______________ / ________ /</w:t>
            </w:r>
          </w:p>
          <w:p>
            <w:pPr>
              <w:pStyle w:val="Normal"/>
              <w:widowControl w:val="false"/>
              <w:suppressAutoHyphens w:val="false"/>
              <w:spacing w:before="0" w:after="120"/>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Normal"/>
        <w:numPr>
          <w:ilvl w:val="0"/>
          <w:numId w:val="0"/>
        </w:numPr>
        <w:spacing w:before="0" w:after="120"/>
        <w:ind w:firstLine="567"/>
        <w:jc w:val="center"/>
        <w:outlineLvl w:val="0"/>
        <w:rPr>
          <w:b/>
          <w:bCs/>
          <w:sz w:val="24"/>
          <w:szCs w:val="24"/>
        </w:rPr>
      </w:pPr>
      <w:r>
        <w:rPr>
          <w:b/>
          <w:bCs/>
          <w:sz w:val="24"/>
          <w:szCs w:val="24"/>
        </w:rPr>
      </w:r>
    </w:p>
    <w:p>
      <w:pPr>
        <w:pStyle w:val="BodyText"/>
        <w:numPr>
          <w:ilvl w:val="0"/>
          <w:numId w:val="0"/>
        </w:numPr>
        <w:spacing w:before="0" w:after="120"/>
        <w:ind w:firstLine="567"/>
        <w:jc w:val="center"/>
        <w:outlineLvl w:val="0"/>
        <w:rPr>
          <w:b/>
          <w:bCs/>
          <w:sz w:val="24"/>
          <w:szCs w:val="24"/>
        </w:rPr>
      </w:pPr>
      <w:r>
        <w:rPr>
          <w:b/>
          <w:bCs/>
          <w:sz w:val="24"/>
          <w:szCs w:val="24"/>
        </w:rPr>
      </w:r>
    </w:p>
    <w:p>
      <w:pPr>
        <w:pStyle w:val="BodyText"/>
        <w:numPr>
          <w:ilvl w:val="0"/>
          <w:numId w:val="0"/>
        </w:numPr>
        <w:spacing w:before="0" w:after="120"/>
        <w:ind w:firstLine="567"/>
        <w:jc w:val="center"/>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r>
    </w:p>
    <w:sectPr>
      <w:headerReference w:type="default" r:id="rId7"/>
      <w:footerReference w:type="default" r:id="rId8"/>
      <w:footerReference w:type="first" r:id="rId9"/>
      <w:footnotePr>
        <w:numFmt w:val="decimal"/>
      </w:footnotePr>
      <w:type w:val="nextPage"/>
      <w:pgSz w:orient="landscape" w:w="16838" w:h="11906"/>
      <w:pgMar w:left="1134" w:right="1134" w:gutter="0" w:header="720" w:top="1134" w:footer="720" w:bottom="1418"/>
      <w:pgNumType w:fmt="decimal"/>
      <w:formProt w:val="false"/>
      <w:textDirection w:val="lrTb"/>
      <w:docGrid w:type="default" w:linePitch="280" w:charSpace="5079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8">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19</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19</w:t>
                    </w:r>
                    <w: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9540" cy="145415"/>
              <wp:effectExtent l="0" t="0" r="0" b="0"/>
              <wp:wrapSquare wrapText="bothSides"/>
              <wp:docPr id="3" name="Врезка4"/>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23</w:t>
                          </w:r>
                          <w: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18.25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23</w:t>
                    </w:r>
                    <w: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7"/>
        </w:rPr>
        <w:footnoteRef/>
      </w:r>
      <w:r>
        <w:rPr/>
        <w:t xml:space="preserve"> </w:t>
      </w:r>
      <w:r>
        <w:rPr/>
        <w:t>Применяется в случае, если Поставщик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3">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3">
    <w:lvl w:ilvl="0">
      <w:start w:val="1"/>
      <w:numFmt w:val="decimal"/>
      <w:suff w:val="nothing"/>
      <w:lvlText w:val="%1."/>
      <w:lvlJc w:val="left"/>
      <w:pPr>
        <w:tabs>
          <w:tab w:val="num" w:pos="0"/>
        </w:tabs>
        <w:ind w:left="360" w:hanging="360"/>
      </w:pPr>
      <w:rPr/>
    </w:lvl>
    <w:lvl w:ilvl="1">
      <w:start w:val="1"/>
      <w:numFmt w:val="decimal"/>
      <w:suff w:val="nothing"/>
      <w:lvlText w:val="%1.%2."/>
      <w:lvlJc w:val="left"/>
      <w:pPr>
        <w:tabs>
          <w:tab w:val="num" w:pos="0"/>
        </w:tabs>
        <w:ind w:left="792" w:hanging="432"/>
      </w:pPr>
      <w:rPr/>
    </w:lvl>
    <w:lvl w:ilvl="2">
      <w:start w:val="1"/>
      <w:numFmt w:val="decimal"/>
      <w:suff w:val="nothing"/>
      <w:lvlText w:val="%1.%2.%3."/>
      <w:lvlJc w:val="left"/>
      <w:pPr>
        <w:tabs>
          <w:tab w:val="num" w:pos="0"/>
        </w:tabs>
        <w:ind w:left="1224" w:hanging="504"/>
      </w:pPr>
      <w:rPr/>
    </w:lvl>
    <w:lvl w:ilvl="3">
      <w:start w:val="1"/>
      <w:numFmt w:val="decimal"/>
      <w:suff w:val="nothing"/>
      <w:lvlText w:val="%1.%2.%3.%4."/>
      <w:lvlJc w:val="left"/>
      <w:pPr>
        <w:tabs>
          <w:tab w:val="num" w:pos="0"/>
        </w:tabs>
        <w:ind w:left="1728" w:hanging="648"/>
      </w:pPr>
      <w:rPr/>
    </w:lvl>
    <w:lvl w:ilvl="4">
      <w:start w:val="1"/>
      <w:numFmt w:val="decimal"/>
      <w:suff w:val="nothing"/>
      <w:lvlText w:val="%1.%2.%3.%4.%5."/>
      <w:lvlJc w:val="left"/>
      <w:pPr>
        <w:tabs>
          <w:tab w:val="num" w:pos="0"/>
        </w:tabs>
        <w:ind w:left="2232" w:hanging="792"/>
      </w:pPr>
      <w:rPr/>
    </w:lvl>
    <w:lvl w:ilvl="5">
      <w:start w:val="1"/>
      <w:numFmt w:val="decimal"/>
      <w:suff w:val="nothing"/>
      <w:lvlText w:val="%1.%2.%3.%4.%5.%6."/>
      <w:lvlJc w:val="left"/>
      <w:pPr>
        <w:tabs>
          <w:tab w:val="num" w:pos="0"/>
        </w:tabs>
        <w:ind w:left="2736" w:hanging="936"/>
      </w:pPr>
      <w:rPr/>
    </w:lvl>
    <w:lvl w:ilvl="6">
      <w:start w:val="1"/>
      <w:numFmt w:val="decimal"/>
      <w:suff w:val="nothing"/>
      <w:lvlText w:val="%1.%2.%3.%4.%5.%6.%7."/>
      <w:lvlJc w:val="left"/>
      <w:pPr>
        <w:tabs>
          <w:tab w:val="num" w:pos="0"/>
        </w:tabs>
        <w:ind w:left="3240" w:hanging="1080"/>
      </w:pPr>
      <w:rPr/>
    </w:lvl>
    <w:lvl w:ilvl="7">
      <w:start w:val="1"/>
      <w:numFmt w:val="decimal"/>
      <w:suff w:val="nothing"/>
      <w:lvlText w:val="%1.%2.%3.%4.%5.%6.%7.%8."/>
      <w:lvlJc w:val="left"/>
      <w:pPr>
        <w:tabs>
          <w:tab w:val="num" w:pos="0"/>
        </w:tabs>
        <w:ind w:left="3744" w:hanging="1224"/>
      </w:pPr>
      <w:rPr/>
    </w:lvl>
    <w:lvl w:ilvl="8">
      <w:start w:val="1"/>
      <w:numFmt w:val="decimal"/>
      <w:suff w:val="nothing"/>
      <w:lvlText w:val="%1.%2.%3.%4.%5.%6.%7.%8.%9."/>
      <w:lvlJc w:val="left"/>
      <w:pPr>
        <w:tabs>
          <w:tab w:val="num" w:pos="0"/>
        </w:tabs>
        <w:ind w:left="4320" w:hanging="1440"/>
      </w:pPr>
      <w:rPr/>
    </w:lvl>
  </w:abstractNum>
  <w:abstractNum w:abstractNumId="14">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5">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6">
    <w:lvl w:ilvl="0">
      <w:start w:val="1"/>
      <w:numFmt w:val="bullet"/>
      <w:suff w:val="nothing"/>
      <w:lvlText w:val=""/>
      <w:lvlJc w:val="left"/>
      <w:pPr>
        <w:tabs>
          <w:tab w:val="num" w:pos="0"/>
        </w:tabs>
        <w:ind w:left="1429" w:hanging="360"/>
      </w:pPr>
      <w:rPr>
        <w:rFonts w:ascii="Symbol" w:hAnsi="Symbol" w:cs="Symbol" w:hint="default"/>
      </w:rPr>
    </w:lvl>
    <w:lvl w:ilvl="1">
      <w:start w:val="1"/>
      <w:numFmt w:val="bullet"/>
      <w:suff w:val="nothing"/>
      <w:lvlText w:val="o"/>
      <w:lvlJc w:val="left"/>
      <w:pPr>
        <w:tabs>
          <w:tab w:val="num" w:pos="0"/>
        </w:tabs>
        <w:ind w:left="2149" w:hanging="360"/>
      </w:pPr>
      <w:rPr>
        <w:rFonts w:ascii="Courier New" w:hAnsi="Courier New" w:cs="Courier New" w:hint="default"/>
      </w:rPr>
    </w:lvl>
    <w:lvl w:ilvl="2">
      <w:start w:val="1"/>
      <w:numFmt w:val="bullet"/>
      <w:suff w:val="nothing"/>
      <w:lvlText w:val=""/>
      <w:lvlJc w:val="left"/>
      <w:pPr>
        <w:tabs>
          <w:tab w:val="num" w:pos="0"/>
        </w:tabs>
        <w:ind w:left="2869" w:hanging="360"/>
      </w:pPr>
      <w:rPr>
        <w:rFonts w:ascii="Wingdings" w:hAnsi="Wingdings" w:cs="Wingdings" w:hint="default"/>
      </w:rPr>
    </w:lvl>
    <w:lvl w:ilvl="3">
      <w:start w:val="1"/>
      <w:numFmt w:val="bullet"/>
      <w:suff w:val="nothing"/>
      <w:lvlText w:val=""/>
      <w:lvlJc w:val="left"/>
      <w:pPr>
        <w:tabs>
          <w:tab w:val="num" w:pos="0"/>
        </w:tabs>
        <w:ind w:left="3589" w:hanging="360"/>
      </w:pPr>
      <w:rPr>
        <w:rFonts w:ascii="Symbol" w:hAnsi="Symbol" w:cs="Symbol" w:hint="default"/>
      </w:rPr>
    </w:lvl>
    <w:lvl w:ilvl="4">
      <w:start w:val="1"/>
      <w:numFmt w:val="bullet"/>
      <w:suff w:val="nothing"/>
      <w:lvlText w:val="o"/>
      <w:lvlJc w:val="left"/>
      <w:pPr>
        <w:tabs>
          <w:tab w:val="num" w:pos="0"/>
        </w:tabs>
        <w:ind w:left="4309" w:hanging="360"/>
      </w:pPr>
      <w:rPr>
        <w:rFonts w:ascii="Courier New" w:hAnsi="Courier New" w:cs="Courier New" w:hint="default"/>
      </w:rPr>
    </w:lvl>
    <w:lvl w:ilvl="5">
      <w:start w:val="1"/>
      <w:numFmt w:val="bullet"/>
      <w:suff w:val="nothing"/>
      <w:lvlText w:val=""/>
      <w:lvlJc w:val="left"/>
      <w:pPr>
        <w:tabs>
          <w:tab w:val="num" w:pos="0"/>
        </w:tabs>
        <w:ind w:left="5029" w:hanging="360"/>
      </w:pPr>
      <w:rPr>
        <w:rFonts w:ascii="Wingdings" w:hAnsi="Wingdings" w:cs="Wingdings" w:hint="default"/>
      </w:rPr>
    </w:lvl>
    <w:lvl w:ilvl="6">
      <w:start w:val="1"/>
      <w:numFmt w:val="bullet"/>
      <w:suff w:val="nothing"/>
      <w:lvlText w:val=""/>
      <w:lvlJc w:val="left"/>
      <w:pPr>
        <w:tabs>
          <w:tab w:val="num" w:pos="0"/>
        </w:tabs>
        <w:ind w:left="5749" w:hanging="360"/>
      </w:pPr>
      <w:rPr>
        <w:rFonts w:ascii="Symbol" w:hAnsi="Symbol" w:cs="Symbol" w:hint="default"/>
      </w:rPr>
    </w:lvl>
    <w:lvl w:ilvl="7">
      <w:start w:val="1"/>
      <w:numFmt w:val="bullet"/>
      <w:suff w:val="nothing"/>
      <w:lvlText w:val="o"/>
      <w:lvlJc w:val="left"/>
      <w:pPr>
        <w:tabs>
          <w:tab w:val="num" w:pos="0"/>
        </w:tabs>
        <w:ind w:left="6469" w:hanging="360"/>
      </w:pPr>
      <w:rPr>
        <w:rFonts w:ascii="Courier New" w:hAnsi="Courier New" w:cs="Courier New" w:hint="default"/>
      </w:rPr>
    </w:lvl>
    <w:lvl w:ilvl="8">
      <w:start w:val="1"/>
      <w:numFmt w:val="bullet"/>
      <w:suff w:val="nothing"/>
      <w:lvlText w:val=""/>
      <w:lvlJc w:val="left"/>
      <w:pPr>
        <w:tabs>
          <w:tab w:val="num" w:pos="0"/>
        </w:tabs>
        <w:ind w:left="7189" w:hanging="360"/>
      </w:pPr>
      <w:rPr>
        <w:rFonts w:ascii="Wingdings" w:hAnsi="Wingdings" w:cs="Wingdings" w:hint="default"/>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2"/>
    <w:lvlOverride w:ilvl="0">
      <w:startOverride w:val="1"/>
    </w:lvlOverride>
  </w:num>
  <w:num w:numId="19">
    <w:abstractNumId w:val="12"/>
    <w:lvlOverride w:ilvl="0">
      <w:lvl w:ilvl="0">
        <w:start w:val="1"/>
        <w:numFmt w:val="decimal"/>
        <w:suff w:val="nothing"/>
        <w:lvlText w:val="%1."/>
        <w:lvlJc w:val="left"/>
        <w:pPr>
          <w:tabs>
            <w:tab w:val="num" w:pos="0"/>
          </w:tabs>
          <w:ind w:left="360" w:hanging="360"/>
        </w:pPr>
        <w:rPr/>
      </w:lvl>
      <w:startOverride w:val="1"/>
    </w:lvlOverride>
    <w:lvlOverride w:ilvl="0">
      <w:startOverride w:val="1"/>
    </w:lvlOverride>
    <w:lvlOverride w:ilvl="1">
      <w:lvl w:ilvl="1">
        <w:start w:val="1"/>
        <w:numFmt w:val="decimal"/>
        <w:suff w:val="nothing"/>
        <w:lvlText w:val="%1.%2."/>
        <w:lvlJc w:val="left"/>
        <w:pPr>
          <w:tabs>
            <w:tab w:val="num" w:pos="0"/>
          </w:tabs>
          <w:ind w:left="792" w:hanging="432"/>
        </w:pPr>
        <w:rPr/>
      </w:lvl>
    </w:lvlOverride>
    <w:lvlOverride w:ilvl="1">
      <w:startOverride w:val="1"/>
    </w:lvlOverride>
    <w:lvlOverride w:ilvl="2">
      <w:lvl w:ilvl="2">
        <w:start w:val="1"/>
        <w:numFmt w:val="decimal"/>
        <w:suff w:val="nothing"/>
        <w:lvlText w:val="%1.%2.%3."/>
        <w:lvlJc w:val="left"/>
        <w:pPr>
          <w:tabs>
            <w:tab w:val="num" w:pos="0"/>
          </w:tabs>
          <w:ind w:left="1224" w:hanging="504"/>
        </w:pPr>
        <w:rPr/>
      </w:lvl>
    </w:lvlOverride>
    <w:lvlOverride w:ilvl="2">
      <w:startOverride w:val="1"/>
    </w:lvlOverride>
    <w:lvlOverride w:ilvl="3">
      <w:lvl w:ilvl="3">
        <w:start w:val="1"/>
        <w:numFmt w:val="decimal"/>
        <w:suff w:val="nothing"/>
        <w:lvlText w:val="%1.%2.%3.%4."/>
        <w:lvlJc w:val="left"/>
        <w:pPr>
          <w:tabs>
            <w:tab w:val="num" w:pos="0"/>
          </w:tabs>
          <w:ind w:left="1728" w:hanging="648"/>
        </w:pPr>
        <w:rPr/>
      </w:lvl>
    </w:lvlOverride>
    <w:lvlOverride w:ilvl="3">
      <w:startOverride w:val="1"/>
    </w:lvlOverride>
    <w:lvlOverride w:ilvl="4">
      <w:lvl w:ilvl="4">
        <w:start w:val="1"/>
        <w:numFmt w:val="decimal"/>
        <w:suff w:val="nothing"/>
        <w:lvlText w:val="%1.%2.%3.%4.%5."/>
        <w:lvlJc w:val="left"/>
        <w:pPr>
          <w:tabs>
            <w:tab w:val="num" w:pos="0"/>
          </w:tabs>
          <w:ind w:left="2232" w:hanging="792"/>
        </w:pPr>
        <w:rPr/>
      </w:lvl>
    </w:lvlOverride>
    <w:lvlOverride w:ilvl="4">
      <w:startOverride w:val="1"/>
    </w:lvlOverride>
    <w:lvlOverride w:ilvl="5">
      <w:lvl w:ilvl="5">
        <w:start w:val="1"/>
        <w:numFmt w:val="decimal"/>
        <w:suff w:val="nothing"/>
        <w:lvlText w:val="%1.%2.%3.%4.%5.%6."/>
        <w:lvlJc w:val="left"/>
        <w:pPr>
          <w:tabs>
            <w:tab w:val="num" w:pos="0"/>
          </w:tabs>
          <w:ind w:left="2736" w:hanging="936"/>
        </w:pPr>
        <w:rPr/>
      </w:lvl>
    </w:lvlOverride>
    <w:lvlOverride w:ilvl="5">
      <w:startOverride w:val="1"/>
    </w:lvlOverride>
    <w:lvlOverride w:ilvl="6">
      <w:lvl w:ilvl="6">
        <w:start w:val="1"/>
        <w:numFmt w:val="decimal"/>
        <w:suff w:val="nothing"/>
        <w:lvlText w:val="%1.%2.%3.%4.%5.%6.%7."/>
        <w:lvlJc w:val="left"/>
        <w:pPr>
          <w:tabs>
            <w:tab w:val="num" w:pos="0"/>
          </w:tabs>
          <w:ind w:left="3240" w:hanging="1080"/>
        </w:pPr>
        <w:rPr/>
      </w:lvl>
    </w:lvlOverride>
    <w:lvlOverride w:ilvl="6">
      <w:startOverride w:val="1"/>
    </w:lvlOverride>
    <w:lvlOverride w:ilvl="7">
      <w:lvl w:ilvl="7">
        <w:start w:val="1"/>
        <w:numFmt w:val="decimal"/>
        <w:suff w:val="nothing"/>
        <w:lvlText w:val="%1.%2.%3.%4.%5.%6.%7.%8."/>
        <w:lvlJc w:val="left"/>
        <w:pPr>
          <w:tabs>
            <w:tab w:val="num" w:pos="0"/>
          </w:tabs>
          <w:ind w:left="3744" w:hanging="1224"/>
        </w:pPr>
        <w:rPr/>
      </w:lvl>
    </w:lvlOverride>
    <w:lvlOverride w:ilvl="7">
      <w:startOverride w:val="1"/>
    </w:lvlOverride>
    <w:lvlOverride w:ilvl="8">
      <w:lvl w:ilvl="8">
        <w:start w:val="1"/>
        <w:numFmt w:val="decimal"/>
        <w:suff w:val="nothing"/>
        <w:lvlText w:val="%1.%2.%3.%4.%5.%6.%7.%8.%9."/>
        <w:lvlJc w:val="left"/>
        <w:pPr>
          <w:tabs>
            <w:tab w:val="num" w:pos="0"/>
          </w:tabs>
          <w:ind w:left="4320" w:hanging="1440"/>
        </w:pPr>
        <w:rPr/>
      </w:lvl>
    </w:lvlOverride>
  </w:num>
  <w:num w:numId="20">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 w:numId="21">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 w:numId="22">
    <w:abstractNumId w:val="12"/>
    <w:lvlOverride w:ilvl="0">
      <w:lvl w:ilvl="0">
        <w:start w:val="1"/>
        <w:numFmt w:val="bullet"/>
        <w:suff w:val="nothing"/>
        <w:lvlText w:val=""/>
        <w:lvlJc w:val="left"/>
        <w:pPr>
          <w:tabs>
            <w:tab w:val="num" w:pos="0"/>
          </w:tabs>
          <w:ind w:left="1429" w:hanging="360"/>
        </w:pPr>
        <w:rPr>
          <w:rFonts w:ascii="Symbol" w:hAnsi="Symbol" w:cs="Symbol" w:hint="default"/>
        </w:rPr>
      </w:lvl>
      <w:startOverride w:val="1"/>
    </w:lvlOverride>
    <w:lvlOverride w:ilvl="0">
      <w:startOverride w:val="1"/>
    </w:lvlOverride>
    <w:lvlOverride w:ilvl="1">
      <w:lvl w:ilvl="1">
        <w:start w:val="1"/>
        <w:numFmt w:val="bullet"/>
        <w:suff w:val="nothing"/>
        <w:lvlText w:val="o"/>
        <w:lvlJc w:val="left"/>
        <w:pPr>
          <w:tabs>
            <w:tab w:val="num" w:pos="0"/>
          </w:tabs>
          <w:ind w:left="2149" w:hanging="360"/>
        </w:pPr>
        <w:rPr>
          <w:rFonts w:ascii="Courier New" w:hAnsi="Courier New" w:cs="Courier New" w:hint="default"/>
        </w:rPr>
      </w:lvl>
    </w:lvlOverride>
    <w:lvlOverride w:ilvl="1">
      <w:startOverride w:val="1"/>
    </w:lvlOverride>
    <w:lvlOverride w:ilvl="2">
      <w:lvl w:ilvl="2">
        <w:start w:val="1"/>
        <w:numFmt w:val="bullet"/>
        <w:suff w:val="nothing"/>
        <w:lvlText w:val=""/>
        <w:lvlJc w:val="left"/>
        <w:pPr>
          <w:tabs>
            <w:tab w:val="num" w:pos="0"/>
          </w:tabs>
          <w:ind w:left="2869" w:hanging="360"/>
        </w:pPr>
        <w:rPr>
          <w:rFonts w:ascii="Wingdings" w:hAnsi="Wingdings" w:cs="Wingdings" w:hint="default"/>
        </w:rPr>
      </w:lvl>
    </w:lvlOverride>
    <w:lvlOverride w:ilvl="2">
      <w:startOverride w:val="1"/>
    </w:lvlOverride>
    <w:lvlOverride w:ilvl="3">
      <w:lvl w:ilvl="3">
        <w:start w:val="1"/>
        <w:numFmt w:val="bullet"/>
        <w:suff w:val="nothing"/>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suff w:val="nothing"/>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suff w:val="nothing"/>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suff w:val="nothing"/>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suff w:val="nothing"/>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suff w:val="nothing"/>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137"/>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23d3b"/>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Основной текст с отступом Знак"/>
    <w:uiPriority w:val="99"/>
    <w:qFormat/>
    <w:rsid w:val="00ba4a00"/>
    <w:rPr>
      <w:b/>
      <w:bCs/>
      <w:sz w:val="28"/>
      <w:szCs w:val="24"/>
    </w:rPr>
  </w:style>
  <w:style w:type="character" w:styleId="2" w:customStyle="1">
    <w:name w:val="Основной текст с отступом 2 Знак"/>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1" w:customStyle="1">
    <w:name w:val="Текст сноски Знак1"/>
    <w:qFormat/>
    <w:rsid w:val="0066561f"/>
    <w:rPr>
      <w:sz w:val="22"/>
    </w:rPr>
  </w:style>
  <w:style w:type="character" w:styleId="3" w:customStyle="1">
    <w:name w:val="Основной текст 3 Знак"/>
    <w:qFormat/>
    <w:rsid w:val="0066561f"/>
    <w:rPr>
      <w:sz w:val="28"/>
    </w:rPr>
  </w:style>
  <w:style w:type="character" w:styleId="Annotationreference">
    <w:name w:val="annotation reference"/>
    <w:qFormat/>
    <w:rsid w:val="0066561f"/>
    <w:rPr>
      <w:sz w:val="16"/>
      <w:szCs w:val="16"/>
    </w:rPr>
  </w:style>
  <w:style w:type="character" w:styleId="Style3" w:customStyle="1">
    <w:name w:val="Текст примечания Знак"/>
    <w:basedOn w:val="DefaultParagraphFont"/>
    <w:qFormat/>
    <w:rsid w:val="0066561f"/>
    <w:rPr/>
  </w:style>
  <w:style w:type="character" w:styleId="Style4" w:customStyle="1">
    <w:name w:val="Тема примечания Знак"/>
    <w:qFormat/>
    <w:rsid w:val="0066561f"/>
    <w:rPr>
      <w:b/>
      <w:bCs/>
    </w:rPr>
  </w:style>
  <w:style w:type="character" w:styleId="31" w:customStyle="1">
    <w:name w:val="Заголовок 3 Знак"/>
    <w:qFormat/>
    <w:rsid w:val="0066561f"/>
    <w:rPr>
      <w:b/>
    </w:rPr>
  </w:style>
  <w:style w:type="character" w:styleId="11" w:customStyle="1">
    <w:name w:val="Верхний колонтитул Знак1"/>
    <w:qFormat/>
    <w:rsid w:val="0066561f"/>
    <w:rPr>
      <w:sz w:val="22"/>
      <w:shd w:fill="FFFFFF" w:val="clear"/>
    </w:rPr>
  </w:style>
  <w:style w:type="character" w:styleId="Style5" w:customStyle="1">
    <w:name w:val="комментарий"/>
    <w:uiPriority w:val="99"/>
    <w:qFormat/>
    <w:rsid w:val="0066561f"/>
    <w:rPr>
      <w:rFonts w:cs="Times New Roman"/>
      <w:i/>
      <w:iCs/>
      <w:shd w:fill="FFFF99" w:val="clear"/>
    </w:rPr>
  </w:style>
  <w:style w:type="character" w:styleId="Style6" w:customStyle="1">
    <w:name w:val="Текст сноски Знак"/>
    <w:basedOn w:val="DefaultParagraphFont"/>
    <w:uiPriority w:val="99"/>
    <w:qFormat/>
    <w:rsid w:val="0066561f"/>
    <w:rPr/>
  </w:style>
  <w:style w:type="character" w:styleId="Style7" w:customStyle="1">
    <w:name w:val="Символ сноски"/>
    <w:qFormat/>
    <w:rPr>
      <w:vertAlign w:val="superscript"/>
    </w:rPr>
  </w:style>
  <w:style w:type="character" w:styleId="FootnoteReference">
    <w:name w:val="Footnote Reference"/>
    <w:rPr>
      <w:vertAlign w:val="superscript"/>
    </w:rPr>
  </w:style>
  <w:style w:type="character" w:styleId="Style8" w:customStyle="1">
    <w:name w:val="Схема документа Знак"/>
    <w:qFormat/>
    <w:rsid w:val="0066561f"/>
    <w:rPr>
      <w:rFonts w:ascii="Tahoma" w:hAnsi="Tahoma" w:cs="Tahoma"/>
      <w:shd w:fill="000080" w:val="clear"/>
    </w:rPr>
  </w:style>
  <w:style w:type="character" w:styleId="Style9" w:customStyle="1">
    <w:name w:val="Верхний колонтитул Знак"/>
    <w:basedOn w:val="DefaultParagraphFont"/>
    <w:qFormat/>
    <w:rsid w:val="0066561f"/>
    <w:rPr/>
  </w:style>
  <w:style w:type="character" w:styleId="12" w:customStyle="1">
    <w:name w:val="Гиперссылка1"/>
    <w:basedOn w:val="DefaultParagraphFont"/>
    <w:uiPriority w:val="99"/>
    <w:unhideWhenUsed/>
    <w:qFormat/>
    <w:rsid w:val="0066722e"/>
    <w:rPr>
      <w:color w:val="0000FF" w:themeColor="hyperlink"/>
      <w:u w:val="single"/>
    </w:rPr>
  </w:style>
  <w:style w:type="character" w:styleId="Style10" w:customStyle="1">
    <w:name w:val="Абзац списка Знак"/>
    <w:uiPriority w:val="99"/>
    <w:qFormat/>
    <w:locked/>
    <w:rsid w:val="00b11d27"/>
    <w:rPr/>
  </w:style>
  <w:style w:type="character" w:styleId="13" w:customStyle="1">
    <w:name w:val="1. Статья Знак"/>
    <w:link w:val="14"/>
    <w:qFormat/>
    <w:rsid w:val="00b11d27"/>
    <w:rPr>
      <w:sz w:val="24"/>
      <w:szCs w:val="24"/>
      <w:lang w:val="x-none" w:eastAsia="x-none"/>
    </w:rPr>
  </w:style>
  <w:style w:type="character" w:styleId="Style11" w:customStyle="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Символы концевой сноски"/>
    <w:qFormat/>
    <w:rPr/>
  </w:style>
  <w:style w:type="character" w:styleId="Hyperlink">
    <w:name w:val="Hyperlink"/>
    <w:rPr>
      <w:color w:val="000080"/>
      <w:u w:val="single"/>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uiPriority w:val="99"/>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Caption1111" w:customStyle="1">
    <w:name w:val="caption1111"/>
    <w:basedOn w:val="Normal"/>
    <w:qFormat/>
    <w:pPr>
      <w:suppressLineNumbers/>
      <w:spacing w:before="120" w:after="120"/>
    </w:pPr>
    <w:rPr>
      <w:rFonts w:cs="Arial Unicode MS"/>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4" w:customStyle="1">
    <w:name w:val="Текст1"/>
    <w:basedOn w:val="Normal"/>
    <w:link w:val="13"/>
    <w:qFormat/>
    <w:rsid w:val="00e42745"/>
    <w:pPr>
      <w:spacing w:before="0" w:after="120"/>
      <w:jc w:val="both"/>
    </w:pPr>
    <w:rPr>
      <w:rFonts w:ascii="Courier New" w:hAnsi="Courier New"/>
      <w:sz w:val="22"/>
      <w:lang w:eastAsia="en-US"/>
    </w:rPr>
  </w:style>
  <w:style w:type="paragraph" w:styleId="BodyText3">
    <w:name w:val="Body Text 3"/>
    <w:basedOn w:val="Normal"/>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99"/>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eastAsia="en-US" w:val="ru-RU"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1"/>
    <w:uiPriority w:val="99"/>
    <w:qFormat/>
    <w:rsid w:val="0066561f"/>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link w:val="11"/>
    <w:rsid w:val="0066561f"/>
    <w:pPr>
      <w:widowControl w:val="false"/>
      <w:tabs>
        <w:tab w:val="clear" w:pos="720"/>
        <w:tab w:val="center" w:pos="4677" w:leader="none"/>
        <w:tab w:val="right" w:pos="9355" w:leader="none"/>
      </w:tabs>
    </w:pPr>
    <w:rPr/>
  </w:style>
  <w:style w:type="paragraph" w:styleId="15" w:customStyle="1">
    <w:name w:val="Заголовок 1 Знак"/>
    <w:basedOn w:val="Heading3"/>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footer" Target="footer1.xml"/><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25B6-4200-4941-884C-BBB9E2CF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3496</TotalTime>
  <Application>AlterOffice/2025.3.1.0$Linux_X86_64 LibreOffice_project/431cd1b79110582f53535c95ed0a2449aadc8bf9</Application>
  <AppVersion>15.0000</AppVersion>
  <Pages>23</Pages>
  <Words>6338</Words>
  <Characters>44693</Characters>
  <CharactersWithSpaces>50703</CharactersWithSpaces>
  <Paragraphs>294</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
  <cp:lastPrinted>2017-11-07T14:48:00Z</cp:lastPrinted>
  <dcterms:modified xsi:type="dcterms:W3CDTF">2026-08-26T15:02:41Z</dcterms:modified>
  <cp:revision>177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