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98562871"/>
      <w:bookmarkStart w:id="1" w:name="_Toc1416967041"/>
      <w:bookmarkStart w:id="2" w:name="_Toc1375545841"/>
      <w:bookmarkStart w:id="3" w:name="_Toc1398562871"/>
      <w:bookmarkStart w:id="4" w:name="_Toc1416967041"/>
      <w:bookmarkStart w:id="5" w:name="_Toc1375545841"/>
      <w:bookmarkEnd w:id="3"/>
      <w:bookmarkEnd w:id="4"/>
      <w:bookmarkEnd w:id="5"/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sz w:val="24"/>
          <w:szCs w:val="24"/>
        </w:rPr>
      </w:pPr>
      <w:r>
        <w:rPr>
          <w:rFonts w:eastAsia="Calibri"/>
          <w:b/>
          <w:sz w:val="24"/>
          <w:szCs w:val="24"/>
        </w:rPr>
        <w:t>Технические требования</w:t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ОКПД 2: 27.12.31 </w:t>
      </w:r>
      <w:r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оставк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щ</w:t>
      </w:r>
      <w:r>
        <w:rPr>
          <w:rFonts w:eastAsia="Calibri"/>
          <w:color w:val="000000"/>
          <w:sz w:val="24"/>
          <w:szCs w:val="24"/>
          <w:lang w:eastAsia="x-none"/>
        </w:rPr>
        <w:t xml:space="preserve">ита с розетками переносного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EVEREST EVOL </w:t>
      </w:r>
    </w:p>
    <w:p>
      <w:pPr>
        <w:pStyle w:val="Normal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для нужд Нижегородского ПУ Чебоксарского филиала </w:t>
      </w:r>
    </w:p>
    <w:p>
      <w:pPr>
        <w:pStyle w:val="Normal"/>
        <w:jc w:val="center"/>
        <w:rPr>
          <w:sz w:val="24"/>
          <w:szCs w:val="24"/>
        </w:rPr>
      </w:pPr>
      <w:r>
        <w:rPr>
          <w:color w:val="000000"/>
          <w:sz w:val="24"/>
          <w:szCs w:val="24"/>
        </w:rPr>
        <w:t>АО «Гидроремонт ВКК» г. Новочебоксарск</w:t>
      </w:r>
    </w:p>
    <w:p>
      <w:pPr>
        <w:pStyle w:val="Normal"/>
        <w:jc w:val="center"/>
        <w:rPr>
          <w:rFonts w:ascii="Times New Roman" w:hAnsi="Times New Roman"/>
        </w:rPr>
      </w:pPr>
      <w:r>
        <w:rPr>
          <w:rFonts w:eastAsia="Calibri" w:ascii="Times New Roman" w:hAnsi="Times New Roman"/>
          <w:color w:val="000000"/>
          <w:sz w:val="24"/>
          <w:szCs w:val="24"/>
        </w:rPr>
        <w:t xml:space="preserve">Лот № </w:t>
      </w:r>
      <w:r>
        <w:rPr>
          <w:rFonts w:eastAsia="Calibri"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</w:rPr>
        <w:t>0029-ТПИР ОНМ-2027-ГРВКК-ЧебФ</w:t>
      </w:r>
    </w:p>
    <w:p>
      <w:pPr>
        <w:pStyle w:val="Normal"/>
        <w:jc w:val="center"/>
        <w:rPr>
          <w:sz w:val="24"/>
          <w:szCs w:val="24"/>
        </w:rPr>
      </w:pPr>
      <w:r>
        <w:rPr/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3"/>
        </w:numPr>
        <w:rPr/>
      </w:pPr>
      <w:bookmarkStart w:id="6" w:name="_Toc75446568"/>
      <w:bookmarkStart w:id="7" w:name="_Toc46743506"/>
      <w:r>
        <w:rPr/>
        <w:t>Наименование закупаемой продукции</w:t>
      </w:r>
      <w:bookmarkEnd w:id="6"/>
      <w:bookmarkEnd w:id="7"/>
    </w:p>
    <w:p>
      <w:pPr>
        <w:pStyle w:val="Normal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ОКПД 2: 27.12.31 </w:t>
      </w:r>
      <w:r>
        <w:rPr>
          <w:color w:val="000000"/>
          <w:sz w:val="24"/>
          <w:szCs w:val="24"/>
        </w:rPr>
        <w:t>П</w:t>
      </w:r>
      <w:r>
        <w:rPr>
          <w:color w:val="000000"/>
          <w:sz w:val="24"/>
          <w:szCs w:val="24"/>
        </w:rPr>
        <w:t>оставк</w:t>
      </w:r>
      <w:r>
        <w:rPr>
          <w:color w:val="000000"/>
          <w:sz w:val="24"/>
          <w:szCs w:val="24"/>
        </w:rPr>
        <w:t>а</w:t>
      </w:r>
      <w:r>
        <w:rPr>
          <w:color w:val="000000"/>
          <w:sz w:val="24"/>
          <w:szCs w:val="24"/>
        </w:rPr>
        <w:t xml:space="preserve"> щ</w:t>
      </w:r>
      <w:r>
        <w:rPr>
          <w:rFonts w:eastAsia="Calibri"/>
          <w:color w:val="000000"/>
          <w:sz w:val="24"/>
          <w:szCs w:val="24"/>
          <w:lang w:eastAsia="x-none"/>
        </w:rPr>
        <w:t xml:space="preserve">ита с розетками переносного </w:t>
      </w:r>
      <w:r>
        <w:rPr>
          <w:rFonts w:eastAsia="Times New Roman" w:cs="Times New Roman"/>
          <w:color w:val="000000"/>
          <w:kern w:val="0"/>
          <w:sz w:val="24"/>
          <w:szCs w:val="24"/>
          <w:lang w:val="ru-RU" w:eastAsia="ru-RU" w:bidi="ar-SA"/>
        </w:rPr>
        <w:t xml:space="preserve">EVEREST EVOL </w:t>
      </w:r>
      <w:r>
        <w:rPr>
          <w:color w:val="000000"/>
          <w:sz w:val="24"/>
          <w:szCs w:val="24"/>
        </w:rPr>
        <w:t xml:space="preserve">для нужд Нижегородского ПУ Чебоксарского филиала </w:t>
      </w:r>
      <w:r>
        <w:rPr>
          <w:rFonts w:eastAsia="Calibri"/>
          <w:color w:val="000000"/>
          <w:sz w:val="24"/>
          <w:szCs w:val="24"/>
          <w:lang w:eastAsia="x-none"/>
        </w:rPr>
        <w:t>АО «Гидроремонт ВКК» г. Новочебоксарск</w:t>
      </w:r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/>
      </w:pPr>
      <w:bookmarkStart w:id="8" w:name="_Toc75446569"/>
      <w:bookmarkStart w:id="9" w:name="_Toc46743507"/>
      <w:r>
        <w:rPr/>
        <w:t xml:space="preserve">Цель </w:t>
      </w:r>
      <w:bookmarkEnd w:id="9"/>
      <w:r>
        <w:rPr>
          <w:lang w:val="ru-RU"/>
        </w:rPr>
        <w:t xml:space="preserve">использования закупаемой продукции </w:t>
      </w:r>
      <w:bookmarkEnd w:id="8"/>
    </w:p>
    <w:p>
      <w:pPr>
        <w:pStyle w:val="Normal"/>
        <w:jc w:val="both"/>
        <w:rPr>
          <w:sz w:val="24"/>
          <w:szCs w:val="24"/>
        </w:rPr>
      </w:pPr>
      <w:r>
        <w:rPr>
          <w:i w:val="false"/>
          <w:iCs w:val="false"/>
          <w:sz w:val="24"/>
          <w:szCs w:val="24"/>
          <w:shd w:fill="auto" w:val="clear"/>
          <w:lang w:eastAsia="x-none"/>
        </w:rPr>
        <w:t>Повышение и улучшение производительности труда. Инвестпрограмма 202</w:t>
      </w:r>
      <w:r>
        <w:rPr>
          <w:i w:val="false"/>
          <w:iCs w:val="false"/>
          <w:sz w:val="24"/>
          <w:szCs w:val="24"/>
          <w:shd w:fill="auto" w:val="clear"/>
          <w:lang w:eastAsia="x-none"/>
        </w:rPr>
        <w:t>7</w:t>
      </w:r>
      <w:r>
        <w:rPr>
          <w:i w:val="false"/>
          <w:iCs w:val="false"/>
          <w:sz w:val="24"/>
          <w:szCs w:val="24"/>
          <w:shd w:fill="auto" w:val="clear"/>
          <w:lang w:eastAsia="x-none"/>
        </w:rPr>
        <w:t xml:space="preserve"> г</w:t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</w:rPr>
      </w:pPr>
      <w:bookmarkStart w:id="10" w:name="_Toc51339693"/>
      <w:bookmarkStart w:id="11" w:name="_Toc75446573"/>
      <w:bookmarkStart w:id="12" w:name="_Toc46743510"/>
      <w:bookmarkStart w:id="13" w:name="_Toc50125126"/>
      <w:bookmarkEnd w:id="12"/>
      <w:bookmarkEnd w:id="13"/>
      <w:r>
        <w:rPr>
          <w:sz w:val="24"/>
          <w:szCs w:val="24"/>
        </w:rPr>
        <w:t>Требования к продукции</w:t>
      </w:r>
      <w:bookmarkEnd w:id="10"/>
      <w:bookmarkEnd w:id="11"/>
    </w:p>
    <w:p>
      <w:pPr>
        <w:pStyle w:val="Heading4"/>
        <w:numPr>
          <w:ilvl w:val="1"/>
          <w:numId w:val="3"/>
        </w:numPr>
        <w:rPr/>
      </w:pPr>
      <w:bookmarkStart w:id="14" w:name="_Toc75446574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14"/>
    </w:p>
    <w:p>
      <w:pPr>
        <w:pStyle w:val="Heading3"/>
        <w:numPr>
          <w:ilvl w:val="2"/>
          <w:numId w:val="3"/>
        </w:numPr>
        <w:rPr/>
      </w:pPr>
      <w:bookmarkStart w:id="15" w:name="_Toc75446575"/>
      <w:r>
        <w:rPr>
          <w:lang w:val="ru-RU"/>
        </w:rPr>
        <w:t>Перечень и объем закупаемой продукции</w:t>
      </w:r>
      <w:bookmarkEnd w:id="15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16" w:name="_Toc75446576"/>
      <w:bookmarkStart w:id="17" w:name="_Toc5133969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1.1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7"/>
      <w:r>
        <w:rPr>
          <w:sz w:val="24"/>
          <w:szCs w:val="24"/>
          <w:lang w:val="ru-RU"/>
        </w:rPr>
        <w:t>и объем закупаемой продукции</w:t>
      </w:r>
      <w:bookmarkEnd w:id="16"/>
    </w:p>
    <w:tbl>
      <w:tblPr>
        <w:tblW w:w="992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23"/>
        <w:gridCol w:w="6153"/>
        <w:gridCol w:w="1425"/>
        <w:gridCol w:w="1523"/>
      </w:tblGrid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6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5"/>
              <w:widowControl w:val="fals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Щит с розетками переносной EVEREST EVOL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шт.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>
      <w:pPr>
        <w:pStyle w:val="Heading3"/>
        <w:numPr>
          <w:ilvl w:val="2"/>
          <w:numId w:val="3"/>
        </w:numPr>
        <w:rPr/>
      </w:pPr>
      <w:r>
        <w:rPr>
          <w:lang w:val="ru-RU"/>
        </w:rPr>
        <w:t>Т</w:t>
      </w:r>
      <w:bookmarkStart w:id="18" w:name="_Toc75446578"/>
      <w:bookmarkStart w:id="19" w:name="_Toc51339696"/>
      <w:r>
        <w:rPr>
          <w:lang w:val="ru-RU"/>
        </w:rPr>
        <w:t xml:space="preserve">ребования </w:t>
      </w:r>
      <w:bookmarkEnd w:id="19"/>
      <w:r>
        <w:rPr>
          <w:lang w:val="ru-RU"/>
        </w:rPr>
        <w:t>к срокам поставки продукции и оказания сопутствующих услуг</w:t>
      </w:r>
      <w:bookmarkEnd w:id="18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bookmarkStart w:id="20" w:name="_Toc75446579"/>
      <w:bookmarkStart w:id="21" w:name="_Toc51339697"/>
      <w:bookmarkStart w:id="22" w:name="_Toc50125127"/>
      <w:bookmarkStart w:id="23" w:name="_Toc501251261"/>
      <w:bookmarkEnd w:id="23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24" w:name="_Hlk50465284"/>
      <w:r>
        <w:rPr>
          <w:sz w:val="24"/>
          <w:szCs w:val="24"/>
        </w:rPr>
        <w:t xml:space="preserve">Требования по срокам </w:t>
      </w:r>
      <w:bookmarkEnd w:id="21"/>
      <w:bookmarkEnd w:id="22"/>
      <w:bookmarkEnd w:id="24"/>
      <w:r>
        <w:rPr>
          <w:sz w:val="24"/>
          <w:szCs w:val="24"/>
          <w:lang w:val="ru-RU"/>
        </w:rPr>
        <w:t>поставки продукции</w:t>
      </w:r>
      <w:bookmarkEnd w:id="20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sz w:val="24"/>
          <w:szCs w:val="24"/>
          <w:shd w:fill="FFFF99" w:val="clear"/>
        </w:rPr>
      </w:pPr>
      <w:r>
        <w:rPr>
          <w:bCs/>
          <w:sz w:val="24"/>
          <w:szCs w:val="24"/>
          <w:shd w:fill="FFFF99" w:val="clear"/>
        </w:rPr>
      </w:r>
    </w:p>
    <w:tbl>
      <w:tblPr>
        <w:tblW w:w="9776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0"/>
        <w:gridCol w:w="2550"/>
        <w:gridCol w:w="2979"/>
        <w:gridCol w:w="3116"/>
      </w:tblGrid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rPr>
                <w:rFonts w:ascii="Times New Roman" w:hAnsi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Calibri" w:cs="Times New Roman"/>
                <w:i w:val="false"/>
                <w:iCs w:val="false"/>
                <w:color w:val="000000"/>
                <w:kern w:val="0"/>
                <w:sz w:val="24"/>
                <w:szCs w:val="24"/>
                <w:lang w:val="ru-RU" w:eastAsia="x-none" w:bidi="ar-SA"/>
              </w:rPr>
              <w:t>Продукция в соответствии с Таблицей 1.1 Технических требований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 xml:space="preserve"> 15 </w:t>
            </w:r>
            <w:r>
              <w:rPr>
                <w:sz w:val="24"/>
                <w:szCs w:val="24"/>
              </w:rPr>
              <w:t xml:space="preserve">рабочих </w:t>
            </w:r>
            <w:r>
              <w:rPr>
                <w:sz w:val="24"/>
                <w:szCs w:val="24"/>
              </w:rPr>
              <w:t xml:space="preserve">дней </w:t>
            </w:r>
            <w:r>
              <w:rPr>
                <w:sz w:val="24"/>
                <w:szCs w:val="24"/>
              </w:rPr>
              <w:t xml:space="preserve">с даты </w:t>
            </w:r>
            <w:r>
              <w:rPr>
                <w:sz w:val="24"/>
                <w:szCs w:val="24"/>
              </w:rPr>
              <w:t>подписания договора.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25" w:name="_Toc51339698"/>
      <w:bookmarkStart w:id="26" w:name="_Toc75446581"/>
      <w:bookmarkStart w:id="27" w:name="_Toc46743511"/>
      <w:bookmarkStart w:id="28" w:name="_Toc467435101"/>
      <w:bookmarkEnd w:id="28"/>
      <w:r>
        <w:rPr/>
        <w:t xml:space="preserve">Требования к </w:t>
      </w:r>
      <w:bookmarkEnd w:id="27"/>
      <w:r>
        <w:rPr>
          <w:lang w:val="ru-RU"/>
        </w:rPr>
        <w:t>качеству продукции</w:t>
      </w:r>
      <w:bookmarkEnd w:id="26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29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</w:rPr>
        <w:t xml:space="preserve">качеству </w:t>
      </w:r>
      <w:r>
        <w:rPr>
          <w:sz w:val="24"/>
          <w:szCs w:val="24"/>
          <w:lang w:val="ru-RU"/>
        </w:rPr>
        <w:t>продукции</w:t>
      </w:r>
      <w:bookmarkEnd w:id="29"/>
      <w:r>
        <w:rPr>
          <w:sz w:val="24"/>
          <w:szCs w:val="24"/>
        </w:rPr>
        <w:t xml:space="preserve"> </w:t>
      </w:r>
      <w:bookmarkEnd w:id="25"/>
    </w:p>
    <w:p>
      <w:pPr>
        <w:pStyle w:val="Normal"/>
        <w:numPr>
          <w:ilvl w:val="0"/>
          <w:numId w:val="0"/>
        </w:numPr>
        <w:ind w:left="0" w:hanging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Наименование продукции:</w:t>
      </w:r>
      <w:r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 w:val="false"/>
          <w:bCs w:val="false"/>
          <w:color w:val="000000"/>
          <w:sz w:val="24"/>
          <w:szCs w:val="24"/>
        </w:rPr>
        <w:t xml:space="preserve">ОКПД 2: 27.12.31 </w:t>
      </w:r>
      <w:r>
        <w:rPr>
          <w:rFonts w:eastAsia="Calibri"/>
          <w:b w:val="false"/>
          <w:bCs w:val="false"/>
          <w:color w:val="000000"/>
          <w:sz w:val="24"/>
          <w:szCs w:val="24"/>
        </w:rPr>
        <w:t>П</w:t>
      </w:r>
      <w:r>
        <w:rPr>
          <w:rFonts w:eastAsia="Calibri"/>
          <w:b w:val="false"/>
          <w:bCs w:val="false"/>
          <w:color w:val="000000"/>
          <w:sz w:val="24"/>
          <w:szCs w:val="24"/>
        </w:rPr>
        <w:t>оставк</w:t>
      </w:r>
      <w:r>
        <w:rPr>
          <w:rFonts w:eastAsia="Calibri"/>
          <w:b w:val="false"/>
          <w:bCs w:val="false"/>
          <w:color w:val="000000"/>
          <w:sz w:val="24"/>
          <w:szCs w:val="24"/>
        </w:rPr>
        <w:t>а</w:t>
      </w:r>
      <w:r>
        <w:rPr>
          <w:rFonts w:eastAsia="Calibri"/>
          <w:b w:val="false"/>
          <w:bCs w:val="false"/>
          <w:color w:val="000000"/>
          <w:sz w:val="24"/>
          <w:szCs w:val="24"/>
        </w:rPr>
        <w:t xml:space="preserve"> щ</w:t>
      </w:r>
      <w:r>
        <w:rPr>
          <w:rFonts w:eastAsia="Calibri"/>
          <w:b w:val="false"/>
          <w:bCs w:val="false"/>
          <w:color w:val="000000"/>
          <w:sz w:val="24"/>
          <w:szCs w:val="24"/>
          <w:lang w:eastAsia="x-none"/>
        </w:rPr>
        <w:t xml:space="preserve">ита с розетками переносного </w:t>
      </w:r>
      <w:r>
        <w:rPr>
          <w:rFonts w:eastAsia="Times New Roman" w:cs="Times New Roman"/>
          <w:b w:val="false"/>
          <w:bCs w:val="false"/>
          <w:color w:val="000000"/>
          <w:kern w:val="0"/>
          <w:sz w:val="24"/>
          <w:szCs w:val="24"/>
          <w:lang w:val="ru-RU" w:eastAsia="ru-RU" w:bidi="ar-SA"/>
        </w:rPr>
        <w:t xml:space="preserve">EVEREST EVOL </w:t>
      </w:r>
      <w:r>
        <w:rPr>
          <w:rFonts w:eastAsia="Calibri"/>
          <w:b w:val="false"/>
          <w:bCs w:val="false"/>
          <w:color w:val="000000"/>
          <w:sz w:val="24"/>
          <w:szCs w:val="24"/>
        </w:rPr>
        <w:t xml:space="preserve">для нужд Нижегородского ПУ Чебоксарского филиала </w:t>
      </w:r>
      <w:r>
        <w:rPr>
          <w:rFonts w:eastAsia="Calibri"/>
          <w:b w:val="false"/>
          <w:bCs w:val="false"/>
          <w:color w:val="000000"/>
          <w:sz w:val="24"/>
          <w:szCs w:val="24"/>
          <w:lang w:eastAsia="x-none"/>
        </w:rPr>
        <w:t>АО «Гидроремонт ВКК» г. Новочебоксарск</w:t>
      </w:r>
    </w:p>
    <w:tbl>
      <w:tblPr>
        <w:tblStyle w:val="affff8"/>
        <w:tblW w:w="1527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9"/>
        <w:gridCol w:w="2552"/>
        <w:gridCol w:w="6686"/>
        <w:gridCol w:w="2215"/>
        <w:gridCol w:w="2973"/>
      </w:tblGrid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Наименование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продукции</w:t>
            </w:r>
          </w:p>
        </w:tc>
        <w:tc>
          <w:tcPr>
            <w:tcW w:w="6686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2215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Соответствие стандартам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68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215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297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lang w:eastAsia="x-none"/>
              </w:rPr>
            </w:pPr>
            <w:r>
              <w:rPr>
                <w:lang w:eastAsia="x-none"/>
              </w:rPr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849" w:type="dxa"/>
            <w:vMerge w:val="restart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1.1</w:t>
            </w:r>
          </w:p>
        </w:tc>
        <w:tc>
          <w:tcPr>
            <w:tcW w:w="2552" w:type="dxa"/>
            <w:vMerge w:val="restart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Переносной щит с розетками РУСП EVOL EVEREST</w:t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Производитель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EVOL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Артикул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4"/>
                <w:szCs w:val="24"/>
                <w:lang w:val="ru-RU" w:eastAsia="ru-RU" w:bidi="ar-SA"/>
              </w:rPr>
              <w:t>0721-0930-402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Напряжение, В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220/380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Вход: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10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sz w:val="24"/>
              </w:rPr>
              <w:t>CEE (63A/380v/5p/IP67),шт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Длинна кабеля КГ 5х10, м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Выход СЕЕ: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kern w:val="0"/>
                <w:sz w:val="24"/>
                <w:szCs w:val="24"/>
                <w:lang w:val="ru-RU" w:eastAsia="ru-RU" w:bidi="ar-SA"/>
              </w:rPr>
              <w:t>63A/380v/5p/IP67, ш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kern w:val="0"/>
                <w:sz w:val="24"/>
                <w:szCs w:val="24"/>
                <w:lang w:val="ru-RU" w:eastAsia="ru-RU" w:bidi="ar-SA"/>
              </w:rPr>
              <w:t>т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sz w:val="24"/>
              </w:rPr>
              <w:t>32A/380v/5p/IP44, шт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sz w:val="24"/>
              </w:rPr>
              <w:t>16A/380v/5p/IP44, шт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sz w:val="24"/>
              </w:rPr>
              <w:t>63A/220v/3p/IP67, шт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sz w:val="24"/>
              </w:rPr>
              <w:t>32A/220v/3p/IP44, шт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>16A/220v/3p/IP44, шт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</w:pPr>
            <w:r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4"/>
              </w:rPr>
              <w:t>Выход Schuko: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282828"/>
                <w:spacing w:val="0"/>
                <w:kern w:val="0"/>
                <w:sz w:val="24"/>
                <w:szCs w:val="24"/>
                <w:lang w:val="ru-RU" w:eastAsia="ru-RU" w:bidi="ar-SA"/>
              </w:rPr>
              <w:t>16A/220v/3p/IP54, шт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1</w:t>
            </w: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0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Степень защиты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IP44/IK08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Длинна кабеля КГ 5х10, м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30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vMerge w:val="continue"/>
            <w:tcBorders>
              <w:top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552" w:type="dxa"/>
            <w:vMerge w:val="continue"/>
            <w:tcBorders>
              <w:top w:val="nil"/>
            </w:tcBorders>
            <w:shd w:color="auto" w:fill="auto" w:val="clear"/>
          </w:tcPr>
          <w:p>
            <w:pPr>
              <w:pStyle w:val="Style35"/>
              <w:widowControl w:val="false"/>
              <w:suppressAutoHyphens w:val="true"/>
              <w:spacing w:before="0" w:after="20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686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Габариты, мм</w:t>
            </w:r>
          </w:p>
        </w:tc>
        <w:tc>
          <w:tcPr>
            <w:tcW w:w="2215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540х565х1125</w:t>
            </w:r>
          </w:p>
        </w:tc>
        <w:tc>
          <w:tcPr>
            <w:tcW w:w="2973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2.</w:t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2.1</w:t>
            </w:r>
          </w:p>
        </w:tc>
        <w:tc>
          <w:tcPr>
            <w:tcW w:w="2552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Место поставки</w:t>
            </w:r>
          </w:p>
        </w:tc>
        <w:tc>
          <w:tcPr>
            <w:tcW w:w="11874" w:type="dxa"/>
            <w:gridSpan w:val="3"/>
            <w:tcBorders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606520, РФ, Нижегородская обл., Городецкий м.о., г. Заволжье, Привокзальная 14 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2.2</w:t>
            </w:r>
          </w:p>
        </w:tc>
        <w:tc>
          <w:tcPr>
            <w:tcW w:w="2552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Приемка продукции</w:t>
            </w:r>
          </w:p>
        </w:tc>
        <w:tc>
          <w:tcPr>
            <w:tcW w:w="11874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Продукция должна быть поставлена автотранспортом Поставщика с возможностью разгрузки автомобильным краном Покупателя. Приемка продукции осуществляется только в рабочие дни с 9-00 до 11-00 и с 13-00 до 16-00.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2552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</w:t>
            </w:r>
          </w:p>
        </w:tc>
        <w:tc>
          <w:tcPr>
            <w:tcW w:w="11874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Информация о транспорте, на котором осуществляется поставка Продукции, предоставляется Поставщиком не позднее предыдущего рабочего дня до прибытия транспорта.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3.</w:t>
            </w:r>
          </w:p>
        </w:tc>
        <w:tc>
          <w:tcPr>
            <w:tcW w:w="14426" w:type="dxa"/>
            <w:gridSpan w:val="4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3.1</w:t>
            </w:r>
          </w:p>
        </w:tc>
        <w:tc>
          <w:tcPr>
            <w:tcW w:w="2552" w:type="dxa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Срок гарантии</w:t>
            </w:r>
          </w:p>
        </w:tc>
        <w:tc>
          <w:tcPr>
            <w:tcW w:w="11874" w:type="dxa"/>
            <w:gridSpan w:val="3"/>
            <w:tcBorders>
              <w:top w:val="nil"/>
            </w:tcBorders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Не менее 12 (двенадцати) месяцев, исчисляемый с даты подписания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4.</w:t>
            </w:r>
          </w:p>
        </w:tc>
        <w:tc>
          <w:tcPr>
            <w:tcW w:w="1442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849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4.1</w:t>
            </w:r>
          </w:p>
        </w:tc>
        <w:tc>
          <w:tcPr>
            <w:tcW w:w="255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18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сертификаты качества, технические паспорта, руководства по эксплуатации; товарно - транспортные накладные, товарную накладную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en-US" w:eastAsia="ru-RU" w:bidi="ar-SA"/>
              </w:rPr>
              <w:t>ТОРГ-12 или УПД в 2-х экземплярах.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не бывшей в употреблении, не должна быть восстановленной.</w:t>
            </w:r>
          </w:p>
        </w:tc>
      </w:tr>
      <w:tr>
        <w:trPr/>
        <w:tc>
          <w:tcPr>
            <w:tcW w:w="849" w:type="dxa"/>
            <w:tcBorders>
              <w:top w:val="nil"/>
              <w:right w:val="nil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5.2</w:t>
            </w:r>
          </w:p>
        </w:tc>
        <w:tc>
          <w:tcPr>
            <w:tcW w:w="14426" w:type="dxa"/>
            <w:gridSpan w:val="4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ind w:left="0" w:right="-10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Оборудование должно соответствовать требованиям Технического регламента ТС «О безопасности машин и оборудования» (ТР ТС 010/2011) (утв. Решением Комиссии Таможенного союза от 18 октября 2011 г. N 823), (вступил в силу с 15 февраля 2013 г.).</w:t>
            </w:r>
          </w:p>
          <w:p>
            <w:pPr>
              <w:pStyle w:val="Normal"/>
              <w:widowControl w:val="false"/>
              <w:spacing w:before="0" w:after="0"/>
              <w:ind w:left="0" w:right="-107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 w:val="false"/>
                <w:iCs w:val="false"/>
                <w:kern w:val="0"/>
                <w:sz w:val="24"/>
                <w:szCs w:val="24"/>
                <w:lang w:val="ru-RU" w:eastAsia="ru-RU" w:bidi="ar-SA"/>
              </w:rPr>
              <w:t>Продукция должна соответствовать обязательным требованиям, установленным нормативными документами, действующими в РФ, требованиям стандартов и технических условий.</w:t>
            </w:r>
          </w:p>
        </w:tc>
      </w:tr>
    </w:tbl>
    <w:p>
      <w:pPr>
        <w:pStyle w:val="Normal"/>
        <w:tabs>
          <w:tab w:val="clear" w:pos="708"/>
          <w:tab w:val="left" w:pos="2320" w:leader="none"/>
        </w:tabs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1"/>
        <w:spacing w:before="120" w:after="60"/>
        <w:ind w:left="0" w:right="114" w:hanging="0"/>
        <w:rPr>
          <w:sz w:val="24"/>
          <w:szCs w:val="24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567" w:gutter="0" w:header="680" w:top="851" w:footer="0" w:bottom="851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2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">
    <w:name w:val="Strong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2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30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UnresolvedMention" w:customStyle="1">
    <w:name w:val="Unresolved Mention"/>
    <w:basedOn w:val="DefaultParagraphFont"/>
    <w:uiPriority w:val="99"/>
    <w:semiHidden/>
    <w:unhideWhenUsed/>
    <w:qFormat/>
    <w:rsid w:val="00615ab6"/>
    <w:rPr>
      <w:color w:val="605E5C"/>
      <w:shd w:fill="E1DFDD" w:val="clear"/>
    </w:rPr>
  </w:style>
  <w:style w:type="character" w:styleId="Style14" w:customStyle="1">
    <w:name w:val="Маркеры"/>
    <w:qFormat/>
    <w:rPr>
      <w:rFonts w:ascii="OpenSymbol" w:hAnsi="OpenSymbol" w:eastAsia="OpenSymbol" w:cs="OpenSymbol"/>
    </w:rPr>
  </w:style>
  <w:style w:type="character" w:styleId="Style15" w:customStyle="1">
    <w:name w:val="Символ нумерации"/>
    <w:qFormat/>
    <w:rPr/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Style18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9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20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2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3" w:customStyle="1">
    <w:name w:val="Раздел регламента"/>
    <w:basedOn w:val="Normal"/>
    <w:qFormat/>
    <w:rsid w:val="00e228fa"/>
    <w:pPr/>
    <w:rPr/>
  </w:style>
  <w:style w:type="paragraph" w:styleId="Style24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5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6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6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7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8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9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0" w:customStyle="1">
    <w:name w:val="Подподпункт"/>
    <w:basedOn w:val="Style22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1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2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3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4" w:customStyle="1">
    <w:name w:val="Содержимое врезки"/>
    <w:basedOn w:val="Normal"/>
    <w:qFormat/>
    <w:pPr/>
    <w:rPr/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numbering" w:styleId="123" w:customStyle="1">
    <w:name w:val="Нумерованный 123"/>
    <w:qFormat/>
  </w:style>
  <w:style w:type="numbering" w:styleId="12565345991" w:customStyle="1">
    <w:name w:val="12565345991"/>
    <w:qFormat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888FE-0BD8-4A8D-B290-F6EBD3A1C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7940</TotalTime>
  <Application>AlterOffice/2025.3.1.0$Linux_X86_64 LibreOffice_project/431cd1b79110582f53535c95ed0a2449aadc8bf9</Application>
  <AppVersion>15.0000</AppVersion>
  <Pages>4</Pages>
  <Words>557</Words>
  <Characters>3636</Characters>
  <CharactersWithSpaces>4053</CharactersWithSpaces>
  <Paragraphs>140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2023-01-13T08:52:00Z</dcterms:created>
  <dc:creator>Быстров Олег Геннадьевич</dc:creator>
  <dc:description/>
  <dc:language>ru-RU</dc:language>
  <cp:lastModifiedBy/>
  <dcterms:modified xsi:type="dcterms:W3CDTF">2026-09-02T13:37:04Z</dcterms:modified>
  <cp:revision>89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