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spacing w:val="10"/>
          <w:sz w:val="24"/>
          <w:szCs w:val="24"/>
        </w:rPr>
        <w:t>Акционерное общество «Транспортная компания РусГидро» (АО «ТК РусГидро»), (далее - «Покупатель»), в лице директора Центрального филиала АО «ТК РусГидро», действующего на основании машиночитаемой доверенности (МЧД)  №, с одной стороны,  и , Общество с ограниченной ответственностью «КонтрактСервис» (ООО«КонтрактСервис»)(далее - «Поставщик»), в лице генерального директора Иванова Олега Павловича, действующего на основании Устава, с другой стороны, совместно в дальнейшем именуемые «Стороны», а по отдельности – «Сторона», по результатам проведенной Покупателем неконкурентной процедуры по лоту №  и на основании протокола     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fals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fals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sz w:val="24"/>
          <w:szCs w:val="24"/>
          <w:lang w:eastAsia="en-US"/>
        </w:rPr>
        <w:t>шлагбаумы для инспекционных проездов</w:t>
      </w:r>
      <w:r>
        <w:rPr>
          <w:bCs/>
          <w:sz w:val="24"/>
          <w:szCs w:val="24"/>
        </w:rPr>
        <w:t xml:space="preserve">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w:t>
      </w:r>
      <w:r>
        <w:rPr>
          <w:bCs/>
          <w:sz w:val="24"/>
          <w:szCs w:val="24"/>
          <w:shd w:fill="auto" w:val="clear"/>
        </w:rPr>
        <w:t xml:space="preserve"> Загорского строительного участка Центрального филиала АО «ТК РусГидро».</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Окончание –в течение 1</w:t>
      </w:r>
      <w:r>
        <w:rPr>
          <w:bCs/>
          <w:sz w:val="24"/>
          <w:szCs w:val="24"/>
        </w:rPr>
        <w:t>0</w:t>
      </w:r>
      <w:r>
        <w:rPr>
          <w:bCs/>
          <w:sz w:val="24"/>
          <w:szCs w:val="24"/>
        </w:rPr>
        <w:t xml:space="preserve"> (д</w:t>
      </w:r>
      <w:r>
        <w:rPr>
          <w:bCs/>
          <w:sz w:val="24"/>
          <w:szCs w:val="24"/>
        </w:rPr>
        <w:t>есят</w:t>
      </w:r>
      <w:r>
        <w:rPr>
          <w:bCs/>
          <w:sz w:val="24"/>
          <w:szCs w:val="24"/>
        </w:rPr>
        <w:t xml:space="preserve">и) </w:t>
      </w:r>
      <w:r>
        <w:rPr>
          <w:bCs/>
          <w:sz w:val="24"/>
          <w:szCs w:val="24"/>
        </w:rPr>
        <w:t>календарных дней.</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Cs/>
          <w:sz w:val="24"/>
          <w:szCs w:val="24"/>
          <w:shd w:fill="auto" w:val="clear"/>
        </w:rPr>
        <w:t xml:space="preserve"> ) рублей, </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9"/>
          <w:tab w:val="left" w:pos="1140" w:leader="none"/>
        </w:tabs>
        <w:ind w:left="0" w:firstLine="709"/>
        <w:jc w:val="both"/>
        <w:rPr>
          <w:bCs/>
          <w:sz w:val="24"/>
        </w:rPr>
      </w:pPr>
      <w:r>
        <w:rPr>
          <w:bCs/>
          <w:sz w:val="24"/>
        </w:rPr>
        <w:t xml:space="preserve">Авансовые платежи в размере 100 (ста) процентов от стоимости заявки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товара. </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highlight w:val="none"/>
          <w:shd w:fill="auto" w:val="clear"/>
        </w:rPr>
      </w:pPr>
      <w:r>
        <w:rPr>
          <w:sz w:val="24"/>
          <w:szCs w:val="24"/>
          <w:shd w:fill="auto" w:val="clear"/>
        </w:rPr>
        <w:t>Поставщик обязан представить Покупателю счета</w:t>
      </w:r>
      <w:r>
        <w:rPr>
          <w:bCs/>
          <w:sz w:val="24"/>
          <w:szCs w:val="24"/>
          <w:shd w:fill="auto" w:val="clear"/>
        </w:rPr>
        <w:t>-</w:t>
      </w:r>
      <w:r>
        <w:rPr>
          <w:sz w:val="24"/>
          <w:szCs w:val="24"/>
          <w:shd w:fill="auto" w:val="clear"/>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shd w:fill="auto" w:val="clear"/>
        </w:rPr>
        <w:t>-</w:t>
      </w:r>
      <w:r>
        <w:rPr>
          <w:sz w:val="24"/>
          <w:szCs w:val="24"/>
          <w:shd w:fill="auto" w:val="clear"/>
        </w:rPr>
        <w:t>фактуры/УПД в течение 3 (трех) рабочих дней с даты получения соответствующего письменного требования Покупателя.</w:t>
      </w:r>
      <w:r>
        <w:rPr>
          <w:rStyle w:val="FootnoteReference"/>
          <w:sz w:val="24"/>
          <w:szCs w:val="24"/>
          <w:shd w:fill="auto" w:val="clear"/>
        </w:rPr>
        <w:footnoteReference w:id="4"/>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shd w:fill="auto" w:val="clear"/>
        </w:rPr>
        <w:t xml:space="preserve">5 (пяти) рабочих дней </w:t>
      </w:r>
      <w:r>
        <w:rPr>
          <w:sz w:val="24"/>
          <w:szCs w:val="24"/>
        </w:rPr>
        <w:t xml:space="preserve">до предполагаемой даты поставки Товара (партии Товара) направляет Поставщику Заявку по электронной почте на адрес:, </w:t>
      </w:r>
      <w:r>
        <w:rPr>
          <w:sz w:val="24"/>
          <w:szCs w:val="24"/>
          <w:shd w:fill="auto" w:val="clear"/>
        </w:rPr>
        <w:t>с последующим направлением оригинала Заявки по адресу, указанному в разделе 16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shd w:fill="auto" w:val="clear"/>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w:t>
      </w:r>
      <w:hyperlink r:id="rId2">
        <w:r>
          <w:rPr>
            <w:rStyle w:val="Hyperlink"/>
            <w:sz w:val="24"/>
            <w:szCs w:val="24"/>
          </w:rPr>
          <w:t>masterinnn@rushydro.ru</w:t>
        </w:r>
      </w:hyperlink>
      <w:r>
        <w:rPr>
          <w:sz w:val="24"/>
          <w:szCs w:val="24"/>
        </w:rPr>
        <w:t xml:space="preserve"> </w:t>
      </w:r>
      <w:r>
        <w:rPr>
          <w:sz w:val="24"/>
          <w:szCs w:val="24"/>
          <w:shd w:fill="auto" w:val="clear"/>
        </w:rPr>
        <w:t>с последующим направлением письменного ответа по адресу, указанному в разделе 16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shd w:fill="auto" w:val="clear"/>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highlight w:val="none"/>
          <w:shd w:fill="auto" w:val="clear"/>
        </w:rPr>
      </w:pPr>
      <w:r>
        <w:rPr>
          <w:bCs/>
          <w:sz w:val="24"/>
          <w:szCs w:val="24"/>
          <w:shd w:fill="auto" w:val="clear"/>
        </w:rPr>
        <w:t xml:space="preserve">Поставщик не вправе производить </w:t>
      </w:r>
      <w:r>
        <w:rPr>
          <w:sz w:val="24"/>
          <w:szCs w:val="24"/>
          <w:shd w:fill="auto" w:val="clear"/>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сертификат качества в 1 (одном)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1 (одном) экз.;</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Накладная ТОРГ-12/УПД в  2 (двух)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shd w:fill="auto" w:val="clear"/>
        </w:rPr>
        <w:t xml:space="preserve">и перемещение Товара (в том числе </w:t>
        <w:br/>
        <w:t>по территории Покупателя)</w:t>
      </w:r>
      <w:r>
        <w:rPr>
          <w:rStyle w:val="FootnoteReference"/>
          <w:shadow/>
          <w:color w:val="000000"/>
          <w:sz w:val="24"/>
          <w:szCs w:val="24"/>
          <w:shd w:fill="auto" w:val="clear"/>
        </w:rPr>
        <w:footnoteReference w:id="5"/>
      </w:r>
      <w:r>
        <w:rPr>
          <w:shadow/>
          <w:color w:val="000000"/>
          <w:sz w:val="24"/>
          <w:szCs w:val="24"/>
          <w:shd w:fill="auto" w:val="clear"/>
        </w:rPr>
        <w:t xml:space="preserve"> </w:t>
      </w:r>
      <w:r>
        <w:rPr>
          <w:bCs/>
          <w:sz w:val="24"/>
          <w:szCs w:val="24"/>
          <w:shd w:fill="auto" w:val="clear"/>
        </w:rPr>
        <w:t>о</w:t>
      </w:r>
      <w:r>
        <w:rPr>
          <w:bCs/>
          <w:sz w:val="24"/>
          <w:szCs w:val="24"/>
        </w:rPr>
        <w:t>существляется</w:t>
      </w:r>
      <w:r>
        <w:rPr>
          <w:sz w:val="24"/>
          <w:szCs w:val="24"/>
        </w:rPr>
        <w:t xml:space="preserve"> Поставщиком. Стоимость погрузки, доставки, разгрузки </w:t>
      </w:r>
      <w:r>
        <w:rPr>
          <w:sz w:val="24"/>
          <w:szCs w:val="24"/>
          <w:shd w:fill="auto" w:val="clear"/>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6"/>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tabs>
          <w:tab w:val="clear" w:pos="709"/>
          <w:tab w:val="left" w:pos="1276" w:leader="none"/>
        </w:tabs>
        <w:ind w:left="0" w:firstLine="709"/>
        <w:jc w:val="both"/>
        <w:rPr>
          <w:color w:val="auto"/>
          <w:highlight w:val="none"/>
          <w:shd w:fill="auto" w:val="clear"/>
        </w:rPr>
      </w:pPr>
      <w:r>
        <w:rPr>
          <w:bCs/>
          <w:color w:val="000000"/>
          <w:sz w:val="24"/>
          <w:szCs w:val="24"/>
          <w:shd w:fill="auto" w:val="clear"/>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7"/>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города Москвы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w:t>
        <w:b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8"/>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9"/>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0"/>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0"/>
        <w:gridCol w:w="142"/>
        <w:gridCol w:w="4633"/>
        <w:gridCol w:w="236"/>
      </w:tblGrid>
      <w:tr>
        <w:trPr/>
        <w:tc>
          <w:tcPr>
            <w:tcW w:w="4912" w:type="dxa"/>
            <w:gridSpan w:val="2"/>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gridSpan w:val="2"/>
            <w:tcBorders/>
            <w:shd w:color="auto" w:fill="BFBFBF" w:val="clear"/>
          </w:tcPr>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Юридический/Почтовый адрес: 660017, Красноярский край, г.о. город Красноярск,</w:t>
            </w:r>
          </w:p>
          <w:p>
            <w:pPr>
              <w:pStyle w:val="Normal"/>
              <w:widowControl w:val="false"/>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 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tc>
        <w:tc>
          <w:tcPr>
            <w:tcW w:w="4869"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0"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75"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even" r:id="rId6"/>
          <w:headerReference w:type="default" r:id="rId7"/>
          <w:headerReference w:type="first" r:id="rId8"/>
          <w:footerReference w:type="even"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firstLine="4820"/>
        <w:rPr>
          <w:sz w:val="22"/>
          <w:szCs w:val="22"/>
        </w:rPr>
      </w:pPr>
      <w:r>
        <w:rPr>
          <w:sz w:val="22"/>
          <w:szCs w:val="22"/>
        </w:rPr>
        <w:t>Приложение № 1</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3"/>
        <w:gridCol w:w="391"/>
        <w:gridCol w:w="602"/>
        <w:gridCol w:w="612"/>
        <w:gridCol w:w="612"/>
        <w:gridCol w:w="775"/>
        <w:gridCol w:w="725"/>
        <w:gridCol w:w="624"/>
        <w:gridCol w:w="730"/>
        <w:gridCol w:w="689"/>
        <w:gridCol w:w="515"/>
        <w:gridCol w:w="648"/>
        <w:gridCol w:w="552"/>
        <w:gridCol w:w="515"/>
        <w:gridCol w:w="716"/>
        <w:gridCol w:w="475"/>
      </w:tblGrid>
      <w:tr>
        <w:trPr>
          <w:trHeight w:val="526" w:hRule="atLeast"/>
        </w:trPr>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1"/>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2"/>
            </w:r>
          </w:p>
          <w:p>
            <w:pPr>
              <w:pStyle w:val="Normal"/>
              <w:widowControl w:val="false"/>
              <w:jc w:val="center"/>
              <w:rPr>
                <w:bCs/>
              </w:rPr>
            </w:pPr>
            <w:r>
              <w:rPr>
                <w:bCs/>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680" w:right="680" w:hanging="0"/>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680" w:right="680" w:hanging="0"/>
        <w:jc w:val="both"/>
        <w:rPr>
          <w:i/>
          <w:i/>
          <w:highlight w:val="yellow"/>
        </w:rPr>
      </w:pPr>
      <w:r>
        <w:rPr>
          <w:i/>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709" w:top="1134" w:footer="709" w:bottom="1134"/>
          <w:pgNumType w:fmt="decimal"/>
          <w:formProt w:val="false"/>
          <w:textDirection w:val="lrTb"/>
          <w:docGrid w:type="default" w:linePitch="299" w:charSpace="16384"/>
        </w:sectPr>
        <w:pStyle w:val="Normal"/>
        <w:widowControl/>
        <w:ind w:firstLine="709"/>
        <w:rPr>
          <w:rFonts w:eastAsia="Calibri"/>
          <w:b/>
          <w:sz w:val="24"/>
          <w:szCs w:val="24"/>
          <w:lang w:eastAsia="en-US"/>
        </w:rPr>
      </w:pPr>
      <w:r>
        <w:rPr>
          <w:rFonts w:eastAsia="Calibri"/>
          <w:b/>
          <w:sz w:val="24"/>
          <w:szCs w:val="24"/>
          <w:lang w:eastAsia="en-US"/>
        </w:rPr>
      </w:r>
    </w:p>
    <w:p>
      <w:pPr>
        <w:pStyle w:val="Normal"/>
        <w:ind w:firstLine="4820"/>
        <w:rPr>
          <w:sz w:val="22"/>
          <w:szCs w:val="22"/>
        </w:rPr>
      </w:pPr>
      <w:r>
        <w:rPr>
          <w:sz w:val="22"/>
          <w:szCs w:val="22"/>
        </w:rPr>
        <w:t>Приложение № 2</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7"/>
        <w:gridCol w:w="835"/>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rPr>
          <w:sz w:val="22"/>
          <w:szCs w:val="22"/>
        </w:rPr>
      </w:pPr>
      <w:r>
        <w:rPr>
          <w:sz w:val="22"/>
          <w:szCs w:val="22"/>
        </w:rPr>
        <w:t>Приложение № 3</w:t>
      </w:r>
    </w:p>
    <w:p>
      <w:pPr>
        <w:pStyle w:val="Normal"/>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6"/>
      <w:headerReference w:type="first" r:id="rId17"/>
      <w:footerReference w:type="default" r:id="rId18"/>
      <w:footerReference w:type="first" r:id="rId19"/>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5">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6">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7">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8">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9">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0">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1">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2">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bookmarkStart w:id="16" w:name="_GoBack"/>
    <w:bookmarkEnd w:id="1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qFormat/>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sterinnn@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Relationship Id="rId26" Type="http://schemas.openxmlformats.org/officeDocument/2006/relationships/customXml" Target="../customXml/item2.xml"/><Relationship Id="rId27" Type="http://schemas.openxmlformats.org/officeDocument/2006/relationships/customXml" Target="../customXml/item3.xml"/><Relationship Id="rId2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E5EC59-ECD0-4993-B31A-9F9D24F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Application>AlterOffice/3.4.0.9$Linux_X86_64 LibreOffice_project/b8daf9e823b1a5463a2f48435ddc2e8696e7d4fc</Application>
  <AppVersion>15.0000</AppVersion>
  <Pages>21</Pages>
  <Words>7205</Words>
  <Characters>51106</Characters>
  <CharactersWithSpaces>58037</CharactersWithSpaces>
  <Paragraphs>379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masterinnn@corp.gidroogk.com</cp:lastModifiedBy>
  <cp:lastPrinted>2018-05-22T09:46:00Z</cp:lastPrinted>
  <dcterms:modified xsi:type="dcterms:W3CDTF">2026-09-02T15:43:49Z</dcterms:modified>
  <cp:revision>21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