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ind w:left="3828" w:hanging="0"/>
        <w:rPr/>
      </w:pPr>
      <w:r>
        <w:rPr/>
      </w:r>
    </w:p>
    <w:p>
      <w:pPr>
        <w:pStyle w:val="Normal"/>
        <w:shd w:val="clear" w:fill="FFFFFF"/>
        <w:jc w:val="center"/>
        <w:rPr>
          <w:b/>
          <w:b/>
          <w:bCs/>
          <w:i/>
          <w:i/>
          <w:u w:val="single"/>
        </w:rPr>
      </w:pPr>
      <w:r>
        <w:rPr>
          <w:b/>
          <w:bCs/>
          <w:i/>
          <w:u w:val="single"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  <w:t>Технические требования на закупку</w:t>
      </w:r>
    </w:p>
    <w:p>
      <w:pPr>
        <w:pStyle w:val="Normal"/>
        <w:shd w:val="clear" w:fill="FFFFFF"/>
        <w:jc w:val="center"/>
        <w:rPr/>
      </w:pPr>
      <w:r>
        <w:rPr>
          <w:b/>
          <w:bCs/>
          <w:iCs/>
        </w:rPr>
        <w:t>«О</w:t>
      </w:r>
      <w:r>
        <w:rPr>
          <w:b/>
          <w:bCs/>
        </w:rPr>
        <w:t xml:space="preserve">КПД 2  29.10.59.390 Поставка многофункционального крана манипулятора для филиала АО </w:t>
      </w:r>
      <w:r>
        <w:rPr>
          <w:b/>
          <w:bCs/>
          <w:iCs/>
        </w:rPr>
        <w:t>«</w:t>
      </w:r>
      <w:r>
        <w:rPr>
          <w:b/>
          <w:bCs/>
        </w:rPr>
        <w:t>ДРСК</w:t>
      </w:r>
      <w:r>
        <w:rPr>
          <w:b/>
          <w:bCs/>
          <w:iCs/>
        </w:rPr>
        <w:t>»</w:t>
      </w:r>
      <w:r>
        <w:rPr>
          <w:b/>
          <w:bCs/>
        </w:rPr>
        <w:t xml:space="preserve"> </w:t>
      </w:r>
      <w:r>
        <w:rPr>
          <w:b/>
          <w:bCs/>
          <w:iCs/>
        </w:rPr>
        <w:t>«</w:t>
      </w:r>
      <w:r>
        <w:rPr>
          <w:b/>
          <w:bCs/>
        </w:rPr>
        <w:t>Амурские электрические сети</w:t>
      </w:r>
      <w:r>
        <w:rPr>
          <w:b/>
          <w:bCs/>
          <w:iCs/>
        </w:rPr>
        <w:t>»</w:t>
      </w:r>
      <w:r>
        <w:rPr>
          <w:b/>
          <w:bCs/>
        </w:rPr>
        <w:t xml:space="preserve"> (г. Благовещенск)</w:t>
      </w:r>
      <w:r>
        <w:rPr>
          <w:b/>
          <w:bCs/>
          <w:iCs/>
        </w:rPr>
        <w:t>»</w:t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  <w:highlight w:val="white"/>
        </w:rPr>
      </w:pPr>
      <w:r>
        <w:rPr>
          <w:b/>
          <w:bCs/>
          <w:highlight w:val="white"/>
        </w:rPr>
        <w:t>СОДЕРЖАНИЕ</w:t>
      </w:r>
    </w:p>
    <w:p>
      <w:pPr>
        <w:pStyle w:val="16"/>
        <w:shd w:val="clear" w:fill="FFFFFF"/>
        <w:tabs>
          <w:tab w:val="left" w:pos="963" w:leader="none"/>
          <w:tab w:val="right" w:pos="9921" w:leader="dot"/>
        </w:tabs>
        <w:rPr/>
      </w:pPr>
      <w:hyperlink w:anchor="__RefHeading___Toc2261_3754132123">
        <w:r>
          <w:rPr>
            <w:rFonts w:cs="Times New Roman"/>
            <w:highlight w:val="white"/>
          </w:rPr>
          <w:t>1. Общие сведения</w:t>
          <w:tab/>
          <w:t>3</w:t>
        </w:r>
      </w:hyperlink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hyperlink w:anchor="__RefHeading___Toc2263_3754132123">
        <w:r>
          <w:rPr>
            <w:rFonts w:cs="Times New Roman"/>
            <w:bCs/>
            <w:sz w:val="24"/>
            <w:szCs w:val="24"/>
            <w:highlight w:val="white"/>
          </w:rPr>
          <w:t>1.1. Обозначения и сокращения</w:t>
        </w:r>
      </w:hyperlink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hyperlink w:anchor="__RefHeading___Toc2265_3754132123">
        <w:r>
          <w:rPr>
            <w:rFonts w:cs="Times New Roman"/>
            <w:bCs/>
            <w:sz w:val="24"/>
            <w:szCs w:val="24"/>
            <w:highlight w:val="white"/>
          </w:rPr>
          <w:t>1.2. Наименование закупаемой продукции</w:t>
        </w:r>
      </w:hyperlink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hyperlink w:anchor="__RefHeading___Toc2267_3754132123">
        <w:r>
          <w:rPr>
            <w:rFonts w:cs="Times New Roman"/>
            <w:bCs/>
            <w:sz w:val="24"/>
            <w:szCs w:val="24"/>
            <w:highlight w:val="white"/>
          </w:rPr>
          <w:t>1.3. Цель использования закупаемой продукции</w:t>
        </w:r>
      </w:hyperlink>
    </w:p>
    <w:p>
      <w:pPr>
        <w:pStyle w:val="16"/>
        <w:shd w:val="clear" w:fill="FFFFFF"/>
        <w:tabs>
          <w:tab w:val="left" w:pos="963" w:leader="none"/>
          <w:tab w:val="right" w:pos="9921" w:leader="dot"/>
        </w:tabs>
        <w:rPr/>
      </w:pPr>
      <w:hyperlink w:anchor="__RefHeading___Toc2273_3754132123">
        <w:r>
          <w:rPr>
            <w:rFonts w:cs="Times New Roman"/>
          </w:rPr>
          <w:t>2. Требования к продукции</w:t>
          <w:tab/>
        </w:r>
      </w:hyperlink>
      <w:r>
        <w:rPr>
          <w:rFonts w:cs="Times New Roman"/>
          <w:highlight w:val="white"/>
        </w:rPr>
        <w:t>3</w:t>
      </w:r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hyperlink w:anchor="__RefHeading___Toc2275_3754132123">
        <w:r>
          <w:rPr>
            <w:rFonts w:cs="Times New Roman"/>
            <w:bCs/>
            <w:sz w:val="24"/>
            <w:szCs w:val="24"/>
            <w:highlight w:val="white"/>
          </w:rPr>
          <w:t>2.1. Требования к объемам и срокам поставки</w:t>
        </w:r>
      </w:hyperlink>
    </w:p>
    <w:p>
      <w:pPr>
        <w:pStyle w:val="31"/>
        <w:shd w:val="clear" w:fill="FFFFFF"/>
        <w:tabs>
          <w:tab w:val="left" w:pos="1019" w:leader="none"/>
          <w:tab w:val="left" w:pos="9179" w:leader="none"/>
          <w:tab w:val="left" w:pos="9694" w:leader="none"/>
          <w:tab w:val="right" w:pos="9921" w:leader="dot"/>
        </w:tabs>
        <w:rPr/>
      </w:pPr>
      <w:r>
        <w:rPr>
          <w:rFonts w:cs="Times New Roman"/>
          <w:bCs/>
          <w:sz w:val="24"/>
          <w:szCs w:val="24"/>
          <w:highlight w:val="white"/>
        </w:rPr>
        <w:t xml:space="preserve">     </w:t>
      </w:r>
      <w:hyperlink w:anchor="__RefHeading___Toc2277_3754132123">
        <w:r>
          <w:rPr>
            <w:rFonts w:cs="Times New Roman"/>
            <w:sz w:val="24"/>
            <w:szCs w:val="24"/>
          </w:rPr>
          <w:t>2.1.1. Перечень и объем закупаемой продукции</w:t>
        </w:r>
      </w:hyperlink>
    </w:p>
    <w:p>
      <w:pPr>
        <w:pStyle w:val="31"/>
        <w:shd w:val="clear" w:fill="FFFFFF"/>
        <w:tabs>
          <w:tab w:val="left" w:pos="1019" w:leader="none"/>
          <w:tab w:val="left" w:pos="9179" w:leader="none"/>
          <w:tab w:val="left" w:pos="9694" w:leader="none"/>
          <w:tab w:val="right" w:pos="9921" w:leader="dot"/>
        </w:tabs>
        <w:rPr/>
      </w:pPr>
      <w:r>
        <w:rPr>
          <w:rFonts w:cs="Times New Roman"/>
          <w:sz w:val="24"/>
          <w:szCs w:val="24"/>
          <w:highlight w:val="white"/>
        </w:rPr>
        <w:t xml:space="preserve">     </w:t>
      </w:r>
      <w:hyperlink w:anchor="__RefHeading___Toc2277_3754132123">
        <w:r>
          <w:rPr>
            <w:rFonts w:cs="Times New Roman"/>
            <w:sz w:val="24"/>
            <w:szCs w:val="24"/>
          </w:rPr>
          <w:t xml:space="preserve">2.1.2. Требования к срокам поставки продукции </w:t>
        </w:r>
      </w:hyperlink>
    </w:p>
    <w:p>
      <w:pPr>
        <w:pStyle w:val="16"/>
        <w:shd w:val="clear" w:fill="FFFFFF"/>
        <w:tabs>
          <w:tab w:val="left" w:pos="963" w:leader="none"/>
          <w:tab w:val="right" w:pos="9921" w:leader="dot"/>
        </w:tabs>
        <w:rPr/>
      </w:pPr>
      <w:hyperlink w:anchor="__RefHeading___Toc2279_3754132123">
        <w:r>
          <w:rPr>
            <w:rFonts w:cs="Times New Roman"/>
            <w:b w:val="false"/>
            <w:bCs w:val="false"/>
            <w:highlight w:val="white"/>
          </w:rPr>
          <w:t>Таблица 1  Перечень и объем закупаемой продукции</w:t>
        </w:r>
      </w:hyperlink>
    </w:p>
    <w:p>
      <w:pPr>
        <w:pStyle w:val="16"/>
        <w:shd w:val="clear" w:fill="FFFFFF"/>
        <w:tabs>
          <w:tab w:val="left" w:pos="963" w:leader="none"/>
          <w:tab w:val="right" w:pos="9921" w:leader="dot"/>
        </w:tabs>
        <w:rPr/>
      </w:pPr>
      <w:hyperlink w:anchor="__RefHeading___Toc2281_3754132123">
        <w:r>
          <w:rPr>
            <w:rFonts w:cs="Times New Roman"/>
            <w:b w:val="false"/>
            <w:bCs w:val="false"/>
            <w:highlight w:val="white"/>
          </w:rPr>
          <w:t>Таблица 2  Требования по срокам поставки продукции</w:t>
        </w:r>
      </w:hyperlink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hyperlink w:anchor="__RefHeading___Toc2283_3754132123">
        <w:r>
          <w:rPr>
            <w:rFonts w:cs="Times New Roman"/>
            <w:b/>
            <w:bCs/>
            <w:sz w:val="24"/>
            <w:szCs w:val="24"/>
            <w:highlight w:val="white"/>
          </w:rPr>
          <w:t>2.2. Требования к качеству продукции</w:t>
        </w:r>
      </w:hyperlink>
      <w:hyperlink w:anchor="__RefHeading___Toc2283_3754132123">
        <w:r>
          <w:rPr>
            <w:rFonts w:cs="Times New Roman"/>
            <w:sz w:val="24"/>
            <w:szCs w:val="24"/>
          </w:rPr>
          <w:tab/>
        </w:r>
      </w:hyperlink>
      <w:r>
        <w:rPr>
          <w:rFonts w:cs="Times New Roman"/>
          <w:bCs/>
          <w:sz w:val="24"/>
          <w:szCs w:val="24"/>
          <w:highlight w:val="white"/>
        </w:rPr>
        <w:t>4</w:t>
      </w:r>
    </w:p>
    <w:p>
      <w:pPr>
        <w:pStyle w:val="42"/>
        <w:shd w:val="clear" w:fill="FFFFFF"/>
        <w:tabs>
          <w:tab w:val="left" w:pos="1019" w:leader="none"/>
          <w:tab w:val="left" w:pos="1455" w:leader="none"/>
          <w:tab w:val="right" w:pos="9921" w:leader="dot"/>
        </w:tabs>
        <w:rPr/>
      </w:pPr>
      <w:r>
        <w:rPr>
          <w:rFonts w:cs="Times New Roman"/>
          <w:sz w:val="24"/>
          <w:szCs w:val="24"/>
          <w:highlight w:val="white"/>
        </w:rPr>
        <w:t>Таблица 3.  Требования к продукции ( мкм на шасси, 6х6)</w:t>
      </w:r>
    </w:p>
    <w:p>
      <w:pPr>
        <w:pStyle w:val="16"/>
        <w:shd w:val="clear" w:fill="FFFFFF"/>
        <w:tabs>
          <w:tab w:val="left" w:pos="963" w:leader="none"/>
          <w:tab w:val="right" w:pos="9921" w:leader="dot"/>
        </w:tabs>
        <w:ind w:left="-57" w:hanging="0"/>
        <w:jc w:val="center"/>
        <w:rPr/>
      </w:pPr>
      <w:r>
        <w:rPr>
          <w:rFonts w:cs="Times New Roman"/>
          <w:highlight w:val="white"/>
        </w:rPr>
        <w:t xml:space="preserve">           </w:t>
      </w:r>
      <w:r>
        <w:rPr>
          <w:rFonts w:cs="Times New Roman"/>
          <w:highlight w:val="white"/>
        </w:rPr>
        <w:t>3.</w:t>
      </w:r>
      <w:hyperlink w:anchor="__RefHeading___Toc2283_3754132123">
        <w:r>
          <w:rPr>
            <w:rFonts w:cs="Times New Roman"/>
          </w:rPr>
          <w:t xml:space="preserve"> Требования к документации по ценообразованию.</w:t>
        </w:r>
      </w:hyperlink>
      <w:hyperlink w:anchor="__RefHeading___Toc2283_3754132123">
        <w:r>
          <w:rPr>
            <w:rFonts w:cs="Times New Roman"/>
          </w:rPr>
          <w:tab/>
        </w:r>
      </w:hyperlink>
      <w:r>
        <w:rPr>
          <w:rFonts w:cs="Times New Roman"/>
          <w:b w:val="false"/>
          <w:highlight w:val="white"/>
        </w:rPr>
        <w:t>11</w:t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4"/>
        </w:numPr>
        <w:shd w:val="clear" w:fill="FFFFFF"/>
        <w:jc w:val="center"/>
        <w:rPr>
          <w:b/>
          <w:b/>
          <w:bCs/>
        </w:rPr>
      </w:pPr>
      <w:r>
        <w:rPr>
          <w:b/>
          <w:bCs/>
        </w:rPr>
        <w:t>Общие сведения</w:t>
      </w:r>
    </w:p>
    <w:p>
      <w:pPr>
        <w:pStyle w:val="Normal"/>
        <w:numPr>
          <w:ilvl w:val="1"/>
          <w:numId w:val="4"/>
        </w:numPr>
        <w:shd w:val="clear" w:fill="FFFFFF"/>
        <w:ind w:left="0" w:hanging="0"/>
        <w:jc w:val="both"/>
        <w:rPr>
          <w:b/>
          <w:b/>
          <w:bCs/>
        </w:rPr>
      </w:pPr>
      <w:r>
        <w:rPr>
          <w:b/>
          <w:bCs/>
        </w:rPr>
        <w:t>Обозначения и сокращения</w:t>
      </w:r>
    </w:p>
    <w:tbl>
      <w:tblPr>
        <w:tblW w:w="10181" w:type="dxa"/>
        <w:jc w:val="left"/>
        <w:tblInd w:w="-255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02"/>
        <w:gridCol w:w="8478"/>
      </w:tblGrid>
      <w:tr>
        <w:trPr/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ТС</w:t>
            </w:r>
          </w:p>
        </w:tc>
        <w:tc>
          <w:tcPr>
            <w:tcW w:w="8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Транспортное средство</w:t>
            </w:r>
          </w:p>
        </w:tc>
      </w:tr>
      <w:tr>
        <w:trPr/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ЗИП</w:t>
            </w:r>
          </w:p>
        </w:tc>
        <w:tc>
          <w:tcPr>
            <w:tcW w:w="8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Запасные части, инструменты и принадлежности</w:t>
            </w:r>
          </w:p>
        </w:tc>
      </w:tr>
      <w:tr>
        <w:trPr/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КПП</w:t>
            </w:r>
          </w:p>
        </w:tc>
        <w:tc>
          <w:tcPr>
            <w:tcW w:w="8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Коробка перемены передач</w:t>
            </w:r>
          </w:p>
        </w:tc>
      </w:tr>
      <w:tr>
        <w:trPr/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ПТС</w:t>
            </w:r>
          </w:p>
        </w:tc>
        <w:tc>
          <w:tcPr>
            <w:tcW w:w="8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Cs/>
              </w:rPr>
            </w:pPr>
            <w:r>
              <w:rPr>
                <w:bCs/>
              </w:rPr>
              <w:t>Паспорт транспортного средства</w:t>
            </w:r>
          </w:p>
        </w:tc>
      </w:tr>
    </w:tbl>
    <w:p>
      <w:pPr>
        <w:pStyle w:val="Normal"/>
        <w:shd w:val="clear" w:fill="FFFFFF"/>
        <w:tabs>
          <w:tab w:val="clear" w:pos="388"/>
          <w:tab w:val="left" w:pos="-142" w:leader="none"/>
          <w:tab w:val="left" w:pos="0" w:leader="none"/>
        </w:tabs>
        <w:ind w:left="426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2"/>
        </w:numPr>
        <w:shd w:val="clear" w:fill="FFFFFF"/>
        <w:ind w:left="0" w:hanging="0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Наименование закупаемой продукции</w:t>
      </w:r>
    </w:p>
    <w:p>
      <w:pPr>
        <w:pStyle w:val="Normal"/>
        <w:shd w:val="clear" w:fill="FFFFFF"/>
        <w:jc w:val="both"/>
        <w:rPr/>
      </w:pPr>
      <w:r>
        <w:rPr>
          <w:iCs/>
        </w:rPr>
        <w:t>О</w:t>
      </w:r>
      <w:r>
        <w:rPr/>
        <w:t>КПД 2  29.10.59.390 «Поставка многофункционального крана манипулятора для филиала АО «ДРСК» «Амурские электрические сети» (г. Благовещенск)».</w:t>
      </w:r>
    </w:p>
    <w:p>
      <w:pPr>
        <w:pStyle w:val="Normal"/>
        <w:shd w:val="clear" w:fill="FFFFFF"/>
        <w:ind w:left="-454" w:hanging="0"/>
        <w:jc w:val="both"/>
        <w:rPr/>
      </w:pPr>
      <w:r>
        <w:rPr/>
      </w:r>
    </w:p>
    <w:p>
      <w:pPr>
        <w:pStyle w:val="Normal"/>
        <w:shd w:val="clear" w:fill="FFFFFF"/>
        <w:rPr>
          <w:b/>
          <w:b/>
          <w:bCs/>
        </w:rPr>
      </w:pPr>
      <w:r>
        <w:rPr>
          <w:b/>
          <w:bCs/>
        </w:rPr>
        <w:t>1.3.  Цель использования закупаемой продукции</w:t>
      </w:r>
    </w:p>
    <w:p>
      <w:pPr>
        <w:pStyle w:val="Normal"/>
        <w:shd w:val="clear" w:fill="FFFFFF"/>
        <w:jc w:val="both"/>
        <w:rPr/>
      </w:pPr>
      <w:r>
        <w:rPr/>
        <w:t>Для выполнения погрузо-разгрузочных работ, бурильных работ, в качестве телескопического  подъёмника.</w:t>
      </w:r>
    </w:p>
    <w:p>
      <w:pPr>
        <w:pStyle w:val="Normal"/>
        <w:numPr>
          <w:ilvl w:val="0"/>
          <w:numId w:val="4"/>
        </w:numPr>
        <w:shd w:val="clear" w:fill="FFFFFF"/>
        <w:jc w:val="center"/>
        <w:rPr>
          <w:b/>
          <w:b/>
          <w:bCs/>
        </w:rPr>
      </w:pPr>
      <w:r>
        <w:rPr>
          <w:b/>
          <w:bCs/>
        </w:rPr>
        <w:t>Требования к продукции</w:t>
      </w:r>
    </w:p>
    <w:p>
      <w:pPr>
        <w:pStyle w:val="Normal"/>
        <w:numPr>
          <w:ilvl w:val="1"/>
          <w:numId w:val="4"/>
        </w:numPr>
        <w:shd w:val="clear" w:fill="FFFFFF"/>
        <w:ind w:left="0" w:hanging="0"/>
        <w:rPr>
          <w:b/>
          <w:b/>
          <w:bCs/>
        </w:rPr>
      </w:pPr>
      <w:r>
        <w:rPr>
          <w:b/>
          <w:bCs/>
        </w:rPr>
        <w:t>Требования к объемам и срокам поставки</w:t>
      </w:r>
    </w:p>
    <w:p>
      <w:pPr>
        <w:pStyle w:val="Normal"/>
        <w:numPr>
          <w:ilvl w:val="2"/>
          <w:numId w:val="4"/>
        </w:numPr>
        <w:shd w:val="clear" w:fill="FFFFFF"/>
        <w:ind w:left="0" w:hanging="2226"/>
        <w:rPr>
          <w:b/>
          <w:b/>
          <w:bCs/>
        </w:rPr>
      </w:pPr>
      <w:r>
        <w:rPr>
          <w:b/>
          <w:bCs/>
        </w:rPr>
        <w:t>Перечень и объем закупаемой продукции</w:t>
      </w:r>
    </w:p>
    <w:p>
      <w:pPr>
        <w:pStyle w:val="Normal"/>
        <w:shd w:val="clear" w:fill="FFFFFF"/>
        <w:ind w:left="-142" w:hanging="0"/>
        <w:rPr/>
      </w:pPr>
      <w:r>
        <w:rPr/>
      </w:r>
    </w:p>
    <w:p>
      <w:pPr>
        <w:pStyle w:val="Normal"/>
        <w:rPr/>
      </w:pPr>
      <w:r>
        <w:rPr/>
        <w:t>Таблица 1 «Перечень и объем закупаемой продукции»</w:t>
      </w:r>
    </w:p>
    <w:tbl>
      <w:tblPr>
        <w:tblW w:w="10265" w:type="dxa"/>
        <w:jc w:val="left"/>
        <w:tblInd w:w="-255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1"/>
        <w:gridCol w:w="5961"/>
        <w:gridCol w:w="1482"/>
        <w:gridCol w:w="1830"/>
      </w:tblGrid>
      <w:tr>
        <w:trPr>
          <w:trHeight w:val="780" w:hRule="atLeast"/>
        </w:trPr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п/п</w:t>
            </w:r>
          </w:p>
        </w:tc>
        <w:tc>
          <w:tcPr>
            <w:tcW w:w="5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Наименование продукции</w:t>
            </w:r>
          </w:p>
        </w:tc>
        <w:tc>
          <w:tcPr>
            <w:tcW w:w="1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1</w:t>
            </w:r>
          </w:p>
        </w:tc>
        <w:tc>
          <w:tcPr>
            <w:tcW w:w="5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2</w:t>
            </w:r>
          </w:p>
        </w:tc>
        <w:tc>
          <w:tcPr>
            <w:tcW w:w="1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3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31" w:hanging="0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12" w:hanging="0"/>
              <w:rPr/>
            </w:pPr>
            <w:r>
              <w:rPr/>
              <w:t>Многофункциональный кран манипулятор, 6х6</w:t>
            </w:r>
          </w:p>
        </w:tc>
        <w:tc>
          <w:tcPr>
            <w:tcW w:w="1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Arial Unicode MS"/>
                <w:iCs/>
              </w:rPr>
            </w:pPr>
            <w:r>
              <w:rPr>
                <w:rFonts w:eastAsia="Arial Unicode MS"/>
                <w:iCs/>
              </w:rPr>
              <w:t>Шт.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>
      <w:pPr>
        <w:pStyle w:val="Normal"/>
        <w:numPr>
          <w:ilvl w:val="2"/>
          <w:numId w:val="4"/>
        </w:numPr>
        <w:shd w:val="clear" w:fill="FFFFFF"/>
        <w:ind w:left="0" w:hanging="2226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2"/>
          <w:numId w:val="4"/>
        </w:numPr>
        <w:shd w:val="clear" w:fill="FFFFFF"/>
        <w:ind w:left="0" w:hanging="2226"/>
        <w:rPr>
          <w:b/>
          <w:b/>
          <w:bCs/>
        </w:rPr>
      </w:pPr>
      <w:r>
        <w:rPr>
          <w:b/>
          <w:bCs/>
        </w:rPr>
        <w:t>Требования к срокам поставки продукции</w:t>
      </w:r>
    </w:p>
    <w:p>
      <w:pPr>
        <w:pStyle w:val="Normal"/>
        <w:shd w:val="clear" w:fill="FFFFFF"/>
        <w:ind w:hanging="142"/>
        <w:rPr/>
      </w:pPr>
      <w:r>
        <w:rPr/>
      </w:r>
    </w:p>
    <w:p>
      <w:pPr>
        <w:pStyle w:val="Normal"/>
        <w:rPr/>
      </w:pPr>
      <w:r>
        <w:rPr/>
        <w:t>Таблица 2 Требования по срокам поставки продукции</w:t>
      </w:r>
    </w:p>
    <w:tbl>
      <w:tblPr>
        <w:tblW w:w="10217" w:type="dxa"/>
        <w:jc w:val="left"/>
        <w:tblInd w:w="-255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1"/>
        <w:gridCol w:w="3427"/>
        <w:gridCol w:w="2667"/>
        <w:gridCol w:w="3411"/>
      </w:tblGrid>
      <w:tr>
        <w:trPr/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Наименование продукции / (партии продукции)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spacing w:before="40" w:after="40"/>
              <w:ind w:left="57" w:right="57" w:hanging="0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3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hd w:val="clear" w:fill="FFFFFF"/>
              <w:spacing w:before="40" w:after="40"/>
              <w:ind w:left="57" w:right="57" w:hanging="0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1</w:t>
            </w:r>
          </w:p>
        </w:tc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hd w:val="clear" w:fill="FFFFFF"/>
              <w:jc w:val="center"/>
              <w:rPr/>
            </w:pPr>
            <w:r>
              <w:rPr/>
              <w:t>2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hd w:val="clear" w:fill="FFFFFF"/>
              <w:spacing w:before="40" w:after="40"/>
              <w:ind w:left="57" w:right="57" w:hanging="0"/>
              <w:jc w:val="center"/>
              <w:rPr/>
            </w:pPr>
            <w:r>
              <w:rPr/>
              <w:t>3</w:t>
            </w:r>
          </w:p>
        </w:tc>
        <w:tc>
          <w:tcPr>
            <w:tcW w:w="3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hd w:val="clear" w:fill="FFFFFF"/>
              <w:spacing w:before="40" w:after="40"/>
              <w:ind w:left="57" w:right="57" w:hanging="0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3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12" w:hanging="0"/>
              <w:rPr/>
            </w:pPr>
            <w:r>
              <w:rPr/>
              <w:t>Многофункциональный кран манипулятор, 6х6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iCs/>
              </w:rPr>
            </w:pPr>
            <w:r>
              <w:rPr>
                <w:iCs/>
              </w:rPr>
              <w:t>С даты подписания договора</w:t>
            </w:r>
          </w:p>
        </w:tc>
        <w:tc>
          <w:tcPr>
            <w:tcW w:w="3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0" w:leader="none"/>
                <w:tab w:val="left" w:pos="1134" w:leader="none"/>
                <w:tab w:val="left" w:pos="1418" w:leader="none"/>
              </w:tabs>
              <w:ind w:left="340" w:hanging="0"/>
              <w:rPr/>
            </w:pPr>
            <w:r>
              <w:rPr>
                <w:highlight w:val="white"/>
              </w:rPr>
              <w:t>Окончание – В течение 99 (девяносто девяти) календарных дней с даты подписания договора.</w:t>
            </w:r>
          </w:p>
        </w:tc>
      </w:tr>
    </w:tbl>
    <w:p>
      <w:pPr>
        <w:sectPr>
          <w:type w:val="nextPage"/>
          <w:pgSz w:w="11906" w:h="16838"/>
          <w:pgMar w:left="1418" w:right="851" w:header="0" w:top="1021" w:footer="0" w:bottom="680" w:gutter="0"/>
          <w:pgNumType w:fmt="decimal"/>
          <w:formProt w:val="false"/>
          <w:textDirection w:val="lrTb"/>
          <w:docGrid w:type="default" w:linePitch="240" w:charSpace="0"/>
        </w:sectPr>
      </w:pPr>
    </w:p>
    <w:p>
      <w:pPr>
        <w:pStyle w:val="Normal"/>
        <w:numPr>
          <w:ilvl w:val="1"/>
          <w:numId w:val="4"/>
        </w:numPr>
        <w:shd w:val="clear" w:fill="FFFFFF"/>
        <w:ind w:left="709" w:hanging="708"/>
        <w:jc w:val="both"/>
        <w:rPr>
          <w:b/>
          <w:b/>
          <w:bCs/>
        </w:rPr>
      </w:pPr>
      <w:r>
        <w:rPr>
          <w:b/>
          <w:bCs/>
        </w:rPr>
        <w:t>Требования к качеству продукции</w:t>
      </w:r>
    </w:p>
    <w:p>
      <w:pPr>
        <w:pStyle w:val="Normal"/>
        <w:shd w:val="clear" w:fill="FFFFFF"/>
        <w:ind w:left="426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jc w:val="both"/>
        <w:rPr/>
      </w:pPr>
      <w:r>
        <w:rPr>
          <w:b/>
        </w:rPr>
        <w:t>Таблица 3.  Требования к продукции (</w:t>
      </w:r>
      <w:r>
        <w:rPr>
          <w:b/>
          <w:bCs/>
        </w:rPr>
        <w:t>многофункционального крана манипулятора</w:t>
      </w:r>
      <w:r>
        <w:rPr>
          <w:rFonts w:eastAsia="Arial Unicode MS"/>
          <w:b/>
        </w:rPr>
        <w:t xml:space="preserve"> на шасси, 6х6)</w:t>
      </w:r>
    </w:p>
    <w:tbl>
      <w:tblPr>
        <w:tblW w:w="15178" w:type="dxa"/>
        <w:jc w:val="left"/>
        <w:tblInd w:w="170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3412"/>
        <w:gridCol w:w="23"/>
        <w:gridCol w:w="4501"/>
        <w:gridCol w:w="2370"/>
        <w:gridCol w:w="2481"/>
        <w:gridCol w:w="1683"/>
      </w:tblGrid>
      <w:tr>
        <w:trPr>
          <w:trHeight w:val="23" w:hRule="atLeast"/>
        </w:trPr>
        <w:tc>
          <w:tcPr>
            <w:tcW w:w="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№</w:t>
            </w:r>
            <w:r>
              <w:rPr>
                <w:b/>
                <w:bCs/>
                <w:sz w:val="16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п/п</w:t>
            </w:r>
          </w:p>
        </w:tc>
        <w:tc>
          <w:tcPr>
            <w:tcW w:w="34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452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Требование заказчика</w:t>
            </w:r>
          </w:p>
        </w:tc>
        <w:tc>
          <w:tcPr>
            <w:tcW w:w="4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3" w:hRule="atLeast"/>
        </w:trPr>
        <w:tc>
          <w:tcPr>
            <w:tcW w:w="70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</w:tc>
        <w:tc>
          <w:tcPr>
            <w:tcW w:w="341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</w:tc>
        <w:tc>
          <w:tcPr>
            <w:tcW w:w="4524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Согласие с требованием / указание характеристик</w:t>
            </w:r>
          </w:p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sz w:val="16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16"/>
                <w:szCs w:val="24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rPr>
                <w:rFonts w:eastAsia="Calibri"/>
                <w:b/>
                <w:b/>
                <w:bCs/>
                <w:sz w:val="16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24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1.</w:t>
            </w:r>
          </w:p>
        </w:tc>
        <w:tc>
          <w:tcPr>
            <w:tcW w:w="127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highlight w:val="yellow"/>
                <w:lang w:eastAsia="en-US"/>
              </w:rPr>
            </w:pPr>
            <w:r>
              <w:rPr>
                <w:rFonts w:eastAsia="Calibri"/>
                <w:b/>
                <w:iCs/>
                <w:highlight w:val="yellow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1.1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Год выпуска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2026 (новый, без пробега)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год выпуска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1.2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Arial Unicode MS"/>
                <w:lang w:eastAsia="ru-RU"/>
              </w:rPr>
              <w:t xml:space="preserve">Новый, без </w:t>
            </w:r>
            <w:r>
              <w:rPr>
                <w:lang w:eastAsia="ru-RU"/>
              </w:rPr>
              <w:t>эксплуатационного</w:t>
            </w:r>
            <w:r>
              <w:rPr>
                <w:rFonts w:eastAsia="Arial Unicode MS"/>
                <w:lang w:eastAsia="ru-RU"/>
              </w:rPr>
              <w:t xml:space="preserve"> пробега и наработки моточасов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lang w:eastAsia="ru-RU"/>
              </w:rPr>
            </w:pPr>
            <w:r>
              <w:rPr>
                <w:lang w:eastAsia="ru-RU"/>
              </w:rPr>
              <w:t>- под новым следует понимать автотехнику, которая не была в употреблении, не проходила ремонт, в том числе восстановление, замену составных частей, восстановление потребительских свойств;</w:t>
            </w:r>
          </w:p>
          <w:p>
            <w:pPr>
              <w:pStyle w:val="NormalWeb"/>
              <w:widowControl w:val="false"/>
              <w:shd w:val="clear" w:fill="FFFFFF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- без пробега, означает, что не допускается эксплуатационный пробег;</w:t>
            </w:r>
          </w:p>
          <w:p>
            <w:pPr>
              <w:pStyle w:val="NormalWeb"/>
              <w:widowControl w:val="false"/>
              <w:shd w:val="clear" w:fill="FFFFFF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  <w:lang w:eastAsia="ru-RU"/>
              </w:rPr>
              <w:t>- без наработки в моточасах означает без эксплуатационной наработки.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1.3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Наименование транспортного средства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388"/>
                <w:tab w:val="left" w:pos="0" w:leader="none"/>
              </w:tabs>
              <w:ind w:left="12" w:hanging="0"/>
              <w:jc w:val="both"/>
              <w:outlineLvl w:val="0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Бурильно-крановая машина с автоподъемником на шасси, 6х6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точное наименование ТС в соответствии с паспортом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eastAsia="en-US"/>
              </w:rPr>
            </w:pPr>
            <w:r>
              <w:rPr>
                <w:rFonts w:eastAsia="Calibri"/>
                <w:b/>
                <w:iCs/>
                <w:lang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1.4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Производитель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ind w:left="12" w:hanging="0"/>
              <w:jc w:val="both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производителя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1.5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Категория управления ТС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ascii="Times New Roman" w:hAnsi="Times New Roman"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lang w:eastAsia="ru-RU" w:bidi="ar-SA"/>
              </w:rPr>
              <w:t>«С»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Annotationreference"/>
                <w:sz w:val="24"/>
                <w:szCs w:val="24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1.6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Габаритные размеры ТС, не более,  (мм):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Times New Roman" w:cs="Times New Roman"/>
                <w:lang w:eastAsia="ru-RU" w:bidi="ar-SA"/>
              </w:rPr>
              <w:t>Длина – не более 9700, ( Допускается погрешность в значениях параметров в пределах 5%)</w:t>
            </w:r>
          </w:p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Times New Roman" w:cs="Times New Roman"/>
                <w:lang w:eastAsia="ru-RU" w:bidi="ar-SA"/>
              </w:rPr>
              <w:t>ширина – не более 2550,</w:t>
            </w:r>
          </w:p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Times New Roman" w:cs="Times New Roman"/>
                <w:lang w:eastAsia="ru-RU" w:bidi="ar-SA"/>
              </w:rPr>
              <w:t>высота – не более 4000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приложить чертежи с указанием габаритных размеров  предлагаемого к поставке ТС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1.7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Двигатель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Дизельный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ru-RU"/>
              </w:rPr>
            </w:pPr>
            <w:r>
              <w:rPr>
                <w:rFonts w:eastAsia="Calibri"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1.8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Мощность двигателя, не менее,  (л.с.)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Не менее 290 л.с.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eastAsia="en-US"/>
              </w:rPr>
            </w:pPr>
            <w:r>
              <w:rPr>
                <w:rFonts w:eastAsia="Calibri"/>
                <w:b/>
                <w:iCs/>
                <w:lang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1.9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Коробка передач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en-US" w:bidi="ar-SA"/>
              </w:rPr>
              <w:t>Механическая</w:t>
            </w:r>
          </w:p>
          <w:p>
            <w:pPr>
              <w:pStyle w:val="NormalWeb"/>
              <w:widowControl w:val="false"/>
              <w:shd w:val="clear" w:fill="FFFFFF"/>
              <w:spacing w:before="0" w:after="0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en-US" w:bidi="ar-SA"/>
              </w:rPr>
              <w:t>не менее 9 ступеней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1.10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Колесная формула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6х6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1.11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Грузоподъёмность бортовой платформы, кг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Не менее  6900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1.12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Кабина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jc w:val="both"/>
              <w:rPr>
                <w:rFonts w:ascii="Times New Roman" w:hAnsi="Times New Roman" w:eastAsia="Calibri" w:cs="Times New Roman"/>
                <w:bCs/>
                <w:color w:val="00000A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Двухместная, двухдверная, со спальным местом. Сиденья мягкие регулируемые с ремнями безопасности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1.13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  <w:lang w:eastAsia="en-US"/>
              </w:rPr>
              <w:t>Внутренние размеры бортовой платформы (Д/Ш/В), мм: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Не менее 6112 х 2470 х 600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1.14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Ошиновка шасси по осям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Односкатная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1.15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Распределение полной массы автомобиля на дорогу не более, т.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Через шины передних колёс – не более – 6,5.</w:t>
            </w:r>
          </w:p>
          <w:p>
            <w:pPr>
              <w:pStyle w:val="NormalWeb"/>
              <w:widowControl w:val="false"/>
              <w:shd w:val="clear" w:fill="FFFFFF"/>
              <w:spacing w:before="0" w:after="0"/>
              <w:ind w:left="12" w:hanging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Через шины задних колёс (тележки) – не более – 16,0.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1.16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Опоры подъемного сооружения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Гидравлические, не менее 4-х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Annotationreference"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1.17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Люлька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lineRule="auto" w:line="276"/>
              <w:ind w:hanging="0"/>
              <w:jc w:val="both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color w:val="000000"/>
                <w:sz w:val="24"/>
                <w:szCs w:val="24"/>
                <w:highlight w:val="white"/>
                <w:u w:val="none"/>
                <w:lang w:val="ru-RU" w:eastAsia="en-US" w:bidi="ar-SA"/>
              </w:rPr>
              <w:t>1.Металлическая. Оснащение электроизоляцией для работы с энергоустановками до 1 кВ. Подвес люльки с 2-х сторон, допускается  исполнения с одноточечным креплением, по центру люльки)</w:t>
            </w:r>
          </w:p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/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2. Грузоподъемность люльки - не менее 250 кг;</w:t>
            </w:r>
          </w:p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3. Максимальная высота подъема люльки — не менее 23 м;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1.18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Крановое оборудование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both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1. Вылет телескопической стрелы кранового оборудования, н</w:t>
            </w: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е менее - 18,9 м);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2. Грузовой момент - не менее  20 тм;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3. Грузоподъемность, не менее - 7,2тонн.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bookmarkStart w:id="0" w:name="_GoBack"/>
            <w:bookmarkEnd w:id="0"/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4. Максимальная высота подъема крюка — не менее 19,4 м.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ascii="Times New Roman" w:hAnsi="Times New Roman" w:eastAsia="Calibri" w:cs="Times New Roman"/>
                <w:bCs/>
                <w:color w:val="000000"/>
                <w:lang w:eastAsia="en-US" w:bidi="ar-SA"/>
              </w:rPr>
            </w:pP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>5. Количество секций стрелы — не менее 6 шт;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6. Угол поворота колонны — не менее 360 град.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7.угол опускания стрелы - не менее 17 градусов.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1.19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Бурильный инструмент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color w:val="000000"/>
                <w:lang w:eastAsia="en-US"/>
              </w:rPr>
              <w:t>1. Максимальный крутящий момент на бурильном инс</w:t>
            </w:r>
            <w:r>
              <w:rPr>
                <w:rFonts w:eastAsia="Calibri" w:cs="Times New Roman"/>
                <w:bCs/>
                <w:color w:val="000000"/>
                <w:lang w:eastAsia="en-US" w:bidi="ar-SA"/>
              </w:rPr>
              <w:t xml:space="preserve">трументе </w:t>
            </w:r>
            <w:r>
              <w:rPr>
                <w:rFonts w:eastAsia="Calibri" w:cs="Lohit Devanagari"/>
                <w:bCs/>
                <w:color w:val="000000"/>
                <w:sz w:val="24"/>
                <w:szCs w:val="24"/>
                <w:lang w:val="ru-RU" w:eastAsia="en-US" w:bidi="hi-IN"/>
              </w:rPr>
              <w:t>- не менее   7000(н*м)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2. Диаметр бурения - не менее 0,8 м;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3. Глубина бурения - не менее 8 м;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4. Тип гидравлической линии - цепная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1.20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Наличие ЗИП: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Согласно комплектации завода-изготовителя, но не менее указанного: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1.Домкрат (10 тонн) с деревянной подкладкой 300х200х40 мм — 1 шт.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2.Знак аварийной остановки — 1 шт.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3.Аптечка первой помощи - 1 шт.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4.Противооткатные упоры – 2 шт.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5.Жилет или жилет-накидка согласно ГОСТа 12.4.281-2014 -2 шт..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Cs/>
                <w:lang w:eastAsia="en-US"/>
              </w:rPr>
              <w:t>6.Утеплитель капота.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7.Коврики резиновые в кабине.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8.Баллонный ключ – 1 шт.;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9.Шприц рычажно-плунжерный – 1 шт.;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10.Ключ для регулировки подшипников ступиц колес – 1 шт.;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11.Огнетушитель ОП2 (3) - 1 шт.;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bCs/>
                <w:lang w:eastAsia="en-US"/>
              </w:rPr>
              <w:t>-Комплект ЗИП для ремонта и обслуживания крановой установки (РТИ, комплект быстроизнашивающихся частей).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Fonts w:eastAsia="Calibri"/>
                <w:bCs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1.21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Дополнительная комплектация: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b/>
                <w:b/>
                <w:bCs/>
                <w:i/>
                <w:i/>
                <w:iCs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>Кондиционер кабины (24V).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Защитный тент оператора</w:t>
            </w:r>
          </w:p>
          <w:p>
            <w:pPr>
              <w:pStyle w:val="Normal"/>
              <w:widowControl w:val="false"/>
              <w:shd w:val="clear" w:fill="FFFFFF"/>
              <w:spacing w:lineRule="auto" w:line="276"/>
              <w:ind w:hanging="0"/>
              <w:jc w:val="both"/>
              <w:rPr>
                <w:color w:val="000000"/>
                <w:highlight w:val="white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sz w:val="24"/>
                <w:szCs w:val="24"/>
                <w:highlight w:val="white"/>
                <w:u w:val="none"/>
                <w:lang w:val="ru-RU" w:eastAsia="en-US" w:bidi="ar-SA"/>
              </w:rPr>
              <w:t>- Трос (лебедка) крана-манипулятора - не менее  100 м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lang w:eastAsia="en-US"/>
              </w:rPr>
              <w:t>-Автономный переносной пульт управления манипулятором (ДПУ) — 1 шт.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b/>
                <w:bCs/>
                <w:lang w:eastAsia="en-US"/>
              </w:rPr>
              <w:t>-Лонжементы</w:t>
            </w:r>
            <w:r>
              <w:rPr>
                <w:rFonts w:eastAsia="Calibri"/>
                <w:lang w:eastAsia="en-US"/>
              </w:rPr>
              <w:t xml:space="preserve"> для перевозки 4-х Ж/б опор ЛЭП.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-Автономный отопитель салона кабины.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-Предпусковой дизельный подогреватель двигателя.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lang w:eastAsia="en-US"/>
              </w:rPr>
              <w:t>-Деревянные подкладки под аутригеры установки.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-Трос буксирный со световозвращающими маркерами с усилием нагрузки 15 тс, длиной - 6 м.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-Ящики для размещения инвентарных подкладок.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-Места для установки переносного заземления на раме шасси подъемника для работы в охранной зоне ВЛ.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-Прожектор (фара-искатель) на стреле для освещения места проведения работ в темное время суток.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-Тахограф с блоком СКЗИ, отвечающий требованиям законодательства.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-Шнек телескопический диаметром 450 мм. ШТ36-88.2100.000.</w:t>
            </w:r>
          </w:p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rFonts w:eastAsia="Calibri"/>
                <w:lang w:eastAsia="en-US"/>
              </w:rPr>
              <w:t>-Бур лопастной диаметром 450 мм. Б-01703.45.000, с комплектом резцов.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-Наличие пневмовыводов, для подключения тормозной системы прицепа.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-Наличие электровыводов для подключения электрооборудования прицепа.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-Наличие тягово-сцепного устройства типа «крюк-петля» соответствующее ГОСТ-2349-75 для буксировки прицепа максимальной масссой не менее — 9 тонн.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-Видеорегистратор с установкой и подключением, с картой не менее памяти 64 ГБ: максимальное разрешение видеозаписи не менее 1920х1080, тип разрешения видеозаписи не хуже FullHD.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b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1.22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Управление КМУ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земли, рабочее место оператора на колонне с защитой от атмосферных осадков, с беспроводного пульта.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Arial Unicode MS"/>
                <w:lang w:eastAsia="ru-RU"/>
              </w:rPr>
            </w:pPr>
            <w:r>
              <w:rPr>
                <w:rFonts w:eastAsia="Arial Unicode MS"/>
                <w:lang w:eastAsia="ru-RU"/>
              </w:rPr>
              <w:t>1.23</w:t>
            </w:r>
          </w:p>
        </w:tc>
        <w:tc>
          <w:tcPr>
            <w:tcW w:w="34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Приборы безопасности</w:t>
            </w:r>
          </w:p>
        </w:tc>
        <w:tc>
          <w:tcPr>
            <w:tcW w:w="4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/>
            </w:pPr>
            <w:r>
              <w:rPr>
                <w:rFonts w:eastAsia="Calibri"/>
                <w:lang w:eastAsia="en-US"/>
              </w:rPr>
              <w:t>1.Обязательное наличие, в соответствии ФНП «Подъемные сооружения», с указанием марки приборов.</w:t>
            </w:r>
          </w:p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2.Датчики контроля опор — не менее 4 шт.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2.</w:t>
            </w:r>
          </w:p>
        </w:tc>
        <w:tc>
          <w:tcPr>
            <w:tcW w:w="79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Требования к безопасности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2.1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/>
              <w:t>Требования безопасности ТС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60" w:leader="none"/>
                <w:tab w:val="left" w:pos="735" w:leader="none"/>
              </w:tabs>
              <w:snapToGrid w:val="false"/>
              <w:jc w:val="both"/>
              <w:rPr/>
            </w:pPr>
            <w:r>
              <w:rPr>
                <w:rFonts w:eastAsia="Calibri"/>
                <w:highlight w:val="white"/>
              </w:rPr>
              <w:t>Транспортное средство должно соответствовать требованиям технического регламента Таможенного союза ТР ТС 018/2011 «О безопасности колесных транспортных средств»</w:t>
            </w:r>
            <w:r>
              <w:rPr>
                <w:rFonts w:eastAsia="Arial Unicode MS"/>
                <w:highlight w:val="white"/>
              </w:rPr>
              <w:t xml:space="preserve"> с учетом требований Постановления Правительства РФ от 12 мая 2022г. № 855 «Об утверждении Правил применения обязательных требований в отношении отдельных колесных транспортных средств и проведения оценки их соответствия» (с изменениями и дополнениями)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Annotationreference"/>
                <w:sz w:val="24"/>
                <w:szCs w:val="24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2.2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Fonts w:eastAsia="Calibri"/>
                <w:lang w:eastAsia="en-US"/>
              </w:rPr>
              <w:t>Устройство в</w:t>
            </w:r>
            <w:r>
              <w:rPr>
                <w:rFonts w:eastAsia="Calibri"/>
                <w:bCs/>
                <w:lang w:eastAsia="en-US"/>
              </w:rPr>
              <w:t>ызова экстренных оперативных служб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450" w:leader="none"/>
              </w:tabs>
              <w:snapToGrid w:val="false"/>
              <w:ind w:left="0" w:hanging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Устройство ЭВ «ЭРА ГЛОНАСС» с учетом требований Постановления Правительства РФ от 12 мая 2022 г. № 855 «Об утверждении Правил применения обязательных требований в отношении отдельных колесных транспортных средств и проведения оценки их соответствия» (с изменениями и дополнениями)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Annotationreference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3.</w:t>
            </w:r>
          </w:p>
        </w:tc>
        <w:tc>
          <w:tcPr>
            <w:tcW w:w="79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3.1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hanging="0"/>
              <w:rPr/>
            </w:pPr>
            <w:r>
              <w:rPr>
                <w:rStyle w:val="Annotationreference"/>
                <w:sz w:val="24"/>
                <w:szCs w:val="24"/>
              </w:rPr>
              <w:t>Поставка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hanging="0"/>
              <w:jc w:val="both"/>
              <w:rPr/>
            </w:pPr>
            <w:r>
              <w:rPr/>
              <w:t>Не допускается доставка своим ходом.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Annotationreference"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1"/>
              </w:numPr>
              <w:shd w:val="clear" w:fill="FFFFFF"/>
              <w:tabs>
                <w:tab w:val="clear" w:pos="388"/>
                <w:tab w:val="left" w:pos="0" w:leader="none"/>
              </w:tabs>
              <w:snapToGrid w:val="false"/>
              <w:jc w:val="center"/>
              <w:outlineLvl w:val="2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3.2.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hanging="0"/>
              <w:rPr/>
            </w:pPr>
            <w:r>
              <w:rPr>
                <w:rStyle w:val="Annotationreference"/>
                <w:sz w:val="24"/>
                <w:szCs w:val="24"/>
                <w:lang w:eastAsia="ru-RU"/>
              </w:rPr>
              <w:t>Способ доставка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hanging="0"/>
              <w:jc w:val="both"/>
              <w:rPr/>
            </w:pPr>
            <w:r>
              <w:rPr/>
              <w:t>Доставка ж/д транспортом, автотранспортом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Указать способ доставки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1"/>
              </w:numPr>
              <w:shd w:val="clear" w:fill="FFFFFF"/>
              <w:tabs>
                <w:tab w:val="clear" w:pos="388"/>
                <w:tab w:val="left" w:pos="0" w:leader="none"/>
              </w:tabs>
              <w:snapToGrid w:val="false"/>
              <w:jc w:val="center"/>
              <w:outlineLvl w:val="2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3.3.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/>
              <w:t>Место поставки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57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Амурская обл. г. Благовещенск ул. Театральная 179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/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1"/>
              </w:numPr>
              <w:shd w:val="clear" w:fill="FFFFFF"/>
              <w:tabs>
                <w:tab w:val="clear" w:pos="388"/>
                <w:tab w:val="left" w:pos="0" w:leader="none"/>
              </w:tabs>
              <w:snapToGrid w:val="false"/>
              <w:jc w:val="center"/>
              <w:outlineLvl w:val="2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4.</w:t>
            </w:r>
          </w:p>
        </w:tc>
        <w:tc>
          <w:tcPr>
            <w:tcW w:w="79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4.1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Гарантийный период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both"/>
              <w:rPr/>
            </w:pPr>
            <w:r>
              <w:rPr>
                <w:lang w:eastAsia="ru-RU"/>
              </w:rPr>
              <w:t>Не менее 24 месяцев с момента приемки продукции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Указать характеристики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/>
                <w:b/>
                <w:iCs/>
                <w:lang w:val="en-US" w:eastAsia="ru-RU"/>
              </w:rPr>
            </w:pPr>
            <w:r>
              <w:rPr>
                <w:rFonts w:eastAsia="Calibri"/>
                <w:b/>
                <w:iCs/>
                <w:lang w:val="en-US"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2"/>
                <w:numId w:val="1"/>
              </w:numPr>
              <w:shd w:val="clear" w:fill="FFFFFF"/>
              <w:tabs>
                <w:tab w:val="clear" w:pos="388"/>
                <w:tab w:val="left" w:pos="0" w:leader="none"/>
              </w:tabs>
              <w:snapToGrid w:val="false"/>
              <w:jc w:val="both"/>
              <w:outlineLvl w:val="2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/>
                <w:b/>
                <w:lang w:val="en-US" w:eastAsia="ru-RU"/>
              </w:rPr>
            </w:pPr>
            <w:r>
              <w:rPr>
                <w:rFonts w:eastAsia="Calibri"/>
                <w:b/>
                <w:lang w:val="en-US" w:eastAsia="ru-RU"/>
              </w:rPr>
              <w:t>5</w:t>
            </w:r>
          </w:p>
        </w:tc>
        <w:tc>
          <w:tcPr>
            <w:tcW w:w="79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both"/>
              <w:rPr>
                <w:b/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5.1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Необходимое наличие комплекта документов при поставке</w:t>
            </w:r>
          </w:p>
        </w:tc>
        <w:tc>
          <w:tcPr>
            <w:tcW w:w="4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>1. Заверенная копия выписки из электронного паспорта транспортного средства.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1080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>2. Руководство по эксплуатации, техническому обслуживанию и ремонту автомобиля, на русском языке.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3. Руководство по эксплуатации автономного воздушного отопителя, на русском языке.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4. Каталог сборочных единиц.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/>
            </w:pPr>
            <w:r>
              <w:rPr>
                <w:rFonts w:eastAsia="Calibri"/>
                <w:lang w:eastAsia="ru-RU"/>
              </w:rPr>
              <w:t>5. П</w:t>
            </w:r>
            <w:r>
              <w:rPr/>
              <w:t>аспорт на кран и подъёмник;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/>
            </w:pPr>
            <w:r>
              <w:rPr/>
              <w:t>6. Сертификат качества на поставляемую продукцию.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/>
            </w:pPr>
            <w:r>
              <w:rPr>
                <w:rFonts w:eastAsia="Calibri"/>
                <w:lang w:eastAsia="ru-RU"/>
              </w:rPr>
              <w:t>7. Паспорта и руководства по эксплуатации приборов и устройств безопасности.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411" w:leader="none"/>
              </w:tabs>
              <w:ind w:left="12" w:hanging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8. Паспорт, свидетельство о поверки, инструкция по эксплуатации на тахограф.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fill="FFFFFF"/>
              <w:ind w:left="170" w:hanging="113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Согласие с требованием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</w:r>
          </w:p>
        </w:tc>
      </w:tr>
    </w:tbl>
    <w:p>
      <w:pPr>
        <w:pStyle w:val="Normal"/>
        <w:shd w:val="clear" w:fill="FFFFFF"/>
        <w:tabs>
          <w:tab w:val="clear" w:pos="388"/>
          <w:tab w:val="left" w:pos="1605" w:leader="none"/>
        </w:tabs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i/>
          <w:iCs/>
        </w:rPr>
        <w:t>Примечание: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shd w:val="clear" w:fill="FFFFFF"/>
        <w:ind w:firstLine="388"/>
        <w:rPr/>
      </w:pPr>
      <w:r>
        <w:rPr>
          <w:i/>
          <w:iCs/>
        </w:rPr>
        <w:t>2.2.1. В составе заявки необходимо предоставить:</w:t>
      </w:r>
    </w:p>
    <w:p>
      <w:pPr>
        <w:pStyle w:val="Normal"/>
        <w:shd w:val="clear" w:fill="FFFFFF"/>
        <w:spacing w:before="0" w:after="60"/>
        <w:jc w:val="both"/>
        <w:rPr/>
      </w:pPr>
      <w:r>
        <w:rPr>
          <w:rFonts w:cs="Times New Roman" w:ascii="Times New Roman" w:hAnsi="Times New Roman"/>
          <w:i/>
          <w:iCs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>
      <w:pPr>
        <w:pStyle w:val="ListParagraph"/>
        <w:numPr>
          <w:ilvl w:val="0"/>
          <w:numId w:val="3"/>
        </w:numPr>
        <w:shd w:val="clear" w:fill="FFFFFF"/>
        <w:spacing w:before="0" w:after="60"/>
        <w:ind w:left="426" w:hanging="437"/>
        <w:jc w:val="both"/>
        <w:textAlignment w:val="auto"/>
        <w:rPr>
          <w:i/>
          <w:i/>
          <w:iCs/>
        </w:rPr>
      </w:pPr>
      <w:r>
        <w:rPr>
          <w:i/>
          <w:iCs/>
        </w:rPr>
        <w:t>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shd w:val="clear" w:fill="FFFFFF"/>
        <w:tabs>
          <w:tab w:val="clear" w:pos="388"/>
          <w:tab w:val="left" w:pos="1179" w:leader="none"/>
        </w:tabs>
        <w:ind w:left="426" w:hanging="437"/>
        <w:jc w:val="both"/>
        <w:rPr/>
      </w:pPr>
      <w:r>
        <w:rPr>
          <w:i/>
          <w:iCs/>
        </w:rPr>
        <w:t>2)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hd w:val="clear" w:fill="FFFFFF"/>
        <w:tabs>
          <w:tab w:val="clear" w:pos="388"/>
          <w:tab w:val="left" w:pos="1179" w:leader="none"/>
        </w:tabs>
        <w:ind w:left="426" w:hanging="437"/>
        <w:jc w:val="both"/>
        <w:rPr/>
      </w:pPr>
      <w:r>
        <w:rPr>
          <w:bCs/>
          <w:i/>
          <w:iCs/>
          <w:lang w:eastAsia="en-US"/>
        </w:rPr>
        <w:t>3) Приложить чертежи с указанием габаритных размеров  предлагаемого к поставке ТС.</w:t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rPr/>
      </w:pPr>
      <w:r>
        <w:rPr>
          <w:b/>
          <w:bCs/>
        </w:rPr>
        <w:t>3</w:t>
      </w:r>
      <w:r>
        <w:rPr>
          <w:rFonts w:eastAsia="Calibri"/>
          <w:b/>
          <w:bCs/>
          <w:lang w:eastAsia="en-US"/>
        </w:rPr>
        <w:t xml:space="preserve">. </w:t>
      </w:r>
      <w:bookmarkStart w:id="1" w:name="_Toc31295832"/>
      <w:bookmarkEnd w:id="1"/>
      <w:r>
        <w:rPr>
          <w:rFonts w:eastAsia="Calibri"/>
          <w:b/>
          <w:bCs/>
          <w:lang w:eastAsia="en-US"/>
        </w:rPr>
        <w:t>Требования к документации по ценообразованию.</w:t>
      </w:r>
    </w:p>
    <w:p>
      <w:pPr>
        <w:pStyle w:val="Normal"/>
        <w:shd w:val="clear" w:fill="FFFFFF"/>
        <w:ind w:firstLine="388"/>
        <w:jc w:val="both"/>
        <w:rPr/>
      </w:pPr>
      <w:r>
        <w:rPr/>
        <w:t>3.</w:t>
      </w:r>
      <w:r>
        <w:rPr>
          <w:iCs/>
        </w:rPr>
        <w:t>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hd w:val="clear" w:fill="FFFFFF"/>
        <w:ind w:firstLine="388"/>
        <w:jc w:val="both"/>
        <w:rPr/>
      </w:pPr>
      <w:r>
        <w:rPr>
          <w:iCs/>
        </w:rPr>
        <w:t>3.2. Все цены в предложении должны включать все налоги, транспортные расходы,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rPr/>
      </w:pPr>
      <w:r>
        <w:rPr/>
      </w:r>
    </w:p>
    <w:sectPr>
      <w:type w:val="nextPage"/>
      <w:pgSz w:orient="landscape" w:w="16838" w:h="11906"/>
      <w:pgMar w:left="992" w:right="678" w:header="0" w:top="851" w:footer="0" w:bottom="851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5"/>
  <w:defaultTabStop w:val="38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hd w:val="clear" w:color="auto" w:fill="FFFFFF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WenQuanYi Zen Hei Sharp" w:cs="Lohit Devanagar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pPr>
      <w:keepNext w:val="true"/>
      <w:shd w:val="clear" w:fill="FFFFFF"/>
      <w:spacing w:before="240" w:after="60"/>
      <w:outlineLvl w:val="0"/>
    </w:pPr>
    <w:rPr>
      <w:rFonts w:ascii="Calibri Light" w:hAnsi="Calibri Light" w:eastAsia="Calibri Light" w:cs="Calibri Light"/>
      <w:b/>
      <w:bCs/>
      <w:sz w:val="32"/>
      <w:szCs w:val="32"/>
    </w:rPr>
  </w:style>
  <w:style w:type="paragraph" w:styleId="3">
    <w:name w:val="Heading 3"/>
    <w:basedOn w:val="Normal"/>
    <w:qFormat/>
    <w:pPr>
      <w:keepNext w:val="true"/>
      <w:shd w:val="clear" w:fill="FFFFFF"/>
      <w:ind w:right="141" w:hanging="0"/>
      <w:jc w:val="center"/>
      <w:outlineLvl w:val="2"/>
    </w:pPr>
    <w:rPr>
      <w:sz w:val="28"/>
      <w:szCs w:val="20"/>
    </w:rPr>
  </w:style>
  <w:style w:type="paragraph" w:styleId="4">
    <w:name w:val="Heading 4"/>
    <w:basedOn w:val="Normal"/>
    <w:qFormat/>
    <w:pPr>
      <w:keepNext w:val="true"/>
      <w:shd w:val="clear" w:fill="FFFFFF"/>
      <w:spacing w:before="240" w:after="60"/>
      <w:outlineLvl w:val="3"/>
    </w:pPr>
    <w:rPr>
      <w:rFonts w:ascii="Calibri" w:hAnsi="Calibri" w:eastAsia="Calibri" w:cs="Calibri"/>
      <w:b/>
      <w:bCs/>
      <w:sz w:val="28"/>
      <w:szCs w:val="28"/>
    </w:rPr>
  </w:style>
  <w:style w:type="paragraph" w:styleId="5">
    <w:name w:val="Heading 5"/>
    <w:basedOn w:val="Style18"/>
    <w:qFormat/>
    <w:pPr>
      <w:shd w:val="clear" w:fill="FFFFFF"/>
      <w:outlineLvl w:val="4"/>
    </w:pPr>
    <w:rPr/>
  </w:style>
  <w:style w:type="paragraph" w:styleId="6">
    <w:name w:val="Heading 6"/>
    <w:basedOn w:val="Style18"/>
    <w:qFormat/>
    <w:pPr>
      <w:shd w:val="clear" w:fill="FFFFFF"/>
      <w:outlineLvl w:val="5"/>
    </w:pPr>
    <w:rPr/>
  </w:style>
  <w:style w:type="paragraph" w:styleId="7">
    <w:name w:val="Heading 7"/>
    <w:basedOn w:val="Style18"/>
    <w:qFormat/>
    <w:pPr>
      <w:shd w:val="clear" w:fill="FFFFFF"/>
      <w:outlineLvl w:val="6"/>
    </w:pPr>
    <w:rPr/>
  </w:style>
  <w:style w:type="paragraph" w:styleId="8">
    <w:name w:val="Heading 8"/>
    <w:basedOn w:val="Style18"/>
    <w:qFormat/>
    <w:pPr>
      <w:shd w:val="clear" w:fill="FFFFFF"/>
      <w:outlineLvl w:val="7"/>
    </w:pPr>
    <w:rPr/>
  </w:style>
  <w:style w:type="paragraph" w:styleId="9">
    <w:name w:val="Heading 9"/>
    <w:basedOn w:val="Style18"/>
    <w:qFormat/>
    <w:pPr>
      <w:shd w:val="clear" w:fill="FFFFFF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b/>
    </w:rPr>
  </w:style>
  <w:style w:type="character" w:styleId="WW8Num3z1" w:customStyle="1">
    <w:name w:val="WW8Num3z1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eastAsia="Arial Unicode MS"/>
      <w:sz w:val="20"/>
      <w:szCs w:val="22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>
      <w:rFonts w:eastAsia="Arial Unicode MS"/>
      <w:sz w:val="20"/>
      <w:szCs w:val="22"/>
      <w:lang w:eastAsia="ru-RU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2z1" w:customStyle="1">
    <w:name w:val="WW8Num2z1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Times New Roman"/>
      <w:sz w:val="20"/>
    </w:rPr>
  </w:style>
  <w:style w:type="character" w:styleId="WW8Num5z2" w:customStyle="1">
    <w:name w:val="WW8Num5z2"/>
    <w:qFormat/>
    <w:rPr>
      <w:rFonts w:ascii="Wingdings" w:hAnsi="Wingdings" w:eastAsia="Wingdings" w:cs="Wingdings"/>
      <w:sz w:val="20"/>
    </w:rPr>
  </w:style>
  <w:style w:type="character" w:styleId="WW8Num8z0" w:customStyle="1">
    <w:name w:val="WW8Num8z0"/>
    <w:qFormat/>
    <w:rPr>
      <w:b/>
    </w:rPr>
  </w:style>
  <w:style w:type="character" w:styleId="WW8Num8z1" w:customStyle="1">
    <w:name w:val="WW8Num8z1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1z0" w:customStyle="1">
    <w:name w:val="WW8Num11z0"/>
    <w:qFormat/>
    <w:rPr/>
  </w:style>
  <w:style w:type="character" w:styleId="WW8Num13z0" w:customStyle="1">
    <w:name w:val="WW8Num13z0"/>
    <w:qFormat/>
    <w:rPr>
      <w:rFonts w:ascii="Symbol" w:hAnsi="Symbol" w:eastAsia="Symbol" w:cs="Symbol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>
      <w:rFonts w:ascii="Symbol" w:hAnsi="Symbol" w:eastAsia="Symbol" w:cs="Symbol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Symbol" w:hAnsi="Symbol" w:eastAsia="Symbol" w:cs="Symbol"/>
    </w:rPr>
  </w:style>
  <w:style w:type="character" w:styleId="WW8Num17z1" w:customStyle="1">
    <w:name w:val="WW8Num17z1"/>
    <w:qFormat/>
    <w:rPr>
      <w:rFonts w:ascii="Courier New" w:hAnsi="Courier New" w:eastAsia="Courier New" w:cs="Courier New"/>
    </w:rPr>
  </w:style>
  <w:style w:type="character" w:styleId="WW8Num17z2" w:customStyle="1">
    <w:name w:val="WW8Num17z2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11" w:customStyle="1">
    <w:name w:val="Основной шрифт абзаца1"/>
    <w:qFormat/>
    <w:rPr/>
  </w:style>
  <w:style w:type="character" w:styleId="Style6">
    <w:name w:val="Интернет-ссылка"/>
    <w:rPr>
      <w:color w:val="0000FF"/>
      <w:u w:val="single"/>
    </w:rPr>
  </w:style>
  <w:style w:type="character" w:styleId="12" w:customStyle="1">
    <w:name w:val="Пункт Знак1"/>
    <w:qFormat/>
    <w:rPr>
      <w:sz w:val="28"/>
      <w:lang w:val="ru-RU" w:bidi="ar-SA"/>
    </w:rPr>
  </w:style>
  <w:style w:type="character" w:styleId="Strong">
    <w:name w:val="Strong"/>
    <w:qFormat/>
    <w:rPr>
      <w:b/>
      <w:bCs/>
    </w:rPr>
  </w:style>
  <w:style w:type="character" w:styleId="Style7" w:customStyle="1">
    <w:name w:val="Основной текст с отступом Знак"/>
    <w:qFormat/>
    <w:rPr>
      <w:sz w:val="26"/>
      <w:szCs w:val="26"/>
    </w:rPr>
  </w:style>
  <w:style w:type="character" w:styleId="Style8" w:customStyle="1">
    <w:name w:val="Основной текст Знак"/>
    <w:qFormat/>
    <w:rPr>
      <w:sz w:val="24"/>
      <w:szCs w:val="24"/>
    </w:rPr>
  </w:style>
  <w:style w:type="character" w:styleId="41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9" w:customStyle="1">
    <w:name w:val="Абзац списка Знак"/>
    <w:qFormat/>
    <w:rPr>
      <w:rFonts w:eastAsia="Calibri"/>
      <w:sz w:val="24"/>
      <w:szCs w:val="24"/>
    </w:rPr>
  </w:style>
  <w:style w:type="character" w:styleId="13" w:customStyle="1">
    <w:name w:val="Заголовок 1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Titleinfotitletext" w:customStyle="1">
    <w:name w:val="title-info-title-text"/>
    <w:qFormat/>
    <w:rPr/>
  </w:style>
  <w:style w:type="character" w:styleId="Annotationreference">
    <w:name w:val="annotation reference"/>
    <w:qFormat/>
    <w:rPr>
      <w:sz w:val="16"/>
      <w:szCs w:val="16"/>
    </w:rPr>
  </w:style>
  <w:style w:type="character" w:styleId="Style10" w:customStyle="1">
    <w:name w:val="Ссылка указателя"/>
    <w:qFormat/>
    <w:rPr/>
  </w:style>
  <w:style w:type="character" w:styleId="Style11" w:customStyle="1">
    <w:name w:val="Текст примечания Знак"/>
    <w:basedOn w:val="DefaultParagraphFont"/>
    <w:qFormat/>
    <w:rPr>
      <w:rFonts w:cs="Mangal"/>
      <w:sz w:val="20"/>
      <w:szCs w:val="18"/>
    </w:rPr>
  </w:style>
  <w:style w:type="character" w:styleId="Style12" w:customStyle="1">
    <w:name w:val="Тема примечания Знак"/>
    <w:basedOn w:val="Style11"/>
    <w:qFormat/>
    <w:rPr>
      <w:rFonts w:cs="Mangal"/>
      <w:b/>
      <w:bCs/>
      <w:sz w:val="20"/>
      <w:szCs w:val="18"/>
    </w:rPr>
  </w:style>
  <w:style w:type="character" w:styleId="WWCharLFO3LVL1" w:customStyle="1">
    <w:name w:val="WW_CharLFO3LVL1"/>
    <w:qFormat/>
    <w:rPr>
      <w:b/>
    </w:rPr>
  </w:style>
  <w:style w:type="character" w:styleId="WWCharLFO5LVL1" w:customStyle="1">
    <w:name w:val="WW_CharLFO5LVL1"/>
    <w:qFormat/>
    <w:rPr>
      <w:rFonts w:eastAsia="Arial Unicode MS"/>
      <w:sz w:val="20"/>
      <w:szCs w:val="22"/>
    </w:rPr>
  </w:style>
  <w:style w:type="character" w:styleId="WWCharLFO7LVL1" w:customStyle="1">
    <w:name w:val="WW_CharLFO7LVL1"/>
    <w:qFormat/>
    <w:rPr>
      <w:rFonts w:eastAsia="Arial Unicode MS"/>
      <w:sz w:val="20"/>
      <w:szCs w:val="22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hd w:val="clear" w:fill="FFFFFF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4">
    <w:name w:val="Body Text"/>
    <w:basedOn w:val="Normal"/>
    <w:pPr>
      <w:shd w:val="clear" w:fill="FFFFFF"/>
      <w:spacing w:before="0" w:after="120"/>
    </w:pPr>
    <w:rPr/>
  </w:style>
  <w:style w:type="paragraph" w:styleId="Style15">
    <w:name w:val="List"/>
    <w:basedOn w:val="Style14"/>
    <w:pPr>
      <w:shd w:val="clear" w:fill="FFFFFF"/>
    </w:pPr>
    <w:rPr/>
  </w:style>
  <w:style w:type="paragraph" w:styleId="Style16">
    <w:name w:val="Caption"/>
    <w:basedOn w:val="Normal"/>
    <w:qFormat/>
    <w:pPr>
      <w:suppressLineNumbers/>
      <w:shd w:val="clear" w:fill="FFFFFF"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hd w:val="clear" w:fill="FFFFFF"/>
    </w:pPr>
    <w:rPr>
      <w:rFonts w:cs="Lohit Devanagari"/>
    </w:rPr>
  </w:style>
  <w:style w:type="paragraph" w:styleId="Style18">
    <w:name w:val="Title"/>
    <w:basedOn w:val="Normal"/>
    <w:qFormat/>
    <w:pPr>
      <w:keepNext w:val="true"/>
      <w:shd w:val="clear" w:fill="FFFFFF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hd w:val="clear" w:fill="FFFFFF"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  <w:shd w:val="clear" w:fill="FFFFFF"/>
    </w:pPr>
    <w:rPr/>
  </w:style>
  <w:style w:type="paragraph" w:styleId="14" w:customStyle="1">
    <w:name w:val="Заголовок1"/>
    <w:basedOn w:val="Normal"/>
    <w:qFormat/>
    <w:pPr>
      <w:keepNext w:val="true"/>
      <w:shd w:val="clear" w:fill="FFFFFF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15" w:customStyle="1">
    <w:name w:val="Указатель1"/>
    <w:basedOn w:val="Normal"/>
    <w:qFormat/>
    <w:pPr>
      <w:suppressLineNumbers/>
      <w:shd w:val="clear" w:fill="FFFFFF"/>
    </w:pPr>
    <w:rPr/>
  </w:style>
  <w:style w:type="paragraph" w:styleId="Style19" w:customStyle="1">
    <w:name w:val="Колонтитул"/>
    <w:basedOn w:val="Normal"/>
    <w:qFormat/>
    <w:pPr>
      <w:suppressLineNumbers/>
      <w:shd w:val="clear" w:fill="FFFFFF"/>
      <w:tabs>
        <w:tab w:val="clear" w:pos="388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Normal"/>
    <w:pPr>
      <w:shd w:val="clear" w:fill="FFFFFF"/>
      <w:tabs>
        <w:tab w:val="clear" w:pos="38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Body Text Indent"/>
    <w:basedOn w:val="Normal"/>
    <w:pPr>
      <w:shd w:val="clear" w:fill="FFFFFF"/>
    </w:pPr>
    <w:rPr>
      <w:sz w:val="26"/>
      <w:szCs w:val="26"/>
    </w:rPr>
  </w:style>
  <w:style w:type="paragraph" w:styleId="NormalWeb">
    <w:name w:val="Normal (Web)"/>
    <w:basedOn w:val="Normal"/>
    <w:qFormat/>
    <w:pPr>
      <w:shd w:val="clear" w:fill="FFFFFF"/>
      <w:spacing w:before="280" w:after="280"/>
    </w:pPr>
    <w:rPr>
      <w:rFonts w:ascii="Verdana" w:hAnsi="Verdana" w:eastAsia="Arial Unicode MS" w:cs="Arial Unicode MS"/>
      <w:color w:val="333333"/>
      <w:sz w:val="16"/>
      <w:szCs w:val="16"/>
    </w:rPr>
  </w:style>
  <w:style w:type="paragraph" w:styleId="Style22" w:customStyle="1">
    <w:name w:val="Пункт"/>
    <w:basedOn w:val="Normal"/>
    <w:qFormat/>
    <w:pPr>
      <w:shd w:val="clear" w:fill="FFFFFF"/>
      <w:tabs>
        <w:tab w:val="clear" w:pos="388"/>
        <w:tab w:val="left" w:pos="1844" w:leader="none"/>
      </w:tabs>
      <w:spacing w:lineRule="auto" w:line="360"/>
      <w:ind w:left="1844" w:hanging="1134"/>
      <w:jc w:val="both"/>
    </w:pPr>
    <w:rPr>
      <w:sz w:val="28"/>
      <w:szCs w:val="20"/>
    </w:rPr>
  </w:style>
  <w:style w:type="paragraph" w:styleId="BalloonText">
    <w:name w:val="Balloon Text"/>
    <w:basedOn w:val="Normal"/>
    <w:qFormat/>
    <w:pPr>
      <w:shd w:val="clear" w:fill="FFFFFF"/>
    </w:pPr>
    <w:rPr>
      <w:rFonts w:ascii="Tahoma" w:hAnsi="Tahoma" w:eastAsia="Tahoma" w:cs="Tahoma"/>
      <w:sz w:val="16"/>
      <w:szCs w:val="16"/>
    </w:rPr>
  </w:style>
  <w:style w:type="paragraph" w:styleId="ListParagraph">
    <w:name w:val="List Paragraph"/>
    <w:basedOn w:val="Normal"/>
    <w:qFormat/>
    <w:pPr>
      <w:shd w:val="clear" w:fill="FFFFFF"/>
      <w:ind w:left="720" w:hanging="0"/>
    </w:pPr>
    <w:rPr/>
  </w:style>
  <w:style w:type="paragraph" w:styleId="NoSpacing">
    <w:name w:val="No Spacing"/>
    <w:qFormat/>
    <w:pPr>
      <w:widowControl/>
      <w:shd w:val="clear" w:color="auto" w:fill="FFFFFF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Style23" w:customStyle="1">
    <w:name w:val="Содержимое таблицы"/>
    <w:basedOn w:val="Normal"/>
    <w:qFormat/>
    <w:pPr>
      <w:suppressLineNumbers/>
      <w:shd w:val="clear" w:fill="FFFFFF"/>
    </w:pPr>
    <w:rPr/>
  </w:style>
  <w:style w:type="paragraph" w:styleId="Style24" w:customStyle="1">
    <w:name w:val="Заголовок таблицы"/>
    <w:basedOn w:val="Style23"/>
    <w:qFormat/>
    <w:pPr>
      <w:shd w:val="clear" w:fill="FFFFFF"/>
      <w:jc w:val="center"/>
    </w:pPr>
    <w:rPr>
      <w:b/>
      <w:bCs/>
    </w:rPr>
  </w:style>
  <w:style w:type="paragraph" w:styleId="10" w:customStyle="1">
    <w:name w:val="Заголовок 10"/>
    <w:basedOn w:val="Style18"/>
    <w:qFormat/>
    <w:pPr>
      <w:shd w:val="clear" w:fill="FFFFFF"/>
    </w:pPr>
    <w:rPr/>
  </w:style>
  <w:style w:type="paragraph" w:styleId="16">
    <w:name w:val="TOC 1"/>
    <w:basedOn w:val="Normal"/>
    <w:pPr>
      <w:shd w:val="clear" w:fill="FFFFFF"/>
      <w:tabs>
        <w:tab w:val="clear" w:pos="388"/>
        <w:tab w:val="left" w:pos="963" w:leader="none"/>
      </w:tabs>
      <w:ind w:firstLine="567"/>
    </w:pPr>
    <w:rPr>
      <w:rFonts w:cs="Calibri Light (Заголовки)"/>
      <w:b/>
      <w:bCs/>
    </w:rPr>
  </w:style>
  <w:style w:type="paragraph" w:styleId="42">
    <w:name w:val="TOC 4"/>
    <w:basedOn w:val="Normal"/>
    <w:pPr>
      <w:shd w:val="clear" w:fill="FFFFFF"/>
      <w:tabs>
        <w:tab w:val="clear" w:pos="388"/>
        <w:tab w:val="left" w:pos="1019" w:leader="none"/>
        <w:tab w:val="left" w:pos="1455" w:leader="none"/>
      </w:tabs>
      <w:ind w:left="560" w:hanging="0"/>
    </w:pPr>
    <w:rPr>
      <w:rFonts w:cs="Calibri"/>
      <w:sz w:val="20"/>
      <w:szCs w:val="20"/>
    </w:rPr>
  </w:style>
  <w:style w:type="paragraph" w:styleId="31">
    <w:name w:val="TOC 3"/>
    <w:basedOn w:val="Normal"/>
    <w:pPr>
      <w:shd w:val="clear" w:fill="FFFFFF"/>
      <w:tabs>
        <w:tab w:val="clear" w:pos="388"/>
        <w:tab w:val="left" w:pos="1019" w:leader="none"/>
        <w:tab w:val="left" w:pos="9179" w:leader="none"/>
        <w:tab w:val="left" w:pos="9694" w:leader="none"/>
      </w:tabs>
      <w:ind w:left="280" w:hanging="0"/>
    </w:pPr>
    <w:rPr>
      <w:rFonts w:cs="Calibri"/>
      <w:sz w:val="20"/>
      <w:szCs w:val="20"/>
    </w:rPr>
  </w:style>
  <w:style w:type="paragraph" w:styleId="Annotationtext">
    <w:name w:val="annotation text"/>
    <w:basedOn w:val="Normal"/>
    <w:qFormat/>
    <w:pPr>
      <w:shd w:val="clear" w:fill="FFFFFF"/>
    </w:pPr>
    <w:rPr>
      <w:rFonts w:cs="Mangal"/>
      <w:sz w:val="20"/>
      <w:szCs w:val="18"/>
    </w:rPr>
  </w:style>
  <w:style w:type="paragraph" w:styleId="Annotationsubject">
    <w:name w:val="annotation subject"/>
    <w:basedOn w:val="Annotationtext"/>
    <w:qFormat/>
    <w:pPr>
      <w:shd w:val="clear" w:fill="FFFFFF"/>
    </w:pPr>
    <w:rPr>
      <w:b/>
      <w:bCs/>
    </w:rPr>
  </w:style>
  <w:style w:type="paragraph" w:styleId="Standard" w:customStyle="1">
    <w:name w:val="Standard"/>
    <w:qFormat/>
    <w:pPr>
      <w:widowControl/>
      <w:shd w:val="clear" w:color="auto" w:fill="FFFFFF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Application>LibreOffice/7.1.8.1$Linux_X86_64 LibreOffice_project/10$Build-1</Application>
  <AppVersion>15.0000</AppVersion>
  <Pages>10</Pages>
  <Words>1482</Words>
  <Characters>9812</Characters>
  <CharactersWithSpaces>11086</CharactersWithSpaces>
  <Paragraphs>275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2023-11-07T13:18:00Z</dcterms:created>
  <dc:creator>user1</dc:creator>
  <dc:description/>
  <dc:language>ru-RU</dc:language>
  <cp:lastModifiedBy/>
  <cp:lastPrinted>2025-10-06T10:02:00Z</cp:lastPrinted>
  <dcterms:modified xsi:type="dcterms:W3CDTF">2026-09-03T11:57:10Z</dcterms:modified>
  <cp:revision>107</cp:revision>
  <dc:subject/>
  <dc:title>О Т К Р Ы Т О Е    А К Ц И О Н Е Р Н О Е     О Б Щ Е С Т В 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_NewReviewCycle">
    <vt:lpwstr/>
  </property>
</Properties>
</file>