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shd w:fill="FFFFFF" w:val="clear"/>
        </w:rPr>
      </w:pPr>
      <w:r>
        <w:rPr>
          <w:rFonts w:eastAsia="Calibri"/>
          <w:b/>
          <w:sz w:val="26"/>
          <w:szCs w:val="26"/>
        </w:rPr>
        <w:t>«ОКПД2 43.22.11.190 М</w:t>
      </w:r>
      <w:r>
        <w:rPr>
          <w:rFonts w:eastAsia="Calibri"/>
          <w:b/>
          <w:sz w:val="26"/>
          <w:szCs w:val="26"/>
          <w:shd w:fill="FFFFFF" w:val="clear"/>
        </w:rPr>
        <w:t xml:space="preserve">онтаж и наладка водопроводных систем полива грунтовой </w:t>
      </w:r>
    </w:p>
    <w:p>
      <w:pPr>
        <w:pStyle w:val="Normal"/>
        <w:jc w:val="center"/>
        <w:rPr>
          <w:rFonts w:eastAsia="Calibri"/>
          <w:b/>
          <w:sz w:val="26"/>
          <w:szCs w:val="26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  <w:t xml:space="preserve">плотины № 40 Волжской ГЭС» </w:t>
      </w:r>
    </w:p>
    <w:p>
      <w:pPr>
        <w:pStyle w:val="Normal"/>
        <w:jc w:val="center"/>
        <w:rPr/>
      </w:pPr>
      <w:r>
        <w:rPr>
          <w:b/>
        </w:rPr>
        <w:t>Лот № 0044-ТПиР ОБСЛ-2026-ВолГЭС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keepNext w:val="true"/>
        <w:keepLines/>
        <w:numPr>
          <w:ilvl w:val="0"/>
          <w:numId w:val="15"/>
        </w:numPr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Общие сведения                                                                                                           </w:t>
      </w:r>
      <w:r>
        <w:rPr>
          <w:sz w:val="26"/>
          <w:szCs w:val="26"/>
          <w:lang w:val="en-US"/>
        </w:rPr>
        <w:t>3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Обозначения и сокращения                                                                               3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Наименования закупаемой продукции                                                            4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Цель выполнения работ                                                                                     4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Существующее положение                                                                                4</w:t>
      </w:r>
    </w:p>
    <w:p>
      <w:pPr>
        <w:pStyle w:val="Normal"/>
        <w:keepNext w:val="true"/>
        <w:keepLines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Таблица 1. </w:t>
      </w:r>
      <w:r>
        <w:rPr>
          <w:b/>
          <w:sz w:val="26"/>
          <w:szCs w:val="26"/>
          <w:lang w:val="en-US"/>
        </w:rPr>
        <w:t xml:space="preserve">Перечень объектов </w:t>
      </w:r>
      <w:r>
        <w:rPr>
          <w:b/>
          <w:sz w:val="26"/>
          <w:szCs w:val="26"/>
        </w:rPr>
        <w:t>З</w:t>
      </w:r>
      <w:r>
        <w:rPr>
          <w:b/>
          <w:sz w:val="26"/>
          <w:szCs w:val="26"/>
          <w:lang w:val="en-US"/>
        </w:rPr>
        <w:t xml:space="preserve">аказчика                                                                     </w:t>
      </w:r>
      <w:r>
        <w:rPr>
          <w:sz w:val="26"/>
          <w:szCs w:val="26"/>
          <w:lang w:val="en-US"/>
        </w:rPr>
        <w:t>5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b/>
          <w:sz w:val="26"/>
          <w:szCs w:val="26"/>
        </w:rPr>
      </w:pPr>
      <w:r>
        <w:rPr>
          <w:sz w:val="26"/>
          <w:szCs w:val="26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5</w:t>
      </w:r>
    </w:p>
    <w:p>
      <w:pPr>
        <w:pStyle w:val="ListParagraph"/>
        <w:keepNext w:val="true"/>
        <w:keepLines/>
        <w:numPr>
          <w:ilvl w:val="0"/>
          <w:numId w:val="15"/>
        </w:numPr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Требования к продукции                                                                                             </w:t>
      </w:r>
      <w:r>
        <w:rPr>
          <w:sz w:val="26"/>
          <w:szCs w:val="26"/>
          <w:lang w:val="en-US"/>
        </w:rPr>
        <w:t>6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b/>
          <w:sz w:val="26"/>
          <w:szCs w:val="26"/>
        </w:rPr>
      </w:pPr>
      <w:r>
        <w:rPr>
          <w:sz w:val="26"/>
          <w:szCs w:val="26"/>
        </w:rPr>
        <w:t>Требования к объемам и срокам выполнения работ                                         6</w:t>
      </w:r>
    </w:p>
    <w:p>
      <w:pPr>
        <w:pStyle w:val="ListParagraph"/>
        <w:keepNext w:val="true"/>
        <w:keepLines/>
        <w:numPr>
          <w:ilvl w:val="2"/>
          <w:numId w:val="15"/>
        </w:numPr>
        <w:rPr>
          <w:b/>
          <w:sz w:val="26"/>
          <w:szCs w:val="26"/>
        </w:rPr>
      </w:pPr>
      <w:r>
        <w:rPr>
          <w:sz w:val="26"/>
          <w:szCs w:val="26"/>
        </w:rPr>
        <w:t>Требования к видам и объемам работ                                                           6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Таблица 2. Перечень и объем выполняемых работ                                                      </w:t>
      </w:r>
      <w:r>
        <w:rPr>
          <w:sz w:val="26"/>
          <w:szCs w:val="26"/>
        </w:rPr>
        <w:t>6</w:t>
      </w:r>
    </w:p>
    <w:p>
      <w:pPr>
        <w:pStyle w:val="ListParagraph"/>
        <w:keepNext w:val="true"/>
        <w:keepLines/>
        <w:numPr>
          <w:ilvl w:val="2"/>
          <w:numId w:val="15"/>
        </w:numPr>
        <w:rPr>
          <w:sz w:val="26"/>
          <w:szCs w:val="26"/>
        </w:rPr>
      </w:pPr>
      <w:r>
        <w:rPr>
          <w:sz w:val="26"/>
          <w:szCs w:val="26"/>
        </w:rPr>
        <w:t>Требования к срокам выполнения работ                                                      6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Таблица 3. Требования по срокам выполнения работ                                                </w:t>
      </w:r>
      <w:r>
        <w:rPr>
          <w:sz w:val="26"/>
          <w:szCs w:val="26"/>
        </w:rPr>
        <w:t xml:space="preserve"> 6</w:t>
      </w:r>
    </w:p>
    <w:p>
      <w:pPr>
        <w:pStyle w:val="ListParagraph"/>
        <w:keepNext w:val="true"/>
        <w:keepLines/>
        <w:numPr>
          <w:ilvl w:val="1"/>
          <w:numId w:val="15"/>
        </w:numPr>
        <w:rPr>
          <w:sz w:val="26"/>
          <w:szCs w:val="26"/>
        </w:rPr>
      </w:pPr>
      <w:r>
        <w:rPr>
          <w:sz w:val="26"/>
          <w:szCs w:val="26"/>
        </w:rPr>
        <w:t>Требования к качеству выполнения работ                                                         7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Таблица 4. Требования к качеству работ                                                                       </w:t>
      </w:r>
      <w:r>
        <w:rPr>
          <w:sz w:val="26"/>
          <w:szCs w:val="26"/>
        </w:rPr>
        <w:t>7</w:t>
      </w:r>
    </w:p>
    <w:p>
      <w:pPr>
        <w:pStyle w:val="ListParagraph"/>
        <w:keepNext w:val="true"/>
        <w:keepLines/>
        <w:numPr>
          <w:ilvl w:val="0"/>
          <w:numId w:val="15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Требования к документации по ценообразованию на этапе закупки             </w:t>
      </w:r>
      <w:r>
        <w:rPr>
          <w:sz w:val="26"/>
          <w:szCs w:val="26"/>
        </w:rPr>
        <w:t>26</w:t>
      </w:r>
    </w:p>
    <w:p>
      <w:pPr>
        <w:pStyle w:val="ListParagraph"/>
        <w:keepNext w:val="true"/>
        <w:keepLines/>
        <w:numPr>
          <w:ilvl w:val="0"/>
          <w:numId w:val="15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Требования к документации по ценообразованию на этапе заключения (исполнения) договора                                                                                             </w:t>
      </w:r>
      <w:r>
        <w:rPr>
          <w:sz w:val="26"/>
          <w:szCs w:val="26"/>
        </w:rPr>
        <w:t>26</w:t>
      </w:r>
    </w:p>
    <w:p>
      <w:pPr>
        <w:pStyle w:val="ListParagraph"/>
        <w:keepNext w:val="true"/>
        <w:keepLines/>
        <w:numPr>
          <w:ilvl w:val="0"/>
          <w:numId w:val="15"/>
        </w:numPr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Приложения                                                                                                               </w:t>
      </w:r>
      <w:r>
        <w:rPr>
          <w:sz w:val="26"/>
          <w:szCs w:val="26"/>
          <w:lang w:val="en-US"/>
        </w:rPr>
        <w:t>26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numPr>
          <w:ilvl w:val="0"/>
          <w:numId w:val="8"/>
        </w:numPr>
        <w:spacing w:before="120" w:after="60"/>
        <w:ind w:left="357" w:hanging="357"/>
        <w:jc w:val="center"/>
        <w:outlineLvl w:val="0"/>
        <w:rPr>
          <w:rFonts w:eastAsia="Calibri"/>
          <w:b/>
          <w:caps/>
          <w:lang w:eastAsia="x-none"/>
        </w:rPr>
      </w:pPr>
      <w:bookmarkStart w:id="0" w:name="_Toc54643694"/>
      <w:r>
        <w:rPr>
          <w:rFonts w:eastAsia="Calibri"/>
          <w:b/>
          <w:lang w:eastAsia="x-none"/>
        </w:rPr>
        <w:t>Общие сведения</w:t>
      </w:r>
      <w:bookmarkEnd w:id="0"/>
    </w:p>
    <w:p>
      <w:pPr>
        <w:pStyle w:val="Normal"/>
        <w:keepNext w:val="true"/>
        <w:numPr>
          <w:ilvl w:val="1"/>
          <w:numId w:val="8"/>
        </w:numPr>
        <w:tabs>
          <w:tab w:val="clear" w:pos="720"/>
          <w:tab w:val="left" w:pos="1079" w:leader="none"/>
        </w:tabs>
        <w:spacing w:before="120" w:after="60"/>
        <w:ind w:left="0" w:firstLine="567"/>
        <w:outlineLvl w:val="3"/>
        <w:rPr>
          <w:rFonts w:eastAsia="Calibri"/>
          <w:b/>
          <w:bCs/>
          <w:i/>
          <w:i/>
          <w:sz w:val="24"/>
          <w:szCs w:val="24"/>
          <w:lang w:val="x-none" w:eastAsia="x-none"/>
        </w:rPr>
      </w:pPr>
      <w:bookmarkStart w:id="1" w:name="_Toc54643695"/>
      <w:bookmarkStart w:id="2" w:name="_Toc46743505"/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trHeight w:val="454" w:hRule="exac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Arial Unicode MS"/>
                <w:bCs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Технологическая карта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ГТС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Гидротехнические сооружения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Arial Unicode MS"/>
                <w:bCs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Гидроэлектростанция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8" w:after="4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8" w:after="4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Запасные изделия и принадлежности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ПУЭ ЭСС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ПОТЭЭ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Проект производства работ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Нормативно техническая документация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СМР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Строительно-монтажные работы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ПДЭК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Постоянно-действующая экзаменационная комиссия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Arial Unicode MS"/>
                <w:bCs/>
                <w:sz w:val="24"/>
                <w:szCs w:val="24"/>
              </w:rPr>
              <w:t>СП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Свод правил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Arial Unicode MS"/>
                <w:bCs/>
                <w:sz w:val="24"/>
                <w:szCs w:val="24"/>
              </w:rPr>
              <w:t>ППБ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</w:rPr>
              <w:t>УФАП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Управление фондами и активами предприятия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Arial Unicode MS"/>
                <w:bCs/>
                <w:sz w:val="24"/>
                <w:szCs w:val="24"/>
              </w:rPr>
              <w:t>ПРП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работы с персоналом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Подъемные сооружения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Федеральный закон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iCs/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Рабочая документация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Охрана окружающей среды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ПДАК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Постоянно действующая аттестационная комиссия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НПА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Нормативно-правовой акт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МПР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природных ресурсов и экологии Российской Федерации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РФ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Российская федерация</w:t>
            </w:r>
          </w:p>
        </w:tc>
      </w:tr>
      <w:tr>
        <w:trPr>
          <w:trHeight w:val="454" w:hRule="exac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Эквивалентная продукция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20"/>
                <w:tab w:val="left" w:pos="426" w:leader="none"/>
              </w:tabs>
              <w:spacing w:before="60" w:after="0"/>
              <w:ind w:left="57" w:right="113" w:hanging="0"/>
              <w:contextualSpacing w:val="false"/>
              <w:rPr/>
            </w:pPr>
            <w:r>
              <w:rPr>
                <w:rStyle w:val="Style8"/>
                <w:rFonts w:eastAsia="Times New Roman"/>
                <w:b w:val="false"/>
                <w:i w:val="false"/>
                <w:color w:val="000000"/>
                <w:shd w:fill="FFFFFF" w:val="clear"/>
              </w:rPr>
              <w:t>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      </w:r>
          </w:p>
        </w:tc>
      </w:tr>
    </w:tbl>
    <w:p>
      <w:pPr>
        <w:pStyle w:val="Heading4"/>
        <w:numPr>
          <w:ilvl w:val="1"/>
          <w:numId w:val="8"/>
        </w:numPr>
        <w:tabs>
          <w:tab w:val="clear" w:pos="0"/>
          <w:tab w:val="left" w:pos="1079" w:leader="none"/>
        </w:tabs>
        <w:ind w:left="0" w:firstLine="567"/>
        <w:jc w:val="left"/>
        <w:rPr/>
      </w:pPr>
      <w:bookmarkStart w:id="3" w:name="_Toc54646397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keepNext w:val="true"/>
        <w:keepLines/>
        <w:ind w:firstLine="567"/>
        <w:rPr>
          <w:shd w:fill="FFFFFF" w:val="clear"/>
        </w:rPr>
      </w:pPr>
      <w:r>
        <w:rPr>
          <w:rFonts w:eastAsia="Calibri"/>
          <w:sz w:val="26"/>
          <w:szCs w:val="26"/>
          <w:shd w:fill="FFFFFF" w:val="clear"/>
          <w:lang w:eastAsia="x-none"/>
        </w:rPr>
        <w:t xml:space="preserve">ОКПД2 43.22.11.190 «Монтаж и наладка водопроводных систем полива грунтовой плотины № 40 Волжской ГЭС» </w:t>
      </w:r>
    </w:p>
    <w:p>
      <w:pPr>
        <w:pStyle w:val="Heading4"/>
        <w:numPr>
          <w:ilvl w:val="1"/>
          <w:numId w:val="8"/>
        </w:numPr>
        <w:tabs>
          <w:tab w:val="clear" w:pos="0"/>
          <w:tab w:val="left" w:pos="1079" w:leader="none"/>
        </w:tabs>
        <w:spacing w:before="240" w:after="60"/>
        <w:ind w:left="0" w:firstLine="567"/>
        <w:jc w:val="left"/>
        <w:rPr/>
      </w:pPr>
      <w:bookmarkStart w:id="5" w:name="_Toc54646398"/>
      <w:bookmarkStart w:id="6" w:name="_Toc46743507"/>
      <w:r>
        <w:rPr/>
        <w:t xml:space="preserve">Цель </w:t>
      </w:r>
      <w:bookmarkEnd w:id="6"/>
      <w:r>
        <w:rPr>
          <w:lang w:val="ru-RU"/>
        </w:rPr>
        <w:t>выполнения работ</w:t>
      </w:r>
      <w:r>
        <w:rPr/>
        <w:t xml:space="preserve"> </w:t>
      </w:r>
      <w:bookmarkEnd w:id="5"/>
    </w:p>
    <w:p>
      <w:pPr>
        <w:pStyle w:val="Normal"/>
        <w:ind w:left="142" w:firstLine="431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Выполнение работ по реализации рабочей документации (далее РД) по </w:t>
      </w:r>
      <w:r>
        <w:rPr>
          <w:rFonts w:eastAsia="Calibri"/>
          <w:bCs/>
          <w:color w:val="000000"/>
          <w:sz w:val="24"/>
          <w:szCs w:val="24"/>
          <w:shd w:fill="FFFFFF" w:val="clear"/>
          <w:lang w:eastAsia="x-none"/>
        </w:rPr>
        <w:t>модернизации водопроводных систем полива грунтовых плотин № 40, 41, 42</w:t>
      </w:r>
      <w:r>
        <w:rPr>
          <w:bCs/>
          <w:color w:val="000000"/>
          <w:sz w:val="24"/>
          <w:szCs w:val="24"/>
        </w:rPr>
        <w:t xml:space="preserve"> филиала ПАО «РусГидро» - «Волжская ГЭС.</w:t>
      </w:r>
    </w:p>
    <w:p>
      <w:pPr>
        <w:pStyle w:val="Normal"/>
        <w:ind w:left="142" w:firstLine="431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В соответствии с РД планируется выполнить замену стальных и чугунных труб на трубы из полимерных материалов с обеспечением полного охвата площади зелёных насаждений и устройством автоматической системы полива, замену электрооборудования в насосной станции и по сетям, замену систем электрического освещения.</w:t>
      </w:r>
    </w:p>
    <w:p>
      <w:pPr>
        <w:pStyle w:val="Normal"/>
        <w:ind w:left="142" w:firstLine="431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Обеспечение бесперебойного и полного полива всей площади зеленых насаждений грунтовой плотины № 40 в период пожароопасного периода (включая верховой и низовой пирсы ГЭС).</w:t>
      </w:r>
    </w:p>
    <w:p>
      <w:pPr>
        <w:pStyle w:val="Heading4"/>
        <w:numPr>
          <w:ilvl w:val="1"/>
          <w:numId w:val="8"/>
        </w:numPr>
        <w:tabs>
          <w:tab w:val="clear" w:pos="0"/>
          <w:tab w:val="left" w:pos="1079" w:leader="none"/>
        </w:tabs>
        <w:ind w:left="0" w:firstLine="567"/>
        <w:jc w:val="left"/>
        <w:rPr/>
      </w:pPr>
      <w:bookmarkStart w:id="7" w:name="_Toc54646399"/>
      <w:bookmarkStart w:id="8" w:name="_Toc46743508"/>
      <w:r>
        <w:rPr/>
        <w:t>Существующее положение</w:t>
      </w:r>
      <w:bookmarkEnd w:id="7"/>
      <w:bookmarkEnd w:id="8"/>
    </w:p>
    <w:p>
      <w:pPr>
        <w:pStyle w:val="Normal"/>
        <w:ind w:firstLine="567"/>
        <w:jc w:val="both"/>
        <w:rPr/>
      </w:pPr>
      <w:r>
        <w:rPr>
          <w:sz w:val="24"/>
          <w:szCs w:val="24"/>
        </w:rPr>
        <w:t xml:space="preserve">Для крепления откосов и гребня грунтовых плотин №40, 41, 42 Волжской ГЭС используются многолетние зеленые насаждения и травосеяние (газон). Общая площадь зелёных насаждений составляет 62 га. В местных климатических условиях для сохранения зеленых насаждений необходим постоянный полив. Климатический район площадки согласно СП 20.13330.2016 и СП 131.13330.2018 — III В. Зона влажности — сухая. Расчетная зимняя температура — минус 25º С. Без осуществления полива травянистые растения выгорают, засыхают. Увеличиваются риски возникновения пожара и выветривания почвы в связи с нарушением защитного покрова. Для полива зеленых насаждений на каждой плотине предусмотрена водопроводная система. Водозабор на полив осуществляется из водохранилища с верхнего бьефа. Для подачи воды в систему полива используются насосные станции. Поливочные системы были смонтированы в период строительства ГЭС в 60-е годы прошлого столетия. В основном магистральные трубопроводы расположены в грунте на глубине от 1,5 до 2,5 метров от поверхности земли. Материал трубопроводов стальные и чугунные трубы различных диаметров. За время эксплуатации большая часть поливочных систем вышла из строя, что привело к многочисленному отпаду зеленых насаждений. Текущий ремонт отдельных участков поливочных систем не дает необходимого эффекта, т.к. стыковка новых линий производится к старым трубопроводам, которые за время эксплуатации подверглись значительной коррозии, заилились, что привело к уменьшению проходного сечения и, как следствие, к потере давления в системах и уменьшению площади полива. Сетью трубопроводов полива полный охват площади зелёных насаждений не производится. Кроме того, износ труб, находящихся в теле плотин, повышает вероятность аварийных ситуаций на ГТС: вымыв грунта тела плотины, поверхностные размывы. Как следствие повышается риск получения предписаний от надзорных органов. 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>Т</w:t>
      </w:r>
      <w:bookmarkStart w:id="9" w:name="_Toc54646400"/>
      <w:r>
        <w:rPr>
          <w:sz w:val="24"/>
          <w:szCs w:val="24"/>
        </w:rPr>
        <w:t>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991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40"/>
        <w:gridCol w:w="2553"/>
        <w:gridCol w:w="1712"/>
        <w:gridCol w:w="3615"/>
        <w:gridCol w:w="1491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jc w:val="both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Грунтовая плотина № 40 филиала ПАО «РусГидро» - «Волжская ГЭС» (включая верховой и низовой пирс ГЭС)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Волгоградская обл., г. Волжский, пр. Ленина, д.1А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Водопровод поливной земплотины №40, инв. № 00952;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Водопровод поливной низового пирса, инв. № 00956;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Насосная станция земплотины №40, инв. № 00913;</w:t>
            </w:r>
          </w:p>
          <w:p>
            <w:pPr>
              <w:pStyle w:val="Normal"/>
              <w:widowControl w:val="false"/>
              <w:rPr/>
            </w:pPr>
            <w:r>
              <w:rPr>
                <w:i/>
                <w:sz w:val="24"/>
                <w:szCs w:val="24"/>
              </w:rPr>
              <w:t>Плотина земляная №40, инв. № 00936;</w:t>
            </w:r>
          </w:p>
          <w:p>
            <w:pPr>
              <w:pStyle w:val="Normal"/>
              <w:widowControl w:val="false"/>
              <w:rPr/>
            </w:pPr>
            <w:r>
              <w:rPr>
                <w:i/>
                <w:sz w:val="24"/>
                <w:szCs w:val="24"/>
              </w:rPr>
              <w:t>Трубопровод поливочный грунтовой плотины №40 ВолГЭС (новое);</w:t>
            </w:r>
          </w:p>
          <w:p>
            <w:pPr>
              <w:pStyle w:val="Normal"/>
              <w:widowControl w:val="false"/>
              <w:rPr/>
            </w:pPr>
            <w:r>
              <w:rPr>
                <w:i/>
                <w:sz w:val="24"/>
                <w:szCs w:val="24"/>
              </w:rPr>
              <w:t>Оборудование насосной технического водоснабжения (полива) плотины №40 ВолГЭС (новое).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8"/>
        </w:numPr>
        <w:tabs>
          <w:tab w:val="clear" w:pos="0"/>
          <w:tab w:val="left" w:pos="1025" w:leader="none"/>
        </w:tabs>
        <w:ind w:left="0" w:firstLine="567"/>
        <w:rPr/>
      </w:pPr>
      <w:bookmarkStart w:id="10" w:name="_Toc46743509"/>
      <w:bookmarkStart w:id="11" w:name="_Hlk49857604"/>
      <w:bookmarkStart w:id="12" w:name="_Toc54646401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</w:t>
      </w:r>
      <w:bookmarkEnd w:id="10"/>
      <w:bookmarkEnd w:id="11"/>
      <w:bookmarkEnd w:id="12"/>
      <w:r>
        <w:rPr/>
        <w:t>)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/>
      </w:pPr>
      <w:r>
        <w:rPr>
          <w:bCs/>
          <w:sz w:val="24"/>
          <w:szCs w:val="24"/>
        </w:rPr>
        <w:t>1.5.1. Рабочая документация (Тома 2147-23-001, 2147-23-002, 2147-23-003, 2147-23-004, 2147-25-001, 2147-25-007, 2147-25-008, 2147-25-009, 2147-25-017).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  <w:sz w:val="24"/>
          <w:szCs w:val="24"/>
        </w:rPr>
        <w:t>1.5.2.</w:t>
        <w:tab/>
        <w:t>В случае предоставления Заказчиком услуг: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  <w:sz w:val="24"/>
          <w:szCs w:val="24"/>
        </w:rPr>
        <w:t>1.5.2.1.</w:t>
        <w:tab/>
        <w:t>Из норм и расценок, внесенных в ФРСН, при составлении сметной документации исключать затраты: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  <w:sz w:val="24"/>
          <w:szCs w:val="24"/>
        </w:rPr>
        <w:t>1.5.2.1.1. По предоставляемой воде: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>Не учитывать данный ресурс в расчете стоимости услуг.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  <w:sz w:val="24"/>
          <w:szCs w:val="24"/>
        </w:rPr>
        <w:t>1.5.2.1.2. По предоставляемым грузоподъемным механизмам, учтенным в составе сметных норм и расценок: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 xml:space="preserve">Исключать из норм и расценок предоставляемые грузоподъемные механизмы. 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bCs/>
          <w:color w:val="000000"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исключаются.</w:t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20"/>
          <w:tab w:val="left" w:pos="851" w:leader="none"/>
          <w:tab w:val="left" w:pos="1276" w:leader="none"/>
        </w:tabs>
        <w:spacing w:lineRule="auto" w:line="276" w:before="0" w:after="0"/>
        <w:ind w:firstLine="567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Heading1"/>
        <w:keepLines/>
        <w:numPr>
          <w:ilvl w:val="0"/>
          <w:numId w:val="8"/>
        </w:numPr>
        <w:tabs>
          <w:tab w:val="clear" w:pos="755"/>
          <w:tab w:val="left" w:pos="1079" w:leader="none"/>
        </w:tabs>
        <w:ind w:left="0" w:firstLine="624"/>
        <w:rPr/>
      </w:pPr>
      <w:bookmarkStart w:id="14" w:name="_Toc54646403"/>
      <w:bookmarkStart w:id="15" w:name="_Toc51339693"/>
      <w:bookmarkStart w:id="16" w:name="_Toc50125126"/>
      <w:bookmarkEnd w:id="16"/>
      <w:r>
        <w:rPr>
          <w:iCs/>
          <w:sz w:val="24"/>
          <w:szCs w:val="24"/>
        </w:rPr>
        <w:t>Требования к продукции</w:t>
      </w:r>
      <w:bookmarkEnd w:id="14"/>
      <w:bookmarkEnd w:id="15"/>
    </w:p>
    <w:p>
      <w:pPr>
        <w:pStyle w:val="Heading4"/>
        <w:numPr>
          <w:ilvl w:val="1"/>
          <w:numId w:val="8"/>
        </w:numPr>
        <w:tabs>
          <w:tab w:val="clear" w:pos="0"/>
          <w:tab w:val="left" w:pos="1133" w:leader="none"/>
        </w:tabs>
        <w:ind w:left="0" w:firstLine="624"/>
        <w:rPr/>
      </w:pPr>
      <w:bookmarkStart w:id="17" w:name="_Toc54646404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7"/>
    </w:p>
    <w:p>
      <w:pPr>
        <w:pStyle w:val="Heading3"/>
        <w:numPr>
          <w:ilvl w:val="2"/>
          <w:numId w:val="8"/>
        </w:numPr>
        <w:ind w:left="1224" w:hanging="504"/>
        <w:rPr/>
      </w:pPr>
      <w:bookmarkStart w:id="18" w:name="_Toc54646405"/>
      <w:r>
        <w:rPr>
          <w:lang w:val="ru-RU"/>
        </w:rPr>
        <w:t>Требования к видам и объемам работ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bookmarkStart w:id="19" w:name="_Toc54646406"/>
      <w:bookmarkStart w:id="2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выполняемых работ</w:t>
      </w:r>
      <w:bookmarkEnd w:id="19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0"/>
        <w:gridCol w:w="4903"/>
        <w:gridCol w:w="2018"/>
        <w:gridCol w:w="2139"/>
      </w:tblGrid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ППР (проект производства работ) и/или ТК (технологическая карта) при работах с применением подъемных сооружений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40-1В, 2В, 3В, 4В, 9В)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40-1Н-5Н, 31Н-40Н)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40-6Н-37Нпч-31Н)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40-5В-8В, 10В-14В)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в части Шкафа управления насосов №1.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системы электроснабжения.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Автоматизация технологического процесса и шкафы управления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Пуско-наладочные работы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Командировочные расходы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Демонтажные работы. Грунтовая плотина №40</w:t>
            </w:r>
          </w:p>
        </w:tc>
        <w:tc>
          <w:tcPr>
            <w:tcW w:w="2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shd w:fill="FFFFFF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FFFFFF" w:val="clear"/>
                <w:lang w:eastAsia="x-none"/>
              </w:rPr>
              <w:t>Поставка ЗИП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shd w:fill="FFFFFF" w:val="clear"/>
                <w:lang w:eastAsia="x-none"/>
              </w:rPr>
              <w:t>Комплект</w:t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shd w:fill="FFFFFF" w:val="clear"/>
                <w:lang w:eastAsia="x-none"/>
              </w:rPr>
              <w:t>Согласно РД (Приложение №6 к настоящим ТТ)</w:t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авторского надзора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Непредвиденные затраты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8"/>
        </w:numPr>
        <w:ind w:left="1224" w:hanging="504"/>
        <w:rPr/>
      </w:pPr>
      <w:bookmarkStart w:id="21" w:name="_Toc54646407"/>
      <w:bookmarkStart w:id="22" w:name="_Toc51339696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выполнения работ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bookmarkStart w:id="23" w:name="_Toc54646408"/>
      <w:bookmarkStart w:id="24" w:name="_Toc51339697"/>
      <w:bookmarkStart w:id="25" w:name="_Toc50125127"/>
      <w:bookmarkStart w:id="26" w:name="_Toc50125126_Копия_1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  <w:lang w:val="ru-RU"/>
        </w:rPr>
        <w:t>выполнения работ</w:t>
      </w:r>
      <w:bookmarkEnd w:id="23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3"/>
        <w:gridCol w:w="5434"/>
        <w:gridCol w:w="1826"/>
        <w:gridCol w:w="2067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ППР (проект производства работ) и/или ТК (технологическая карта) при работах с применением подъемных сооружений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в течение 26 месяцев с даты заключения договора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40-1В, 2В, 3В, 4В, 9В)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40-1Н-5Н, 31Н-40Н)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40-6Н-37Нпч-31Н)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на грунтовой плотине №40 (Зоны 40-5В-8В, 10В-14В)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в части Шкафа управления насосов №1.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Строительно-монтажные работы системы электроснабжения.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Автоматизация технологического процесса и шкафы управления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Пуско-наладочные работы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Командировочные расходы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Демонтажные работы. Грунтовая плотина №40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ЗИП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Авторский надзор - 0,2%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Непредвиденные затраты - 3%</w:t>
            </w:r>
          </w:p>
        </w:tc>
        <w:tc>
          <w:tcPr>
            <w:tcW w:w="1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8"/>
        </w:numPr>
        <w:rPr/>
      </w:pPr>
      <w:bookmarkStart w:id="28" w:name="_Toc54646410"/>
      <w:bookmarkStart w:id="29" w:name="_Toc51339698"/>
      <w:r>
        <w:rPr/>
        <w:t xml:space="preserve">Требования к </w:t>
      </w:r>
      <w:r>
        <w:rPr>
          <w:lang w:val="ru-RU"/>
        </w:rPr>
        <w:t>качеству работ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работ</w:t>
      </w:r>
      <w:bookmarkEnd w:id="28"/>
      <w:r>
        <w:rPr>
          <w:sz w:val="24"/>
          <w:szCs w:val="24"/>
        </w:rPr>
        <w:t xml:space="preserve"> </w:t>
      </w:r>
    </w:p>
    <w:tbl>
      <w:tblPr>
        <w:tblStyle w:val="affffff"/>
        <w:tblW w:w="5000" w:type="pct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649"/>
        <w:gridCol w:w="2361"/>
        <w:gridCol w:w="10600"/>
        <w:gridCol w:w="1787"/>
      </w:tblGrid>
      <w:tr>
        <w:trPr/>
        <w:tc>
          <w:tcPr>
            <w:tcW w:w="6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60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7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361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60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1787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работ:</w:t>
            </w:r>
          </w:p>
        </w:tc>
        <w:tc>
          <w:tcPr>
            <w:tcW w:w="1060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Для подготовки и проведения СМР Подрядчиком разрабатывается, согласовывается с ответственными службами (подразделениями) Заказчика Проект производства работ (ППР) и/или ТК в соответствии с Правилами организации технического обслуживания и ремонта объектов электроэнергетики,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(утв. Приказом Ростехнадзора от 26.11.2020 г. № 461). Выполнение работ допускается только после утверждения ППР и/или ТК.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Организация работ по согласованию ППР и/или ТК входит в обязанности Подрядчика.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Работы выполняются в соответствии с утверждённой РД - Приложение к настоящим ТТ № 6, на территории филиала ПАО «РусГидро» - «Волжская ГЭС».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объем оборудования, ЗИП приспособлений, необходимый для полного выполнения работ в соответствии с рабочей документацией (Приложение №6 к настоящим ТТ), Подрядчик приобретает и поставляет к месту выполнения работ самостоятельно без привлечения персонала Заказчика.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Представить на этапе заключения договора выписки из трудовых договоров работников подрядных организаций, командированных для работы на объектах филиала, с организацией, направляющей этих работников.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организационно-технических мероприятий по подготовке рабочего места, разработке технологических карт, оформление и согласование всей необходимой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Инженерная подготовка и оборудование рабочей площадки, монтаж ограждений, переходов, лестниц.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Предъявление объекта комиссии Заказчика по окончании СМР с оформлением акта приемки.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170" w:firstLine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Работы должны выполняться с соблюдением требований правил по охране труда, с применением исправного инструмента и приспособлений, обученным и квалифицированным персоналом по охране труда.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Особые условия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выполнения работ</w:t>
            </w:r>
          </w:p>
        </w:tc>
        <w:tc>
          <w:tcPr>
            <w:tcW w:w="1060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Производство работ осуществляется на территории действующего предприятия с наличием в зоне производства работ разветвленной сети инженерных коммуникаций, в зоне ВЛ, в местах с повышенным уровнем напряженности электрического поля и в местах наличия газопровода.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1.2.1.</w:t>
            </w:r>
          </w:p>
        </w:tc>
        <w:tc>
          <w:tcPr>
            <w:tcW w:w="2361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соблюдению природоохранного законодательства.</w:t>
            </w:r>
          </w:p>
        </w:tc>
        <w:tc>
          <w:tcPr>
            <w:tcW w:w="1060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63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При проведении монтажных работ Подрядчик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 Соблюдать требования по охране окружающей среды (далее - ООС) и санитарно-эпидемиологического законодательства РФ;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8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1.2. Руководители и специалисты Подрядчика, ответственные за принятие решений при осуществлении хозяйственной и иной деятельности, которая оказывает или может оказать негативное воздействие на окружающую среду, а также Работники, назначаемые ответственными за обращение с отходами, должны иметь специальную подготовку, подтвержденную свидетельствами/ удостоверениями.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1.3.  Организовать и осуществлять деятельность в области охраны окружающей среды в полном соответствие требованиям действующего федерального законодательства и другим НПА;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 Составить паспорта на отходы 1-4 классов опасности, образующихся в процессе монтажных работ в соответствии с приказом МПР и экологии РФ от 08.12.2020 №1026 «Об утверждении порядка паспортизации и типовых форм паспортов на отходы 1-4 классов опасности»;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1.5. Заключить договора на обращение с отходами (транспортирование, размещение), образующихся в процессе монтажных работ, в соответствии с требованиями действующего законодательства в области охраны окружающей среды;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1.6. Иметь Лицензию на осуществление деятельности по сбору, транспортированию, обработке, утилизации, обезвреживанию, размещению отходов I - IV классов опасности или договор, с организацией, имеющей указанную лицензию для осуществления деятельности по транспортированию отходов;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1.7. Иметь персонал, допущенный к обращению с отходами и имеющий профессиональную подготовку, подтвержденную свидетельствами (удостоверениями) на право работы с отходами 1-4 класса опасности, в том числе персонал, осуществляющий погрузку и транспортировку отходов 1-4 классов опасности;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1.8. Вести учет отходов, образующихся в процессе монтажа и наладки в соответствии с приказом МПР и экологии РФ от 08.12.2020 №1028 «Об утверждении порядка учета в области обращения с отходами»;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1.9. Осуществлять расчет и внесение платы за негативное воздействие на окружающую среду, в том числе за размещение отходов, образующихся в процессе монтажных работ;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1.10. Выполнить природоохранные мероприятия, предусмотренные рабочей документацией;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При проведении работ Подрядчик должен: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2.1. Назначить ответственных лиц за соблюдение требований природоохранного законодательства при выполнении работ на территории Заказчика, в том числе и за обращение с отходами;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2.2. Лица, назначенные приказом ответственными за обращение с отходами, должны иметь свидетельства/удостоверения на право работы с отходами 1-4 классов опасности. Ответственность за допуск работников к работе с отходами I-IV класса опасности несет соответствующее должностное лицо Подрядчика;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2.3. Предоставить после заключения договора копию приказа о назначении ответственных лиц за соблюдение требований природоохранного законодательства при выполнении работ на территории Заказчика.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2.4. Образовавшиеся в процессе выполнения монтажных работ отходы Подрядчик временно накапливает в месте производст</w:t>
            </w:r>
            <w:bookmarkStart w:id="30" w:name="_GoBack"/>
            <w:bookmarkEnd w:id="30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ва работ в промаркированные контейнеры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2.5. Установить для каждой категории отходов отдельные промаркированные контейнеры (принадлежность, вместимость, классы опасности отходов), на место, согласованное с Заказчиком;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2.6. Производить раздельное накопление отходов по видам (лом черных металлов, производственные отходы, промасленная ветошь, отработанное масло) в промаркированные контейнеры и емкости;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2.7. Накапливать отходы производства от проведения работ в местах, определенных Заказчиком, в промаркированные контейнеры;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2.8. Не допускать складирование и временное накопление отходов на не предназначенной для этих целей территории;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2.9. Иметь в наличие специальные транспортные средства (собственные или арендованные) для транспортировки отходов  4-5 класса опасности на специализированный полигон для размещения. В случае, если транспорт арендованный, представить копию договора на транспортировку отходов, в котором должна быть предусмотрена ответственность подрядной организации за транспортировку отходов на специализированный полигон для размещения;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2.10. Обеспечивать своевременное удаление образовавшихся в процессе производства работ отходов на объекты размещения/захоронения отходов по документам (талонам) Подрядчика собственными силами и за свой счет в соответствии с требованиями законодательства РФ;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2.11.  Вести учет образовавшихся отходов, данные учета предоставлять техническому куратору по договору ежемесячно до 10 числа месяца, следующего за отчетным, в виде официальной справки с приложением копий подтверждающих документов с отметкой полигона;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2.12. Выполнять требования природоохранного законодательства в сфере обращения с отходами, соблюдать принцип раздельного складирования отходов в контейнеры по видам отходов.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2.13. Обеспечивать за свой счет и собственными силами перемещение образовавшегося лома черных металлов на место, указанное Заказчиком (на расстояние до 2 км.);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2.14. Обеспечивать за свой счет и собственными силами вывоз тары и упаковки из-под оборудования и комплектующих для утилизации (вторичного использования) Подрядчиком. Право собственности на отходы черных, цветных металлов, отработанных масел, образующихся от оборудования, зданий, строений, сооружений Заказчика, принадлежат Заказчику.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2.15. Отходы, образующиеся в результате деятельности Подрядчика, связанной с выполнением работ по монтажу, в том числе отходы, образующиеся в процессе административно-хозяйственной деятельности персонала Подрядчика на территории Филиала, являются собственностью Подрядчика. Деятельность по обращению с такими отходами, а также связанная с этим ответственность, является обязанностью Подрядчика;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2.16. Ответственность за надлежащее состояние мест накопления отходов, тары для накопления, своевременный вывоз отходов несет Подрядчик;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2.17. Соблюдать режим использования водоохранных зон и прибрежных защитных полос, в соответствие со ст. 65 Водного кодекса РФ от 03.06.2006г. № 74-ФЗ;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2.18. Соблюдать требования пожарной безопасности при обращении с отходами, установленные ФЗ «О пожарной безопасности» (ст. 37) и Правилами противопожарного режима в РФ, утвержденными Постановлением Правительства РФ от 16.09.2020 №1479;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2.19. Соблюдать экологические требования в области обращения с отходами, отраженные в ст.51 ФЗ № 7 «Об охране окружающей среды», ст. 18 ФЗ № 96 «Об охране атмосферного воздуха»;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2.20. Соблюдать санитарные требования при обращении с отходами, установленные в ст. 22 ФЗ № 52-ФЗ от 30.03.1999 г. «О санитарно-эпидемиологическом благополучии населения» и СанПин 2.1.3684-21;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2.21. Соблюдать Экологическую политику Группы «РусГидро» (Приложение №2 к настоящим ТТ);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2.22. Накопление и транспортировка отходов на специализированный полигон должны производиться Подрядчиком в соответствии с санитарными требованиями и требований в области охраны окружающей среды к обращению с отходами, установленных законодательством Российской Федерации, собственными силами и за свой счет;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9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2.23. По окончании работ рабочие места должны быть сданы техническому куратору по договору с оформлением акта-приемки рабочего места (проверяются уборка, чистота и порядок, отсутствие отходов производства).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20"/>
                <w:tab w:val="left" w:pos="-1440" w:leader="none"/>
              </w:tabs>
              <w:suppressAutoHyphens w:val="true"/>
              <w:spacing w:before="0" w:after="0"/>
              <w:ind w:left="113" w:hanging="0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Требования к безопасности работ и охране труда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Подрядная организация должна иметь и представить:</w:t>
            </w:r>
          </w:p>
        </w:tc>
        <w:tc>
          <w:tcPr>
            <w:tcW w:w="1060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должен подтвердить соответствие квалификации персонала, участвующего в СМР на территории Заказчика, требованиям НТД: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При наличии в организации постоянно действующей экзаменационной комиссии (ПДЭК) представить до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начала проведения работ в рамках исполнения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договора: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 копию приказа о создании комиссии по проверке знаний правил устройства электроустановок (далее ПУЭ), правил по охране труда при эксплуатации электроустановок (далее ПОТЭЭ), правил пожарной безопасности (далее ППБ) в организации в количестве не менее 5 человек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 копии протоколов проверки знаний членов ПДЭК (не менее 5-ти человек) в комиссии Ростехнадзора по ПУЭ, ПОТЭЭ, ППБ, оформленных по форме Приложения № 2 ПРП;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 копии протоколов проверки знаний (в ПДЭК организации) на персонал, выполняющий работы на территории ГЭС, по ПУЭ, ПОТЭЭ, ППБ, оформленных по форме Приложения № 2 ПРП;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 копии удостоверений персонала, выполняющего работы, оформленные по форме Приложения № 5 ПРП;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 при отсутствии в организации ПДЭК предоставить копии протоколов проверки знаний в комиссии Ростехнадзора на персонал, выполняющий работы на территории ГЭС, по ПУЭ, ПОТЭЭ, ППБ, оформленных по форме Приложения № 2 ПРП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При наличии в организации постоянно действующей аттестационной комиссии по аттестации в области промышленной безопасности, безопасности гидротехнических сооружений (далее - ПДАК) представить до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начала проведения работ в рамках исполнения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договора: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 копию приказа о создании ПДАК;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2.2. копии выписок из протоколов (копии протоколов) по аттестации членов ПДАК в аттестационной комиссии Ростехнадзора, главной аттестационной комиссии (при наличии), по следующим областям аттестации: А.1, Б.9.3 (Б.9.31), В.2;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2.3. копии выписок из протоколов (копии протоколов) по аттестации в области промышленной безопасности, безопасности гидротехнических сооружений в ПДАК организации на руководителей и специалистов организации, которые будут непосредственно выполнять работы в качестве ответственных руководителей по наряду (области аттестации в соответствии с п. 2.2.);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 при отсутствии в организации ПДАК копии протоколов аттестации (выписок из протоколов) в комиссии Ростехнадзора в области промышленной безопасности, безопасности гидротехнических сооружений на руководителей и специалистов организации, которые будут непосредственно выполнять работы в качестве ответственных руководителей по наряду (области аттестации в соответствии с п. 2.2.).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Представить до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начала проведения работ в рамках исполнения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договора заверенный руководителем организации список квалифицированного рабочего и административно-технического персонала, задействованного при проведении работ, с указанием групп по электробезопасности II  до и выше 1000 В с предоставлением копий удостоверений установленной формы о проверке знаний норм и правил работы в электроустановках.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Представить до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начала проведения работ в рамках исполнения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договора  копию приказа о предоставлении задействованному персоналу прав для выполнения работ по акту- допуску в качестве: выдающего наряд (не менее 1 чел.), руководителя работ (не менее 2 чел.) и членов бригады (не менее 2 чел.).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Для выполнения работ с применением ПС должны быть назначены: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 специалисты, ответственные за безопасное производство работ с применением ПС (представить копию протокола, подтверждающую аттестацию и копию Приказа о назначении), не менее 1-ого человека;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5.2. рабочие не менее 2-х человек (стропальщик, машинист крана) имеющие удостоверения учебного центра и протокол проверки знаний по профессии стропальщик и машинист крана.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Представить  до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начала проведения работ в рамках исполнения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договора  документальное подтверждение соответствия квалификации персонала, выполняющего работы, в части обращения с отходами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 заверенные копии свидетельств (удостоверений) персонала, осуществляющего обращение с отходами, а также погрузку и транспортировку отходов, подтверждающих право работы с отходами 1-4 классов опасности;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6.2. заверенный список лиц, допущенных к обращению с отходами и имеющих профессиональную подготовку, подтвержденную свидетельствами/ удостоверениями на право работы с отходами 1-4 класса опасности.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Требования к используемым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материалам</w:t>
            </w:r>
          </w:p>
        </w:tc>
        <w:tc>
          <w:tcPr>
            <w:tcW w:w="106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7" w:firstLine="283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Материалы, оборудование, необходимые для выполнения работ, ЗИП приобретаются подрядчиком самостоятельно согласно ведомости объемов работ и смет, разработанных и согласованных в РД (Приложение № 6 к настоящим ТТ).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firstLine="34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 поставляемые и применяемые материалы должны быть новыми (дата изготовления не ранее 2026 года, при соблюдении условия хранения не более 6 месяцев на открытых площадках) и не использованными ранее.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283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Использование материалов, не соответствующих ведомостям объемов услуг, эквивалентная продукция, допускается только при письменном согласовании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ind w:left="113" w:firstLine="34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Подрядчик должен обеспечить входной контроль поступающих материалов, включающий в себя проверку: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наличия маркировки, сохранности упаковки, наличия и сохранности защитных и окрасочных покрытий;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комплектности поставляемых материалов;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en-US" w:bidi="ar-SA"/>
              </w:rPr>
              <w:t>наличия заводских паспортов, сертификатов качества в полном объеме на бумажном носителе (1 экземпляр).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Контроль качества используемых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материалов</w:t>
            </w:r>
          </w:p>
        </w:tc>
        <w:tc>
          <w:tcPr>
            <w:tcW w:w="10600" w:type="dxa"/>
            <w:tcBorders>
              <w:top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1. Работы должны выполняться с учетом требований по безопасности труда и действующего законодательства в области охраны окружающей среды.</w:t>
            </w:r>
          </w:p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2. Согласование с Заказчиком всех изменений Проекта в части отступлений от Проекта.</w:t>
            </w:r>
          </w:p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3. Работа считается выполненной при отсутствии замечаний по результатам работы приемочной комиссии.</w:t>
            </w:r>
          </w:p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4. В случае выявления нарушений/отступлений от действующих норм, правил и федерального законодательства, допущенных в ходе монтажных работ, в обязанности подрядной организации входит устранение указанных нарушений в обязательном порядке в полном объеме.</w:t>
            </w:r>
          </w:p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5. Разборка, вывоз отходов должны производиться Подрядчиком в соответствии с требованиями действующего законодательства РФ, на специализированный полигон за свой счет, своими силами и по своим документам (талонам).</w:t>
            </w:r>
          </w:p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6. Подрядчик должен осуществлять в течении выполнения работ и по их окончании «разделение металлолома по категориям (черный металл, цветной металл) с последующей погрузкой, перевозкой и выгрузкой на место, указанное Заказчиком в соответствии с требованиями «Регламента процесса «Планирования образования, накопления и реализации лома и отходов черных и цветных металлов (за исключением драгоценных) в филиалах ПАО «РусГидро» (приложение № 7 к настоящим ТТ). Образовавшийся лом черных и цветных металлов, отходы кабельной продукции (при наличии) передаются по актам Заказчику.</w:t>
            </w:r>
          </w:p>
          <w:p>
            <w:pPr>
              <w:pStyle w:val="ListParagraph"/>
              <w:widowControl w:val="false"/>
              <w:suppressAutoHyphens w:val="true"/>
              <w:spacing w:before="0" w:after="6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7. Объем и качество выполненной работы принимается на месте производства работ Заказчиком (или уполномоченным им лицом) в присутствии Подрядчика с оформлением технических актов, которые являются основанием для подписания актов выполненных работ.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4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6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113" w:firstLine="113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Все работы должны выполняться Подрядчиком по акту-допуску с соблюдением требований следующих документов: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113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1.1. Правила устройства электроустановок;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1.2. СО 34.04.181-2003 Правила организации технического обслуживания и ремонта оборудования, зданий и сооружений электростанций и сетей;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1.3.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 (утв. Приказом Ростехнадзора от 26.11.2020 г. № 461);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1.4. Правил по охране труда при размещении, монтаже, техническом обслуживании и ремонте технологического оборудования утв приказом Минтруда России от 27.11.2020 № 833н;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 Подрядчик обязан соблюдать требования действующего санитарно-эпидемиологического законодательства РФ и законодательства РФ в области охраны окружающей среды (ООС) при проведении монтажных работ: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2.1. № 7-ФЗ от 10.01.2002 г. «Об охране окружающей среды»;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2.2. № 89-ФЗ от 24.06.1998 г. «Об отходах производства и потребления»;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2.3. № 96-ФЗ от 04.05.1999 г. «Об охране атмосферного воздуха»;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2.4. Федеральный закон № 52-ФЗ от 30.03.1999г. «О санитарно-эпидемиологическом благополучии населения»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2.5. Федеральный закон №99 от 04.05.2011г. «О лицензировании отдельных видов деятельности»;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2.6. СанПин 2.1.3684-21;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4" w:leader="none"/>
                <w:tab w:val="left" w:pos="318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2.7. Экологическая политика ПАО «РусГидро» (Приложение № 2 к настоящим ТТ);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510" w:leader="none"/>
              </w:tabs>
              <w:suppressAutoHyphens w:val="true"/>
              <w:spacing w:before="0" w:after="0"/>
              <w:ind w:left="57" w:right="57" w:hanging="57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3. Правила по охране труда при работе с инструментом и приспособлениями (утверждены приказом Минтруда и соцзащиты РФ от 27.11.2020г. № 835н);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510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4. Правила по охране труда при погрузочно-разгрузочных работах и размещении грузов (утверждены приказом Минтруда и соцзащиты РФ от 28.10.2020г. № 753н);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510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5. Правила по охране труда при строительстве, реконструкции и ремонте (утверждены приказом Минтруда и соцзащиты РФ от 11.12.2020г. № 883н);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510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6. Градостроительный кодекс Российской Федерации (действующая редакция);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510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7. Политика Группы РусГидро в области охраны труда (Приложение № 5 к настоящим ТТ);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510" w:leader="none"/>
              </w:tabs>
              <w:suppressAutoHyphens w:val="true"/>
              <w:spacing w:before="0" w:after="0"/>
              <w:ind w:righ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7. Действующие на предприятии внутренние документы и правила.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6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65" w:leader="none"/>
              </w:tabs>
              <w:suppressAutoHyphens w:val="true"/>
              <w:spacing w:before="0" w:after="0"/>
              <w:ind w:lef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Допуск персонала на объекты ГЭС осуществляется в строгом соответствии с Методикой допуска персонала подрядных организаций к выполнению работ на объектах Общества, Приказ ПАО «РусГидро» от 28.04.2023 № 300 (приложение № 4 к настоящим ТТ) и действующими НТД в соответствии с таблицей 4 пункт 3.1.1.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Соблюдать инструкцию о пропускном и внутриобъектовом режимах филиала ПАО «РусГидро» - «Волжская ГЭС им. Ф.Г. Логинова» (приложение № 8 к настоящим ТТ)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Срок гарантии на результаты работ 12 месяцев. Подрядчик обязуется производить в течение гарантийного периода эксплуатации устранение всех неисправностей, возникших из-за дефектов своими силами и за свой счет.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Начало гарантийного срока исчисляется с даты подписания Сторонами Акта КС-11 по Объекту либо с даты прекращения (расторжения)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4. Для участия в составлении акта, фиксирующего дефекты, согласования порядка и сроков их устранения Подрядчик обязан направить своего представителя в течение суток со дня получения письменного извещения Заказчика.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Требования к </w:t>
            </w:r>
            <w:r>
              <w:rPr>
                <w:rFonts w:eastAsia="Times New Roman" w:cs="Times New Roman" w:ascii="Calibri" w:hAnsi="Calibri" w:asciiTheme="minorHAnsi" w:hAnsiTheme="minorHAnsi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одрядчику (и субподрядчикам) и его обязательствам, влияющим на исполнение договора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106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В случае привлечения субподрядной организации при выполнении работ, к ней предъявляются требования, аналогичные требованиям к Подрядчику 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Подрядчик обязан предоставить план распределения объемов работ, приложить документы, подтверждающие готовность и возможность субподрядчиков выполнить работы (в соответствии с настоящими техническими требованиями). Любые изменения на этапе заключения договора и/или выполнения работ в части привлечения субподрядных организаций (отличных от указанных в плане распределения работ Подрядчика) могут осуществляться только после получения письменного разрешения Заказчика.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разрешительным документам (лицензии)</w:t>
            </w:r>
          </w:p>
        </w:tc>
        <w:tc>
          <w:tcPr>
            <w:tcW w:w="106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39" w:leader="none"/>
                <w:tab w:val="left" w:pos="318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Представить Заказчику на этапе исполнения договора копию заверенной Лицензии на осуществление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1-4 классов опасности осуществляется не по месту их обработки, и (или) утилизации, и (или) обезвреживания, и (или) размещ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ения) с видом лицензионной деятельности – транспортирование отходов или договор с организацией, имеющей данную лицензию с видом деятельности – транспортирование отходов.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1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49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1" w:type="dxa"/>
            <w:tcBorders>
              <w:top w:val="nil"/>
              <w:right w:val="nil"/>
            </w:tcBorders>
            <w:vAlign w:val="center"/>
          </w:tcPr>
          <w:p>
            <w:pPr>
              <w:pStyle w:val="Style3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Информационная безопасность</w:t>
            </w:r>
          </w:p>
        </w:tc>
        <w:tc>
          <w:tcPr>
            <w:tcW w:w="1060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882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Подрядчик обязан выполнять в полном объеме требования Заказчика к информационной безопасности.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82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Запрещается: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882" w:leader="none"/>
              </w:tabs>
              <w:suppressAutoHyphens w:val="true"/>
              <w:spacing w:before="0" w:after="0"/>
              <w:ind w:left="170" w:firstLine="283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передавать иным лицам, кроме полномочных представителей Заказчика, схемы подключения, планы расположения, технические характеристики оборудования;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882" w:leader="none"/>
              </w:tabs>
              <w:suppressAutoHyphens w:val="true"/>
              <w:spacing w:before="0" w:after="0"/>
              <w:ind w:left="170" w:firstLine="283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осуществлять несанкционированное подключение к оборудованию;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882" w:leader="none"/>
              </w:tabs>
              <w:suppressAutoHyphens w:val="true"/>
              <w:spacing w:before="0" w:after="0"/>
              <w:ind w:left="170" w:firstLine="283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передавать третьей стороне любую информацию о работе оборудования и параметрах технологического процесса без письменного согласия Заказчика.</w:t>
            </w:r>
          </w:p>
        </w:tc>
        <w:tc>
          <w:tcPr>
            <w:tcW w:w="1787" w:type="dxa"/>
            <w:vMerge w:val="continue"/>
            <w:tcBorders>
              <w:top w:val="nil"/>
            </w:tcBorders>
          </w:tcPr>
          <w:p>
            <w:pPr>
              <w:pStyle w:val="Style3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720" w:right="720" w:gutter="0" w:header="680" w:top="737" w:footer="0" w:bottom="720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lang w:val="ru-RU"/>
        </w:rPr>
      </w:pPr>
      <w:r>
        <w:rPr>
          <w:iCs/>
          <w:sz w:val="24"/>
          <w:szCs w:val="24"/>
        </w:rPr>
        <w:t>3. Требования к документации по ценообразованию на этапе закупки</w:t>
      </w:r>
    </w:p>
    <w:p>
      <w:pPr>
        <w:pStyle w:val="Normal"/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40" w:firstLine="510"/>
        <w:jc w:val="both"/>
        <w:rPr>
          <w:sz w:val="24"/>
          <w:szCs w:val="24"/>
        </w:rPr>
      </w:pPr>
      <w:r>
        <w:rPr>
          <w:sz w:val="24"/>
          <w:szCs w:val="24"/>
          <w:lang w:val="x-none" w:eastAsia="x-none"/>
        </w:rPr>
        <w:t xml:space="preserve">3.1. </w:t>
      </w:r>
      <w:r>
        <w:rPr>
          <w:bCs/>
          <w:i/>
          <w:iCs/>
          <w:sz w:val="24"/>
          <w:szCs w:val="24"/>
          <w:lang w:val="x-none" w:eastAsia="x-none"/>
        </w:rPr>
        <w:t xml:space="preserve">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 в отношении стоимости выполняемых работ, услуг (по сметной документации </w:t>
      </w:r>
      <w:r>
        <w:rPr>
          <w:bCs/>
          <w:i/>
          <w:iCs/>
          <w:sz w:val="24"/>
          <w:szCs w:val="24"/>
          <w:lang w:eastAsia="x-none"/>
        </w:rPr>
        <w:t>З</w:t>
      </w:r>
      <w:r>
        <w:rPr>
          <w:bCs/>
          <w:i/>
          <w:iCs/>
          <w:sz w:val="24"/>
          <w:szCs w:val="24"/>
          <w:lang w:val="x-none" w:eastAsia="x-none"/>
        </w:rPr>
        <w:t xml:space="preserve">аказчика) </w:t>
      </w:r>
      <w:r>
        <w:rPr>
          <w:rFonts w:eastAsia="Calibri"/>
          <w:bCs/>
          <w:i/>
          <w:iCs/>
          <w:sz w:val="24"/>
          <w:szCs w:val="24"/>
          <w:lang w:eastAsia="en-US"/>
        </w:rPr>
        <w:t>(величину данного коэффициента рекомендуется учитывать с округлением до 7 знаков после запятой</w:t>
      </w:r>
      <w:r>
        <w:rPr>
          <w:rFonts w:eastAsia="Calibri"/>
          <w:bCs/>
          <w:i/>
          <w:iCs/>
          <w:sz w:val="24"/>
          <w:szCs w:val="24"/>
          <w:lang w:eastAsia="x-none"/>
        </w:rPr>
        <w:t xml:space="preserve">) </w:t>
      </w:r>
      <w:r>
        <w:rPr>
          <w:bCs/>
          <w:i/>
          <w:iCs/>
          <w:sz w:val="24"/>
          <w:szCs w:val="24"/>
          <w:lang w:val="x-none" w:eastAsia="x-none"/>
        </w:rPr>
        <w:t>и стоимости поставляем</w:t>
      </w:r>
      <w:r>
        <w:rPr>
          <w:bCs/>
          <w:i/>
          <w:iCs/>
          <w:sz w:val="24"/>
          <w:szCs w:val="24"/>
          <w:lang w:eastAsia="x-none"/>
        </w:rPr>
        <w:t>ых</w:t>
      </w:r>
      <w:r>
        <w:rPr>
          <w:bCs/>
          <w:i/>
          <w:iCs/>
          <w:sz w:val="24"/>
          <w:szCs w:val="24"/>
          <w:lang w:val="x-none" w:eastAsia="x-none"/>
        </w:rPr>
        <w:t xml:space="preserve"> ЗИП (по спецификации «Поставляемые ЗИП»</w:t>
      </w:r>
      <w:r>
        <w:rPr>
          <w:bCs/>
          <w:i/>
          <w:iCs/>
          <w:sz w:val="24"/>
          <w:szCs w:val="24"/>
          <w:lang w:eastAsia="x-none"/>
        </w:rPr>
        <w:t xml:space="preserve"> </w:t>
      </w:r>
      <w:r>
        <w:rPr>
          <w:bCs/>
          <w:i/>
          <w:iCs/>
          <w:sz w:val="24"/>
          <w:szCs w:val="24"/>
          <w:lang w:val="x-none" w:eastAsia="x-none"/>
        </w:rPr>
        <w:t>- Приложение №</w:t>
      </w:r>
      <w:r>
        <w:rPr>
          <w:bCs/>
          <w:i/>
          <w:iCs/>
          <w:sz w:val="24"/>
          <w:szCs w:val="24"/>
          <w:lang w:eastAsia="x-none"/>
        </w:rPr>
        <w:t xml:space="preserve"> </w:t>
      </w:r>
      <w:r>
        <w:rPr>
          <w:bCs/>
          <w:i/>
          <w:iCs/>
          <w:sz w:val="24"/>
          <w:szCs w:val="24"/>
          <w:lang w:val="x-none" w:eastAsia="x-none"/>
        </w:rPr>
        <w:t>9 к настоящим Т</w:t>
      </w:r>
      <w:r>
        <w:rPr>
          <w:bCs/>
          <w:i/>
          <w:iCs/>
          <w:sz w:val="24"/>
          <w:szCs w:val="24"/>
          <w:lang w:eastAsia="x-none"/>
        </w:rPr>
        <w:t>Т</w:t>
      </w:r>
      <w:r>
        <w:rPr>
          <w:bCs/>
          <w:i/>
          <w:iCs/>
          <w:sz w:val="24"/>
          <w:szCs w:val="24"/>
          <w:lang w:val="x-none" w:eastAsia="x-none"/>
        </w:rPr>
        <w:t>)).</w:t>
      </w:r>
    </w:p>
    <w:p>
      <w:pPr>
        <w:pStyle w:val="Normal"/>
        <w:ind w:left="340" w:firstLine="510"/>
        <w:jc w:val="both"/>
        <w:rPr>
          <w:sz w:val="24"/>
          <w:szCs w:val="24"/>
        </w:rPr>
      </w:pPr>
      <w:r>
        <w:rPr>
          <w:bCs/>
          <w:i/>
          <w:iCs/>
          <w:sz w:val="24"/>
          <w:szCs w:val="24"/>
          <w:lang w:val="x-none" w:eastAsia="x-none"/>
        </w:rPr>
        <w:t>3.2. Вместе с Коммерческим предложением участник закупки должен предоставить спецификацию поставляем</w:t>
      </w:r>
      <w:r>
        <w:rPr>
          <w:bCs/>
          <w:i/>
          <w:iCs/>
          <w:sz w:val="24"/>
          <w:szCs w:val="24"/>
          <w:lang w:eastAsia="x-none"/>
        </w:rPr>
        <w:t>ых</w:t>
      </w:r>
      <w:r>
        <w:rPr>
          <w:bCs/>
          <w:i/>
          <w:iCs/>
          <w:sz w:val="24"/>
          <w:szCs w:val="24"/>
          <w:lang w:val="x-none" w:eastAsia="x-none"/>
        </w:rPr>
        <w:t xml:space="preserve"> ЗИП по форме, приведенной в Приложении №9 к настоящим Т</w:t>
      </w:r>
      <w:r>
        <w:rPr>
          <w:bCs/>
          <w:i/>
          <w:iCs/>
          <w:sz w:val="24"/>
          <w:szCs w:val="24"/>
          <w:lang w:eastAsia="x-none"/>
        </w:rPr>
        <w:t>Т</w:t>
      </w:r>
      <w:r>
        <w:rPr>
          <w:bCs/>
          <w:i/>
          <w:iCs/>
          <w:sz w:val="24"/>
          <w:szCs w:val="24"/>
          <w:lang w:val="x-none" w:eastAsia="x-none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left="357" w:hanging="0"/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Требования к документации по ценообразованию на этапе заключения (исполнения) договора</w:t>
      </w:r>
    </w:p>
    <w:p>
      <w:pPr>
        <w:pStyle w:val="Normal"/>
        <w:spacing w:before="60" w:after="60"/>
        <w:jc w:val="both"/>
        <w:rPr>
          <w:bCs/>
          <w:i/>
          <w:i/>
          <w:iCs/>
          <w:sz w:val="24"/>
          <w:szCs w:val="24"/>
          <w:lang w:val="x-none"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4.1. Требования к </w:t>
      </w:r>
      <w:r>
        <w:rPr>
          <w:bCs/>
          <w:i/>
          <w:iCs/>
          <w:sz w:val="24"/>
          <w:szCs w:val="24"/>
          <w:lang w:val="x-none" w:eastAsia="x-none"/>
        </w:rPr>
        <w:t>составлени</w:t>
      </w:r>
      <w:r>
        <w:rPr>
          <w:bCs/>
          <w:i/>
          <w:iCs/>
          <w:sz w:val="24"/>
          <w:szCs w:val="24"/>
          <w:lang w:eastAsia="x-none"/>
        </w:rPr>
        <w:t>ю</w:t>
      </w:r>
      <w:r>
        <w:rPr>
          <w:bCs/>
          <w:i/>
          <w:iCs/>
          <w:sz w:val="24"/>
          <w:szCs w:val="24"/>
          <w:lang w:val="x-none" w:eastAsia="x-none"/>
        </w:rPr>
        <w:t xml:space="preserve"> сметной документации (при заключении договора</w:t>
      </w:r>
      <w:r>
        <w:rPr>
          <w:bCs/>
          <w:i/>
          <w:iCs/>
          <w:sz w:val="24"/>
          <w:szCs w:val="24"/>
          <w:lang w:eastAsia="x-none"/>
        </w:rPr>
        <w:t>):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 xml:space="preserve">4.1.1. По результатам настоящей закупки заключается договор с предельной ценой на ПНР и твердой ценой на СМР, путем применения к стоимости </w:t>
      </w:r>
      <w:r>
        <w:rPr>
          <w:b w:val="false"/>
          <w:i/>
          <w:lang w:val="ru-RU"/>
        </w:rPr>
        <w:t>работ</w:t>
      </w:r>
      <w:r>
        <w:rPr>
          <w:b w:val="false"/>
          <w:i/>
        </w:rPr>
        <w:t xml:space="preserve">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на </w:t>
      </w:r>
      <w:r>
        <w:rPr>
          <w:b w:val="false"/>
          <w:i/>
          <w:lang w:val="ru-RU"/>
        </w:rPr>
        <w:t>работы</w:t>
      </w:r>
      <w:r>
        <w:rPr>
          <w:b w:val="false"/>
          <w:i/>
        </w:rPr>
        <w:t xml:space="preserve"> единым индексом в итогах. Предельная стоимость ПНР включается в Сводный сметный расчет отдельной строкой с применением понижающего коэффициента. </w:t>
      </w:r>
      <w:r>
        <w:rPr>
          <w:b w:val="false"/>
          <w:bCs/>
          <w:i/>
          <w:iCs/>
        </w:rPr>
        <w:t>Стоимость поставляемого ЗИП выделена в отдельную спецификацию «Поставляемые ЗИП» по форме, приведенной в Приложении №9 к настоящим Т</w:t>
      </w:r>
      <w:r>
        <w:rPr>
          <w:b w:val="false"/>
          <w:bCs/>
          <w:i/>
          <w:iCs/>
          <w:lang w:val="ru-RU"/>
        </w:rPr>
        <w:t>Т</w:t>
      </w:r>
      <w:r>
        <w:rPr>
          <w:b w:val="false"/>
          <w:bCs/>
          <w:i/>
          <w:iCs/>
        </w:rPr>
        <w:t>».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 xml:space="preserve">4.1.2. Сметная документация (Приложение №10 к </w:t>
      </w:r>
      <w:r>
        <w:rPr>
          <w:b w:val="false"/>
          <w:bCs/>
          <w:i/>
          <w:iCs/>
        </w:rPr>
        <w:t>настоящим Т</w:t>
      </w:r>
      <w:r>
        <w:rPr>
          <w:b w:val="false"/>
          <w:bCs/>
          <w:i/>
          <w:iCs/>
          <w:lang w:val="ru-RU"/>
        </w:rPr>
        <w:t>Т</w:t>
      </w:r>
      <w:r>
        <w:rPr>
          <w:b w:val="false"/>
          <w:bCs/>
          <w:i/>
          <w:iCs/>
        </w:rPr>
        <w:t xml:space="preserve">) </w:t>
      </w:r>
      <w:r>
        <w:rPr>
          <w:b w:val="false"/>
          <w:i/>
        </w:rPr>
        <w:t>разработана заказчиком в рамках определения твердой цены СМР в соответствии с требованиями, указанными в приложении №1 к настоящим Т</w:t>
      </w:r>
      <w:r>
        <w:rPr>
          <w:b w:val="false"/>
          <w:i/>
          <w:lang w:val="ru-RU"/>
        </w:rPr>
        <w:t>Т</w:t>
      </w:r>
      <w:r>
        <w:rPr>
          <w:b w:val="false"/>
          <w:i/>
        </w:rPr>
        <w:t>. После согласования и утверждения Заказчиком комплексной программы, подтверждающей объем пуско-наладочных работ Подрядчиком будет разрабатываться Сметная документация на ПНР в соответствии с требованиями, указанными в приложении №1 к настоящим Т</w:t>
      </w:r>
      <w:r>
        <w:rPr>
          <w:b w:val="false"/>
          <w:i/>
          <w:lang w:val="ru-RU"/>
        </w:rPr>
        <w:t>Т</w:t>
      </w:r>
      <w:r>
        <w:rPr>
          <w:b w:val="false"/>
          <w:i/>
        </w:rPr>
        <w:t xml:space="preserve"> с применением понижающего коэффициента, определенного по результатам конкурентной процедуры (п. 4.1.1).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>4.1.3. В случае если стоимость по сметам, разработанным Подрядчиком на ПНР, будет превышать стоимость, указанную в Коммерческом предложении,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>4.1.4. В случае</w:t>
      </w:r>
      <w:r>
        <w:rPr>
          <w:b w:val="false"/>
          <w:i/>
          <w:lang w:val="ru-RU"/>
        </w:rPr>
        <w:t>,</w:t>
      </w:r>
      <w:r>
        <w:rPr>
          <w:b w:val="false"/>
          <w:i/>
        </w:rPr>
        <w:t xml:space="preserve"> если стоимость по сметам, разработанным Подрядчиком на ПНР,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>4.1.5. Внесение изменений в сметную документацию Заказчика на СМР, кроме применения понижающего коэффициента в соответствии с п.4.1.1 не допускается.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>4.1.6. В сметной документации предусмотрен резерв средств на непредвиденные работы и затраты в размере 3%.</w:t>
      </w:r>
    </w:p>
    <w:p>
      <w:pPr>
        <w:pStyle w:val="Heading1"/>
        <w:keepNext w:val="false"/>
        <w:numPr>
          <w:ilvl w:val="0"/>
          <w:numId w:val="0"/>
        </w:numPr>
        <w:tabs>
          <w:tab w:val="clear" w:pos="755"/>
          <w:tab w:val="left" w:pos="1134" w:leader="none"/>
        </w:tabs>
        <w:ind w:left="0" w:hanging="0"/>
        <w:rPr>
          <w:b w:val="false"/>
          <w:i/>
          <w:i/>
          <w:sz w:val="24"/>
          <w:szCs w:val="24"/>
        </w:rPr>
      </w:pPr>
      <w:r>
        <w:rPr>
          <w:b w:val="false"/>
          <w:i/>
          <w:sz w:val="24"/>
          <w:szCs w:val="24"/>
        </w:rPr>
        <w:t>4.2. Требования к составлению сметной документации (на этапе исполнения договора):</w:t>
      </w:r>
    </w:p>
    <w:p>
      <w:pPr>
        <w:pStyle w:val="Heading3"/>
        <w:keepNext w:val="false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  <w:t>4.2.1. После согласования и утверждения Заказчиком комплексной программы, подтверждающей объем пуско-наладочных работ, Подрядчику необходимо оформить сметную документацию в обоснование данных затрат в соответствии с требованиями, указанными в приложении № 1 к настоящим Т</w:t>
      </w:r>
      <w:r>
        <w:rPr>
          <w:b w:val="false"/>
          <w:i/>
          <w:lang w:val="ru-RU"/>
        </w:rPr>
        <w:t>Т</w:t>
      </w:r>
      <w:r>
        <w:rPr>
          <w:b w:val="false"/>
          <w:i/>
        </w:rPr>
        <w:t>, с применением понижающего коэффициента, определенного по результатам конкурентной процедуры (п. 4.1.2).</w:t>
      </w:r>
    </w:p>
    <w:p>
      <w:pPr>
        <w:pStyle w:val="Normal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4.2.2. В случае возникновения непредвиденных расходов в рамках реализации договора необходимо составлять и оформлять сметную документацию в обоснование данных затрат в соответствии с требованиями, указанными в приложении № 1 к настоящим ТТ, с применением понижающего коэффициента, определенного по результатам конкурентной процедуры (п. 4.1.1). </w:t>
      </w:r>
      <w:bookmarkStart w:id="31" w:name="_GoBack_Копия_1"/>
      <w:bookmarkEnd w:id="31"/>
      <w:r>
        <w:rPr>
          <w:i/>
          <w:sz w:val="26"/>
          <w:szCs w:val="26"/>
        </w:rPr>
        <w:t>В дополнительном соглашении резерв средств на непредвиденные работы и затраты не предусматриваетс</w:t>
      </w:r>
      <w:bookmarkStart w:id="32" w:name="__RefHeading___Toc35340_1533407786_Копия"/>
      <w:bookmarkEnd w:id="32"/>
      <w:r>
        <w:rPr>
          <w:i/>
          <w:sz w:val="26"/>
          <w:szCs w:val="26"/>
        </w:rPr>
        <w:t>я.</w:t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Приложения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5.1. Приложение № 1 – Требования к оформлению и составлению сметной документации на работы по программе  ремонтов, реконструкции и техническому перевооружению 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5.2. Приложение № 2 – Экологическая политика группы «РусГидро;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5.3. Приложение № 3 – Техническая политика ПАО «РусГидро;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5.4. Приложение № 4 – Методика допуска персонала подрядных организаций к выполнению работ на объектах Общества, Приказ ПАО «РусГидро» от 28.04.2023 № 300 Об утверждении Регламента процесса «Допуск персонала подрядных организаций на объекты ПАО «РусГидро»»;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5.5. Приложение № 5 – Политика Группы РусГидро в области охраны труда;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5.6. Приложение № 6 – Рабочая документация «Модернизация водопроводных систем полива грунтовых плотин № 40, 41, 42 Филиала ПАО «РусГидро» - «Волжская ГЭС» Тома 2147-23-001, 2147-23-002, 2147-23-003, 2147-23-004, 2147-25-001, 2147-25-007, 2147-25-008, 2147-25-009, 2147-25-017;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5.7. Приложение № 7 – Регламент процесса «Планирования образования, накопления и реализации лома и отходов черных и цветных металлов (за исключением драгоценных) в филиалах ПАО «РусГидро»;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5.8. Приложение № 8 — Инструкция о пропускном и внутриобъектовом режимах филиала ПАО «РусГидро» - «Волжская ГЭС им. Ф.Г. Логинова»;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5.9. Приложение № 9 — Спецификация поставляемого ЗИП;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firstLine="510"/>
        <w:outlineLvl w:val="0"/>
        <w:rPr>
          <w:sz w:val="24"/>
          <w:szCs w:val="24"/>
        </w:rPr>
      </w:pPr>
      <w:r>
        <w:rPr>
          <w:sz w:val="24"/>
          <w:szCs w:val="24"/>
        </w:rPr>
        <w:t>5.10. Приложение № 10 – Сметная документация (Сводный сметный расчет и локальные сметы).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 Narrow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0235BB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0235BB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267"/>
        </w:tabs>
        <w:ind w:left="26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987"/>
        </w:tabs>
        <w:ind w:left="9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07"/>
        </w:tabs>
        <w:ind w:left="17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067"/>
        </w:tabs>
        <w:ind w:left="20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27"/>
        </w:tabs>
        <w:ind w:left="24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787"/>
        </w:tabs>
        <w:ind w:left="27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147"/>
        </w:tabs>
        <w:ind w:left="3147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3">
    <w:lvl w:ilvl="0">
      <w:start w:val="1"/>
      <w:numFmt w:val="bullet"/>
      <w:lvlText w:val="-"/>
      <w:lvlJc w:val="left"/>
      <w:pPr>
        <w:tabs>
          <w:tab w:val="num" w:pos="851"/>
        </w:tabs>
        <w:ind w:left="567" w:hanging="0"/>
      </w:pPr>
      <w:rPr>
        <w:rFonts w:ascii="OpenSymbol" w:hAnsi="OpenSymbol" w:cs="OpenSymbol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4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-851" w:firstLine="851"/>
      </w:pPr>
      <w:rPr>
        <w:sz w:val="22"/>
        <w:b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b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80"/>
  <w:trackRevisions/>
  <w:defaultTabStop w:val="720"/>
  <w:autoHyphenation w:val="true"/>
  <w:compat>
    <w:compatSetting w:name="compatibilityMode" w:uri="http://schemas.microsoft.com/office/word" w:val="12"/>
  </w:compat>
  <w:documentProtection w:edit="trackedChanges" w:enforcement="1" w:cryptAlgorithmSid="14" w:cryptSpinCount="100000" w:cryptProviderType="rsaAES" w:cryptAlgorithmClass="hash" w:cryptAlgorithmType="typeAny" w:salt="5RObjFrFMVUfnG4FYdRYsA==" w:hash="lVWZo/BR1RycUmuzaumtfd5bKjaG0e/zwCo3HIJHcpayR6O47wGkKHojBYLgu56fP/UlBFYecFfk7nxp+twxZw==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 w:qFormat="1"/>
    <w:lsdException w:name="line number" w:uiPriority="99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uiPriority="99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numPr>
        <w:ilvl w:val="2"/>
        <w:numId w:val="8"/>
      </w:numPr>
      <w:tabs>
        <w:tab w:val="clear" w:pos="720"/>
        <w:tab w:val="left" w:pos="755" w:leader="none"/>
      </w:tabs>
      <w:spacing w:before="120" w:after="60"/>
      <w:ind w:left="0" w:firstLine="624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"/>
    <w:qFormat/>
    <w:rsid w:val="006629c9"/>
    <w:pPr>
      <w:numPr>
        <w:ilvl w:val="0"/>
        <w:numId w:val="0"/>
      </w:numPr>
      <w:tabs>
        <w:tab w:val="clear" w:pos="755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eb24c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uiPriority w:val="9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14" w:customStyle="1">
    <w:name w:val="Гиперссылка1"/>
    <w:basedOn w:val="DefaultParagraphFont"/>
    <w:uiPriority w:val="99"/>
    <w:unhideWhenUsed/>
    <w:qFormat/>
    <w:rsid w:val="002c14fd"/>
    <w:rPr>
      <w:color w:val="0563C1" w:themeColor="hyperlink"/>
      <w:u w:val="single"/>
    </w:rPr>
  </w:style>
  <w:style w:type="character" w:styleId="Style14" w:customStyle="1">
    <w:name w:val="Текст выноски Знак"/>
    <w:link w:val="BalloonText"/>
    <w:semiHidden/>
    <w:qFormat/>
    <w:rsid w:val="00eb24c6"/>
    <w:rPr>
      <w:rFonts w:ascii="Tahoma" w:hAnsi="Tahoma" w:cs="Tahoma"/>
      <w:sz w:val="16"/>
      <w:szCs w:val="16"/>
    </w:rPr>
  </w:style>
  <w:style w:type="character" w:styleId="Apple-style-span" w:customStyle="1">
    <w:name w:val="apple-style-span"/>
    <w:basedOn w:val="DefaultParagraphFont"/>
    <w:qFormat/>
    <w:rsid w:val="00eb24c6"/>
    <w:rPr/>
  </w:style>
  <w:style w:type="character" w:styleId="Apple-converted-space" w:customStyle="1">
    <w:name w:val="apple-converted-space"/>
    <w:basedOn w:val="DefaultParagraphFont"/>
    <w:qFormat/>
    <w:rsid w:val="00eb24c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eb24c6"/>
    <w:rPr>
      <w:sz w:val="28"/>
      <w:szCs w:val="28"/>
    </w:rPr>
  </w:style>
  <w:style w:type="character" w:styleId="Linenumber1" w:customStyle="1">
    <w:name w:val="line number1"/>
    <w:basedOn w:val="DefaultParagraphFont"/>
    <w:uiPriority w:val="99"/>
    <w:semiHidden/>
    <w:unhideWhenUsed/>
    <w:qFormat/>
    <w:rsid w:val="00eb24c6"/>
    <w:rPr/>
  </w:style>
  <w:style w:type="character" w:styleId="Style16" w:customStyle="1">
    <w:name w:val="Схема документа Знак"/>
    <w:basedOn w:val="DefaultParagraphFont"/>
    <w:link w:val="DocumentMap"/>
    <w:uiPriority w:val="99"/>
    <w:semiHidden/>
    <w:qFormat/>
    <w:rsid w:val="00eb24c6"/>
    <w:rPr>
      <w:rFonts w:ascii="Tahoma" w:hAnsi="Tahoma" w:cs="Tahoma"/>
      <w:sz w:val="16"/>
      <w:szCs w:val="16"/>
    </w:rPr>
  </w:style>
  <w:style w:type="character" w:styleId="Style17" w:customStyle="1">
    <w:name w:val="Тема примечания Знак"/>
    <w:link w:val="Annotationsubject"/>
    <w:semiHidden/>
    <w:qFormat/>
    <w:rsid w:val="00eb24c6"/>
    <w:rPr>
      <w:b/>
      <w:bCs/>
    </w:rPr>
  </w:style>
  <w:style w:type="character" w:styleId="Style18" w:customStyle="1">
    <w:name w:val="Основной текст с отступом Знак"/>
    <w:qFormat/>
    <w:rsid w:val="00eb24c6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b24c6"/>
    <w:rPr>
      <w:color w:val="954F72"/>
      <w:u w:val="single"/>
    </w:rPr>
  </w:style>
  <w:style w:type="character" w:styleId="61" w:customStyle="1">
    <w:name w:val="Основной текст (6)_"/>
    <w:basedOn w:val="DefaultParagraphFont"/>
    <w:link w:val="62"/>
    <w:qFormat/>
    <w:rsid w:val="00eb24c6"/>
    <w:rPr>
      <w:shd w:fill="FFFFFF" w:val="clear"/>
    </w:rPr>
  </w:style>
  <w:style w:type="character" w:styleId="Style19" w:customStyle="1">
    <w:name w:val="Колонтитул_"/>
    <w:basedOn w:val="DefaultParagraphFont"/>
    <w:link w:val="Style31"/>
    <w:qFormat/>
    <w:rsid w:val="00eb24c6"/>
    <w:rPr>
      <w:shd w:fill="FFFFFF" w:val="clear"/>
    </w:rPr>
  </w:style>
  <w:style w:type="character" w:styleId="ConsPlusNormal" w:customStyle="1">
    <w:name w:val="ConsPlusNormal Знак"/>
    <w:link w:val="ConsPlusNormal1"/>
    <w:qFormat/>
    <w:rsid w:val="00eb24c6"/>
    <w:rPr>
      <w:rFonts w:ascii="Arial" w:hAnsi="Arial" w:cs="Arial"/>
    </w:rPr>
  </w:style>
  <w:style w:type="character" w:styleId="15" w:customStyle="1">
    <w:name w:val="Абзац списка Знак1"/>
    <w:basedOn w:val="DefaultParagraphFont"/>
    <w:uiPriority w:val="34"/>
    <w:qFormat/>
    <w:rsid w:val="00eb24c6"/>
    <w:rPr>
      <w:rFonts w:ascii="Calibri" w:hAnsi="Calibri"/>
      <w:sz w:val="22"/>
    </w:rPr>
  </w:style>
  <w:style w:type="character" w:styleId="1113" w:customStyle="1">
    <w:name w:val="РГ_1.1.1_3 Знак"/>
    <w:link w:val="11131"/>
    <w:qFormat/>
    <w:rsid w:val="00eb24c6"/>
    <w:rPr>
      <w:sz w:val="28"/>
      <w:szCs w:val="28"/>
    </w:rPr>
  </w:style>
  <w:style w:type="character" w:styleId="Style20" w:customStyle="1">
    <w:name w:val="РГ_текст табл Знак"/>
    <w:basedOn w:val="DefaultParagraphFont"/>
    <w:link w:val="Style49"/>
    <w:qFormat/>
    <w:rsid w:val="00eb24c6"/>
    <w:rPr>
      <w:rFonts w:ascii="Calibri" w:hAnsi="Calibri" w:eastAsia="Calibri" w:cs="Calibri"/>
      <w:sz w:val="24"/>
      <w:szCs w:val="24"/>
      <w:lang w:eastAsia="en-US"/>
    </w:rPr>
  </w:style>
  <w:style w:type="character" w:styleId="Style21" w:customStyle="1">
    <w:name w:val="РГ_номер текста табл Знак"/>
    <w:basedOn w:val="DefaultParagraphFont"/>
    <w:link w:val="Style50"/>
    <w:qFormat/>
    <w:rsid w:val="00eb24c6"/>
    <w:rPr>
      <w:rFonts w:ascii="Calibri" w:hAnsi="Calibri" w:eastAsia="Calibri" w:cs="Calibri"/>
      <w:sz w:val="22"/>
      <w:szCs w:val="22"/>
      <w:lang w:eastAsia="en-US"/>
    </w:rPr>
  </w:style>
  <w:style w:type="character" w:styleId="111" w:customStyle="1">
    <w:name w:val="1.1. таблица Знак"/>
    <w:basedOn w:val="Style21"/>
    <w:link w:val="115"/>
    <w:qFormat/>
    <w:rsid w:val="00eb24c6"/>
    <w:rPr>
      <w:rFonts w:ascii="Calibri" w:hAnsi="Calibri" w:eastAsia="Calibri" w:cs="Calibri"/>
      <w:sz w:val="22"/>
      <w:szCs w:val="22"/>
      <w:lang w:eastAsia="en-US"/>
    </w:rPr>
  </w:style>
  <w:style w:type="character" w:styleId="-" w:customStyle="1">
    <w:name w:val="- таблица Знак"/>
    <w:basedOn w:val="Style21"/>
    <w:link w:val="-2"/>
    <w:qFormat/>
    <w:rsid w:val="00eb24c6"/>
    <w:rPr>
      <w:rFonts w:ascii="Calibri" w:hAnsi="Calibri" w:eastAsia="Calibri" w:cs="Calibri"/>
      <w:sz w:val="22"/>
      <w:szCs w:val="22"/>
      <w:lang w:eastAsia="en-US"/>
    </w:rPr>
  </w:style>
  <w:style w:type="character" w:styleId="Style22" w:customStyle="1">
    <w:name w:val="Ссылка указателя"/>
    <w:qFormat/>
    <w:rPr/>
  </w:style>
  <w:style w:type="character" w:styleId="Style23" w:customStyle="1">
    <w:name w:val="Маркеры"/>
    <w:qFormat/>
    <w:rPr>
      <w:rFonts w:ascii="OpenSymbol" w:hAnsi="OpenSymbol" w:eastAsia="OpenSymbol" w:cs="OpenSymbol"/>
    </w:rPr>
  </w:style>
  <w:style w:type="character" w:styleId="Style24" w:customStyle="1">
    <w:name w:val="Символ нумерации"/>
    <w:qFormat/>
    <w:rPr>
      <w:sz w:val="24"/>
      <w:szCs w:val="24"/>
    </w:rPr>
  </w:style>
  <w:style w:type="character" w:styleId="51" w:customStyle="1">
    <w:name w:val="Стиль5 Знак"/>
    <w:qFormat/>
    <w:rPr>
      <w:rFonts w:ascii="Times New Roman" w:hAnsi="Times New Roman" w:eastAsia="Times New Roman" w:cs="Times New Roman"/>
      <w:b/>
      <w:color w:val="000000"/>
      <w:sz w:val="24"/>
      <w:szCs w:val="24"/>
      <w:lang w:val="x-none" w:eastAsia="x-none"/>
    </w:rPr>
  </w:style>
  <w:style w:type="character" w:styleId="41" w:customStyle="1">
    <w:name w:val="Стиль4 Знак"/>
    <w:qFormat/>
    <w:rPr>
      <w:rFonts w:ascii="Times New Roman" w:hAnsi="Times New Roman" w:eastAsia="Times New Roman" w:cs="Times New Roman"/>
      <w:b/>
      <w:color w:val="000000"/>
      <w:sz w:val="24"/>
      <w:szCs w:val="24"/>
      <w:lang w:val="x-none" w:eastAsia="x-none"/>
    </w:rPr>
  </w:style>
  <w:style w:type="character" w:styleId="33" w:customStyle="1">
    <w:name w:val="Стиль3 Знак"/>
    <w:qFormat/>
    <w:rPr>
      <w:rFonts w:ascii="Calibri" w:hAnsi="Calibri" w:eastAsia="Calibri" w:cs="Calibri"/>
      <w:b/>
      <w:color w:val="000000"/>
      <w:sz w:val="24"/>
      <w:szCs w:val="22"/>
      <w:lang w:eastAsia="en-US"/>
    </w:rPr>
  </w:style>
  <w:style w:type="character" w:styleId="Linenumber2" w:customStyle="1">
    <w:name w:val="line number2"/>
    <w:qFormat/>
    <w:rPr/>
  </w:style>
  <w:style w:type="character" w:styleId="Linenumber11" w:customStyle="1">
    <w:name w:val="line number11"/>
    <w:qFormat/>
    <w:rPr/>
  </w:style>
  <w:style w:type="character" w:styleId="FontStyle120" w:customStyle="1">
    <w:name w:val="Font Style120"/>
    <w:qFormat/>
    <w:rPr>
      <w:rFonts w:ascii="Arial Narrow" w:hAnsi="Arial Narrow" w:cs="Arial Narrow"/>
      <w:sz w:val="18"/>
      <w:szCs w:val="18"/>
    </w:rPr>
  </w:style>
  <w:style w:type="character" w:styleId="B-serp-encycdata" w:customStyle="1">
    <w:name w:val="b-serp-encyc__data"/>
    <w:qFormat/>
    <w:rPr/>
  </w:style>
  <w:style w:type="character" w:styleId="23" w:customStyle="1">
    <w:name w:val="Основной текст 2 Знак"/>
    <w:qFormat/>
    <w:rPr>
      <w:sz w:val="28"/>
      <w:szCs w:val="28"/>
    </w:rPr>
  </w:style>
  <w:style w:type="character" w:styleId="Rl" w:customStyle="1">
    <w:name w:val="rl"/>
    <w:qFormat/>
    <w:rPr/>
  </w:style>
  <w:style w:type="character" w:styleId="34" w:customStyle="1">
    <w:name w:val="Основной текст 3 Знак"/>
    <w:qFormat/>
    <w:rPr>
      <w:sz w:val="16"/>
      <w:szCs w:val="16"/>
    </w:rPr>
  </w:style>
  <w:style w:type="character" w:styleId="Style25" w:customStyle="1">
    <w:name w:val="Заголовок Знак"/>
    <w:qFormat/>
    <w:rPr>
      <w:rFonts w:ascii="Calibri Light" w:hAnsi="Calibri Light" w:eastAsia="PMingLiU"/>
      <w:color w:val="000000"/>
      <w:spacing w:val="-10"/>
      <w:kern w:val="2"/>
      <w:sz w:val="56"/>
      <w:szCs w:val="56"/>
    </w:rPr>
  </w:style>
  <w:style w:type="character" w:styleId="Linenumber3" w:customStyle="1">
    <w:name w:val="line number3"/>
    <w:qFormat/>
    <w:rPr/>
  </w:style>
  <w:style w:type="character" w:styleId="Linenumber4" w:customStyle="1">
    <w:name w:val="line number4"/>
    <w:qFormat/>
    <w:rPr/>
  </w:style>
  <w:style w:type="character" w:styleId="Linenumber5" w:customStyle="1">
    <w:name w:val="line number5"/>
    <w:qFormat/>
    <w:rPr/>
  </w:style>
  <w:style w:type="character" w:styleId="Linenumber6" w:customStyle="1">
    <w:name w:val="line number6"/>
    <w:qFormat/>
    <w:rPr/>
  </w:style>
  <w:style w:type="character" w:styleId="Linenumber">
    <w:name w:val="line number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Style2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6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1" w:customStyle="1">
    <w:name w:val="Колонтитул"/>
    <w:basedOn w:val="Normal"/>
    <w:link w:val="Style19"/>
    <w:qFormat/>
    <w:rsid w:val="00eb24c6"/>
    <w:pPr>
      <w:widowControl w:val="false"/>
      <w:shd w:val="clear" w:color="auto" w:fill="FFFFFF"/>
    </w:pPr>
    <w:rPr>
      <w:sz w:val="20"/>
      <w:szCs w:val="20"/>
    </w:rPr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8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2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3" w:customStyle="1">
    <w:name w:val="Раздел регламента"/>
    <w:basedOn w:val="Normal"/>
    <w:qFormat/>
    <w:rsid w:val="00e228fa"/>
    <w:pPr/>
    <w:rPr/>
  </w:style>
  <w:style w:type="paragraph" w:styleId="Style3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4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11" w:customStyle="1">
    <w:name w:val="caption11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7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0" w:customStyle="1">
    <w:name w:val="Подподпункт"/>
    <w:basedOn w:val="Style3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1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1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2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55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4" w:customStyle="1">
    <w:name w:val="Обычный+ без отступа"/>
    <w:basedOn w:val="Normal"/>
    <w:qFormat/>
    <w:rsid w:val="00eb24c6"/>
    <w:pPr>
      <w:spacing w:lineRule="auto" w:line="360" w:before="120" w:after="0"/>
      <w:jc w:val="both"/>
    </w:pPr>
    <w:rPr>
      <w:rFonts w:eastAsia="MS Mincho"/>
    </w:rPr>
  </w:style>
  <w:style w:type="paragraph" w:styleId="Style45" w:customStyle="1">
    <w:name w:val="Текст таблицы"/>
    <w:basedOn w:val="Normal"/>
    <w:qFormat/>
    <w:rsid w:val="00eb24c6"/>
    <w:pPr>
      <w:spacing w:before="40" w:after="40"/>
      <w:ind w:left="57" w:right="57" w:hanging="0"/>
    </w:pPr>
    <w:rPr>
      <w:sz w:val="24"/>
      <w:szCs w:val="24"/>
    </w:rPr>
  </w:style>
  <w:style w:type="paragraph" w:styleId="Style46" w:customStyle="1">
    <w:name w:val="Пункт Знак"/>
    <w:basedOn w:val="Normal"/>
    <w:qFormat/>
    <w:rsid w:val="00eb24c6"/>
    <w:pPr>
      <w:tabs>
        <w:tab w:val="clear" w:pos="720"/>
        <w:tab w:val="left" w:pos="851" w:leader="none"/>
        <w:tab w:val="left" w:pos="1134" w:leader="none"/>
        <w:tab w:val="left" w:pos="1844" w:leader="none"/>
      </w:tabs>
      <w:spacing w:lineRule="auto" w:line="360"/>
      <w:ind w:left="1844" w:hanging="567"/>
      <w:jc w:val="both"/>
    </w:pPr>
    <w:rPr>
      <w:b/>
      <w:szCs w:val="20"/>
    </w:rPr>
  </w:style>
  <w:style w:type="paragraph" w:styleId="Style47" w:customStyle="1">
    <w:name w:val="Подподподпункт"/>
    <w:basedOn w:val="Normal"/>
    <w:qFormat/>
    <w:rsid w:val="00eb24c6"/>
    <w:pPr>
      <w:tabs>
        <w:tab w:val="clear" w:pos="720"/>
        <w:tab w:val="left" w:pos="1134" w:leader="none"/>
        <w:tab w:val="left" w:pos="1701" w:leader="none"/>
      </w:tabs>
      <w:spacing w:lineRule="auto" w:line="360"/>
      <w:ind w:left="1718" w:hanging="1008"/>
      <w:jc w:val="both"/>
    </w:pPr>
    <w:rPr>
      <w:szCs w:val="20"/>
    </w:rPr>
  </w:style>
  <w:style w:type="paragraph" w:styleId="113" w:customStyle="1">
    <w:name w:val="Пункт1"/>
    <w:basedOn w:val="Normal"/>
    <w:qFormat/>
    <w:rsid w:val="00eb24c6"/>
    <w:pPr>
      <w:tabs>
        <w:tab w:val="clear" w:pos="720"/>
        <w:tab w:val="left" w:pos="567" w:leader="none"/>
      </w:tabs>
      <w:spacing w:lineRule="auto" w:line="360" w:before="240" w:after="0"/>
      <w:ind w:left="567" w:hanging="279"/>
      <w:jc w:val="center"/>
    </w:pPr>
    <w:rPr>
      <w:rFonts w:ascii="Arial" w:hAnsi="Arial"/>
      <w:b/>
    </w:rPr>
  </w:style>
  <w:style w:type="paragraph" w:styleId="39" w:customStyle="1">
    <w:name w:val="Пункт_3"/>
    <w:basedOn w:val="Normal"/>
    <w:uiPriority w:val="99"/>
    <w:qFormat/>
    <w:rsid w:val="00eb24c6"/>
    <w:pPr>
      <w:tabs>
        <w:tab w:val="clear" w:pos="720"/>
        <w:tab w:val="left" w:pos="1134" w:leader="none"/>
      </w:tabs>
      <w:spacing w:lineRule="auto" w:line="360"/>
      <w:ind w:left="1134" w:hanging="1133"/>
      <w:jc w:val="both"/>
    </w:pPr>
    <w:rPr>
      <w:szCs w:val="20"/>
    </w:rPr>
  </w:style>
  <w:style w:type="paragraph" w:styleId="DocumentMap">
    <w:name w:val="Document Map"/>
    <w:basedOn w:val="Normal"/>
    <w:link w:val="Style16"/>
    <w:uiPriority w:val="99"/>
    <w:semiHidden/>
    <w:unhideWhenUsed/>
    <w:qFormat/>
    <w:rsid w:val="00eb24c6"/>
    <w:pPr/>
    <w:rPr>
      <w:rFonts w:ascii="Tahoma" w:hAnsi="Tahoma" w:cs="Tahoma"/>
      <w:sz w:val="16"/>
      <w:szCs w:val="16"/>
    </w:rPr>
  </w:style>
  <w:style w:type="paragraph" w:styleId="Style48" w:customStyle="1">
    <w:name w:val="Знак Знак"/>
    <w:basedOn w:val="Normal"/>
    <w:qFormat/>
    <w:rsid w:val="00eb24c6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62" w:customStyle="1">
    <w:name w:val="Основной текст (6)"/>
    <w:basedOn w:val="Normal"/>
    <w:link w:val="61"/>
    <w:qFormat/>
    <w:rsid w:val="00eb24c6"/>
    <w:pPr>
      <w:widowControl w:val="false"/>
      <w:shd w:val="clear" w:color="auto" w:fill="FFFFFF"/>
      <w:ind w:firstLine="720"/>
      <w:jc w:val="both"/>
    </w:pPr>
    <w:rPr>
      <w:sz w:val="20"/>
      <w:szCs w:val="20"/>
    </w:rPr>
  </w:style>
  <w:style w:type="paragraph" w:styleId="TableListParagraph" w:customStyle="1">
    <w:name w:val="Table List Paragraph"/>
    <w:basedOn w:val="Normal"/>
    <w:qFormat/>
    <w:rsid w:val="00eb24c6"/>
    <w:pPr>
      <w:numPr>
        <w:ilvl w:val="0"/>
        <w:numId w:val="11"/>
      </w:numPr>
      <w:tabs>
        <w:tab w:val="clear" w:pos="720"/>
        <w:tab w:val="left" w:pos="360" w:leader="none"/>
      </w:tabs>
      <w:jc w:val="both"/>
    </w:pPr>
    <w:rPr>
      <w:sz w:val="24"/>
      <w:szCs w:val="24"/>
    </w:rPr>
  </w:style>
  <w:style w:type="paragraph" w:styleId="114" w:customStyle="1">
    <w:name w:val="РГ_Глава_1"/>
    <w:basedOn w:val="Normal"/>
    <w:qFormat/>
    <w:rsid w:val="00eb24c6"/>
    <w:pPr>
      <w:keepNext w:val="true"/>
      <w:keepLines/>
      <w:numPr>
        <w:ilvl w:val="0"/>
        <w:numId w:val="14"/>
      </w:numPr>
      <w:tabs>
        <w:tab w:val="clear" w:pos="720"/>
        <w:tab w:val="left" w:pos="1985" w:leader="none"/>
      </w:tabs>
      <w:jc w:val="center"/>
      <w:outlineLvl w:val="1"/>
    </w:pPr>
    <w:rPr>
      <w:caps/>
    </w:rPr>
  </w:style>
  <w:style w:type="paragraph" w:styleId="1121" w:customStyle="1">
    <w:name w:val="РГ_1.1._2"/>
    <w:basedOn w:val="Normal"/>
    <w:qFormat/>
    <w:rsid w:val="00eb24c6"/>
    <w:pPr>
      <w:widowControl w:val="false"/>
      <w:numPr>
        <w:ilvl w:val="1"/>
        <w:numId w:val="14"/>
      </w:numPr>
      <w:spacing w:before="120" w:after="0"/>
      <w:jc w:val="both"/>
      <w:outlineLvl w:val="0"/>
    </w:pPr>
    <w:rPr>
      <w:rFonts w:ascii="Calibri" w:hAnsi="Calibri" w:cs="Calibri"/>
    </w:rPr>
  </w:style>
  <w:style w:type="paragraph" w:styleId="11131" w:customStyle="1">
    <w:name w:val="РГ_1.1.1_3"/>
    <w:basedOn w:val="Normal"/>
    <w:link w:val="1113"/>
    <w:qFormat/>
    <w:rsid w:val="00eb24c6"/>
    <w:pPr>
      <w:widowControl w:val="false"/>
      <w:numPr>
        <w:ilvl w:val="2"/>
        <w:numId w:val="14"/>
      </w:numPr>
      <w:tabs>
        <w:tab w:val="clear" w:pos="720"/>
        <w:tab w:val="left" w:pos="1701" w:leader="none"/>
      </w:tabs>
      <w:spacing w:before="120" w:after="120"/>
      <w:ind w:left="0" w:hanging="0"/>
      <w:jc w:val="both"/>
    </w:pPr>
    <w:rPr/>
  </w:style>
  <w:style w:type="paragraph" w:styleId="52" w:customStyle="1">
    <w:name w:val="РГ_а)_5"/>
    <w:basedOn w:val="Normal"/>
    <w:qFormat/>
    <w:rsid w:val="00eb24c6"/>
    <w:pPr>
      <w:numPr>
        <w:ilvl w:val="5"/>
        <w:numId w:val="14"/>
      </w:numPr>
      <w:jc w:val="both"/>
    </w:pPr>
    <w:rPr/>
  </w:style>
  <w:style w:type="paragraph" w:styleId="Style49" w:customStyle="1">
    <w:name w:val="РГ_текст табл"/>
    <w:basedOn w:val="1121"/>
    <w:link w:val="Style20"/>
    <w:qFormat/>
    <w:rsid w:val="00eb24c6"/>
    <w:pPr>
      <w:numPr>
        <w:ilvl w:val="0"/>
        <w:numId w:val="0"/>
      </w:numPr>
      <w:spacing w:before="0" w:after="0"/>
      <w:ind w:left="34" w:hanging="0"/>
      <w:outlineLvl w:val="9"/>
    </w:pPr>
    <w:rPr>
      <w:rFonts w:eastAsia="Calibri"/>
      <w:sz w:val="24"/>
      <w:szCs w:val="24"/>
      <w:lang w:eastAsia="en-US"/>
    </w:rPr>
  </w:style>
  <w:style w:type="paragraph" w:styleId="Style50" w:customStyle="1">
    <w:name w:val="РГ_номер текста табл"/>
    <w:basedOn w:val="ListParagraph"/>
    <w:link w:val="Style21"/>
    <w:qFormat/>
    <w:rsid w:val="00eb24c6"/>
    <w:pPr>
      <w:numPr>
        <w:ilvl w:val="0"/>
        <w:numId w:val="12"/>
      </w:numPr>
      <w:jc w:val="both"/>
    </w:pPr>
    <w:rPr>
      <w:rFonts w:ascii="Calibri" w:hAnsi="Calibri" w:cs="Calibri"/>
      <w:sz w:val="22"/>
      <w:szCs w:val="22"/>
      <w:lang w:eastAsia="en-US"/>
    </w:rPr>
  </w:style>
  <w:style w:type="paragraph" w:styleId="115" w:customStyle="1">
    <w:name w:val="1.1. таблица"/>
    <w:basedOn w:val="Style50"/>
    <w:link w:val="111"/>
    <w:qFormat/>
    <w:rsid w:val="00eb24c6"/>
    <w:pPr/>
    <w:rPr/>
  </w:style>
  <w:style w:type="paragraph" w:styleId="-2" w:customStyle="1">
    <w:name w:val="- таблица"/>
    <w:basedOn w:val="Style50"/>
    <w:link w:val="-"/>
    <w:qFormat/>
    <w:rsid w:val="00eb24c6"/>
    <w:pPr>
      <w:numPr>
        <w:ilvl w:val="0"/>
        <w:numId w:val="13"/>
      </w:numPr>
    </w:pPr>
    <w:rPr/>
  </w:style>
  <w:style w:type="paragraph" w:styleId="Style51" w:customStyle="1">
    <w:name w:val="Содержимое врезки"/>
    <w:basedOn w:val="Normal"/>
    <w:qFormat/>
    <w:pPr/>
    <w:rPr/>
  </w:style>
  <w:style w:type="paragraph" w:styleId="Style5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53" w:customStyle="1">
    <w:name w:val="Заголовок таблицы"/>
    <w:basedOn w:val="Style52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ial Unicode MS" w:cs="Arial Unicode MS"/>
      <w:color w:val="auto"/>
      <w:kern w:val="2"/>
      <w:sz w:val="24"/>
      <w:szCs w:val="24"/>
      <w:lang w:eastAsia="zh-CN" w:bidi="hi-IN" w:val="ru-RU"/>
    </w:rPr>
  </w:style>
  <w:style w:type="paragraph" w:styleId="210" w:customStyle="1">
    <w:name w:val="Абзац списка2"/>
    <w:basedOn w:val="Normal"/>
    <w:qFormat/>
    <w:pPr>
      <w:widowControl w:val="false"/>
      <w:spacing w:before="0" w:after="0"/>
      <w:ind w:left="720" w:hanging="0"/>
      <w:contextualSpacing/>
    </w:pPr>
    <w:rPr>
      <w:rFonts w:ascii="Courier New" w:hAnsi="Courier New" w:eastAsia="Arial Unicode MS" w:cs="Courier New"/>
      <w:color w:val="000000"/>
      <w:sz w:val="24"/>
      <w:szCs w:val="24"/>
      <w:lang w:val="en-US" w:eastAsia="zh-CN" w:bidi="hi-IN"/>
    </w:rPr>
  </w:style>
  <w:style w:type="paragraph" w:styleId="53" w:customStyle="1">
    <w:name w:val="Стиль5"/>
    <w:qFormat/>
    <w:pPr>
      <w:widowControl/>
      <w:suppressAutoHyphens w:val="true"/>
      <w:bidi w:val="0"/>
      <w:spacing w:lineRule="auto" w:line="360" w:before="0" w:after="0"/>
      <w:ind w:left="1134" w:hanging="1134"/>
      <w:jc w:val="both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x-none" w:eastAsia="x-none" w:bidi="ar-SA"/>
    </w:rPr>
  </w:style>
  <w:style w:type="paragraph" w:styleId="42" w:customStyle="1">
    <w:name w:val="Стиль4"/>
    <w:qFormat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360" w:before="0" w:after="0"/>
      <w:ind w:left="1134" w:hanging="1134"/>
      <w:jc w:val="both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x-none" w:eastAsia="x-none" w:bidi="ar-SA"/>
    </w:rPr>
  </w:style>
  <w:style w:type="paragraph" w:styleId="310" w:customStyle="1">
    <w:name w:val="Стиль3"/>
    <w:qFormat/>
    <w:pPr>
      <w:widowControl/>
      <w:suppressAutoHyphens w:val="true"/>
      <w:bidi w:val="0"/>
      <w:spacing w:before="0" w:after="0"/>
      <w:ind w:left="720" w:hanging="0"/>
      <w:contextualSpacing/>
      <w:jc w:val="both"/>
    </w:pPr>
    <w:rPr>
      <w:rFonts w:eastAsia="Calibri" w:cs="Calibri" w:ascii="Times New Roman" w:hAnsi="Times New Roman"/>
      <w:b/>
      <w:color w:val="auto"/>
      <w:kern w:val="0"/>
      <w:sz w:val="24"/>
      <w:szCs w:val="22"/>
      <w:lang w:eastAsia="en-US" w:val="ru-RU" w:bidi="ar-SA"/>
    </w:rPr>
  </w:style>
  <w:style w:type="paragraph" w:styleId="Caption2" w:customStyle="1">
    <w:name w:val="caption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ListBullet4">
    <w:name w:val="List Bullet 4"/>
    <w:basedOn w:val="Normal"/>
    <w:qFormat/>
    <w:pPr>
      <w:tabs>
        <w:tab w:val="clear" w:pos="720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116" w:customStyle="1">
    <w:name w:val="Знак Знак Знак1"/>
    <w:basedOn w:val="Normal"/>
    <w:qFormat/>
    <w:pPr>
      <w:tabs>
        <w:tab w:val="clear" w:pos="720"/>
        <w:tab w:val="left" w:pos="360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ORMATTEXT" w:customStyle="1">
    <w:name w:val=".FORMAT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54" w:customStyle="1">
    <w:name w:val="Знак Знак Знак"/>
    <w:basedOn w:val="Normal"/>
    <w:qFormat/>
    <w:pPr>
      <w:tabs>
        <w:tab w:val="clear" w:pos="720"/>
        <w:tab w:val="left" w:pos="360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55" w:customStyle="1">
    <w:name w:val="текст"/>
    <w:basedOn w:val="Normal"/>
    <w:qFormat/>
    <w:pPr>
      <w:ind w:firstLine="851"/>
      <w:jc w:val="both"/>
    </w:pPr>
    <w:rPr>
      <w:sz w:val="24"/>
      <w:szCs w:val="24"/>
    </w:rPr>
  </w:style>
  <w:style w:type="paragraph" w:styleId="141" w:customStyle="1">
    <w:name w:val="Стиль14"/>
    <w:basedOn w:val="Normal"/>
    <w:qFormat/>
    <w:pPr>
      <w:spacing w:lineRule="auto" w:line="264"/>
      <w:ind w:firstLine="720"/>
      <w:jc w:val="both"/>
    </w:pPr>
    <w:rPr/>
  </w:style>
  <w:style w:type="paragraph" w:styleId="2TimesNewRoman" w:customStyle="1">
    <w:name w:val="Стиль Заголовок 2 + Times New Roman не курсив подчеркивание Спра..."/>
    <w:qFormat/>
    <w:pPr>
      <w:widowControl/>
      <w:suppressAutoHyphens w:val="true"/>
      <w:bidi w:val="0"/>
      <w:spacing w:before="0" w:after="0"/>
      <w:ind w:right="-185" w:hanging="0"/>
      <w:jc w:val="left"/>
    </w:pPr>
    <w:rPr>
      <w:rFonts w:ascii="Times New Roman" w:hAnsi="Times New Roman" w:eastAsia="Times New Roman" w:cs="Times New Roman"/>
      <w:b/>
      <w:iCs/>
      <w:color w:val="auto"/>
      <w:kern w:val="0"/>
      <w:sz w:val="20"/>
      <w:szCs w:val="20"/>
      <w:lang w:val="ru-RU" w:eastAsia="ru-RU" w:bidi="ar-SA"/>
    </w:rPr>
  </w:style>
  <w:style w:type="paragraph" w:styleId="ListNumber2">
    <w:name w:val="List Number 2"/>
    <w:basedOn w:val="Normal"/>
    <w:qFormat/>
    <w:pPr>
      <w:tabs>
        <w:tab w:val="left" w:pos="720" w:leader="none"/>
      </w:tabs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ListNumber">
    <w:name w:val="List Number"/>
    <w:basedOn w:val="Normal"/>
    <w:qFormat/>
    <w:pPr>
      <w:tabs>
        <w:tab w:val="clear" w:pos="720"/>
        <w:tab w:val="left" w:pos="0" w:leader="none"/>
      </w:tabs>
      <w:spacing w:lineRule="auto" w:line="276" w:before="0" w:after="200"/>
      <w:ind w:left="284" w:hanging="284"/>
      <w:contextualSpacing/>
    </w:pPr>
    <w:rPr>
      <w:rFonts w:ascii="Calibri" w:hAnsi="Calibri"/>
      <w:sz w:val="22"/>
      <w:szCs w:val="22"/>
    </w:rPr>
  </w:style>
  <w:style w:type="paragraph" w:styleId="Caption1111111111" w:customStyle="1">
    <w:name w:val="caption11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11" w:customStyle="1">
    <w:name w:val="index heading111111111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4"/>
      <w:lang w:val="x-none" w:eastAsia="x-none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118" w:customStyle="1">
    <w:name w:val="Нет списка1"/>
    <w:uiPriority w:val="99"/>
    <w:semiHidden/>
    <w:unhideWhenUsed/>
    <w:qFormat/>
    <w:rsid w:val="00eb24c6"/>
  </w:style>
  <w:style w:type="numbering" w:styleId="37572116011" w:customStyle="1">
    <w:name w:val="37572116011"/>
    <w:qFormat/>
  </w:style>
  <w:style w:type="numbering" w:styleId="38821027411" w:customStyle="1">
    <w:name w:val="38821027411"/>
    <w:qFormat/>
  </w:style>
  <w:style w:type="numbering" w:styleId="7083320141" w:customStyle="1">
    <w:name w:val="7083320141"/>
    <w:qFormat/>
  </w:style>
  <w:style w:type="numbering" w:styleId="19345915061" w:customStyle="1">
    <w:name w:val="19345915061"/>
    <w:qFormat/>
  </w:style>
  <w:style w:type="numbering" w:styleId="9441152771" w:customStyle="1">
    <w:name w:val="9441152771"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2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1">
    <w:name w:val="Сетка таблицы2"/>
    <w:basedOn w:val="a6"/>
    <w:uiPriority w:val="59"/>
    <w:rsid w:val="00eb24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CBB5-09B2-472E-9ACA-379E2C31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Application>AlterOffice/3.4.0.9$Linux_X86_64 LibreOffice_project/b8daf9e823b1a5463a2f48435ddc2e8696e7d4fc</Application>
  <AppVersion>15.0000</AppVersion>
  <Pages>19</Pages>
  <Words>4687</Words>
  <Characters>32263</Characters>
  <CharactersWithSpaces>37723</CharactersWithSpaces>
  <Paragraphs>399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2026-08-19T11:56:00Z</dcterms:created>
  <dc:creator>Быстров Олег Геннадьевич</dc:creator>
  <dc:description/>
  <dc:language>ru-RU</dc:language>
  <cp:lastModifiedBy>bryksinalv@corp.gidroogk.com</cp:lastModifiedBy>
  <cp:lastPrinted>2026-08-26T16:41:00Z</cp:lastPrinted>
  <dcterms:modified xsi:type="dcterms:W3CDTF">2026-08-28T15:36:55Z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